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F313BC"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8138"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Default="00D126E3" w:rsidP="00D126E3">
      <w:pPr>
        <w:tabs>
          <w:tab w:val="right" w:pos="9498"/>
        </w:tabs>
        <w:ind w:left="0" w:right="-142"/>
        <w:rPr>
          <w:rFonts w:ascii="Bookman Old Style" w:hAnsi="Bookman Old Style"/>
          <w:bCs/>
          <w:sz w:val="22"/>
          <w:lang w:val="es-CO"/>
        </w:rPr>
      </w:pPr>
    </w:p>
    <w:p w:rsidR="00DA3ED9" w:rsidRDefault="00DA3ED9" w:rsidP="00D126E3">
      <w:pPr>
        <w:tabs>
          <w:tab w:val="right" w:pos="9498"/>
        </w:tabs>
        <w:ind w:left="0" w:right="-142"/>
        <w:rPr>
          <w:rFonts w:ascii="Bookman Old Style" w:hAnsi="Bookman Old Style"/>
          <w:bCs/>
          <w:sz w:val="22"/>
          <w:lang w:val="es-CO"/>
        </w:rPr>
      </w:pPr>
    </w:p>
    <w:p w:rsidR="003E628D" w:rsidRPr="007507BF" w:rsidRDefault="003E628D"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DD30B2">
        <w:rPr>
          <w:rFonts w:ascii="Bookman Old Style" w:hAnsi="Bookman Old Style"/>
          <w:bCs/>
          <w:lang w:val="es-CO"/>
        </w:rPr>
        <w:t>Gas Express Colombia S.A. E.S.P.</w:t>
      </w:r>
      <w:r w:rsidRPr="00D7035A">
        <w:rPr>
          <w:rFonts w:ascii="Bookman Old Style" w:hAnsi="Bookman Old Style"/>
          <w:bCs/>
          <w:lang w:val="es-CO"/>
        </w:rPr>
        <w:t xml:space="preserve"> contra la Resolución CREG </w:t>
      </w:r>
      <w:r w:rsidR="0081562F">
        <w:rPr>
          <w:rFonts w:ascii="Bookman Old Style" w:hAnsi="Bookman Old Style"/>
          <w:bCs/>
          <w:lang w:val="es-CO"/>
        </w:rPr>
        <w:t>089</w:t>
      </w:r>
      <w:r w:rsidR="00EC3BB2">
        <w:rPr>
          <w:rFonts w:ascii="Bookman Old Style" w:hAnsi="Bookman Old Style"/>
          <w:bCs/>
          <w:lang w:val="es-CO"/>
        </w:rPr>
        <w:t xml:space="preserve">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Default="00D126E3" w:rsidP="00067308">
      <w:pPr>
        <w:ind w:left="0"/>
        <w:rPr>
          <w:rFonts w:ascii="Bookman Old Style" w:hAnsi="Bookman Old Style"/>
          <w:bCs/>
          <w:sz w:val="22"/>
          <w:lang w:val="es-CO"/>
        </w:rPr>
      </w:pPr>
    </w:p>
    <w:p w:rsidR="003E628D" w:rsidRPr="003234E2" w:rsidRDefault="003E628D"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EC3BB2" w:rsidRPr="003234E2" w:rsidRDefault="00EC3BB2" w:rsidP="00EC3BB2">
      <w:pPr>
        <w:tabs>
          <w:tab w:val="right" w:pos="9498"/>
        </w:tabs>
        <w:ind w:left="0" w:right="-142"/>
        <w:jc w:val="center"/>
        <w:rPr>
          <w:rFonts w:ascii="Bookman Old Style" w:hAnsi="Bookman Old Style" w:cs="Arial"/>
          <w:sz w:val="22"/>
        </w:rPr>
      </w:pPr>
    </w:p>
    <w:p w:rsidR="00D126E3" w:rsidRPr="003234E2" w:rsidRDefault="00D126E3" w:rsidP="00D126E3">
      <w:pPr>
        <w:tabs>
          <w:tab w:val="right" w:pos="9498"/>
        </w:tabs>
        <w:ind w:left="0" w:right="-142"/>
        <w:jc w:val="both"/>
        <w:rPr>
          <w:rFonts w:ascii="Bookman Old Style" w:hAnsi="Bookman Old Style" w:cs="Arial"/>
          <w:sz w:val="22"/>
        </w:rPr>
      </w:pPr>
    </w:p>
    <w:p w:rsidR="00D126E3" w:rsidRDefault="00D126E3" w:rsidP="00D126E3">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D126E3" w:rsidRPr="003234E2" w:rsidRDefault="00D126E3" w:rsidP="00D126E3">
      <w:pPr>
        <w:tabs>
          <w:tab w:val="right" w:pos="9498"/>
        </w:tabs>
        <w:ind w:left="0" w:right="-142"/>
        <w:jc w:val="center"/>
        <w:rPr>
          <w:rFonts w:ascii="Bookman Old Style" w:hAnsi="Bookman Old Style" w:cs="Arial"/>
          <w:b/>
          <w:sz w:val="20"/>
        </w:rPr>
      </w:pPr>
    </w:p>
    <w:p w:rsidR="00D126E3" w:rsidRDefault="00D126E3" w:rsidP="003E628D">
      <w:pPr>
        <w:tabs>
          <w:tab w:val="right" w:pos="9498"/>
        </w:tabs>
        <w:ind w:left="0" w:right="-142"/>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2C02EC" w:rsidRDefault="002C02EC"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r w:rsidRPr="00EC3BB2">
        <w:rPr>
          <w:rFonts w:ascii="Bookman Old Style" w:hAnsi="Bookman Old Style"/>
          <w:sz w:val="22"/>
          <w:szCs w:val="22"/>
        </w:rPr>
        <w:t>donde,</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2C02EC"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F313BC"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F313BC"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F313BC"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2C02EC"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2C02EC"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2C02EC" w:rsidRDefault="00F313BC"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F313BC"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F313BC"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2C02EC"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2C02EC"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2C02EC" w:rsidRDefault="002C02EC"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EC3BB2" w:rsidRPr="00EC3BB2" w:rsidRDefault="00EC3BB2" w:rsidP="00EC3BB2">
      <w:pPr>
        <w:ind w:left="709" w:firstLine="566"/>
        <w:jc w:val="both"/>
        <w:rPr>
          <w:rFonts w:ascii="Bookman Old Style" w:hAnsi="Bookman Old Style"/>
          <w:sz w:val="22"/>
          <w:szCs w:val="22"/>
        </w:rPr>
      </w:pPr>
      <w:r w:rsidRPr="00EC3BB2">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2C02EC" w:rsidP="005217A1">
            <w:pPr>
              <w:ind w:left="2127" w:hanging="2127"/>
              <w:jc w:val="both"/>
              <w:rPr>
                <w:rFonts w:ascii="Bookman Old Style" w:hAnsi="Bookman Old Style"/>
                <w:sz w:val="22"/>
                <w:szCs w:val="22"/>
                <w:lang w:val="es-CO"/>
              </w:rPr>
            </w:pPr>
            <m:oMath>
              <m:r>
                <w:rPr>
                  <w:rFonts w:ascii="Cambria Math" w:hAnsi="Cambria Math"/>
                  <w:sz w:val="22"/>
                  <w:szCs w:val="22"/>
                </w:rPr>
                <w:lastRenderedPageBreak/>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2C02EC" w:rsidP="005217A1">
            <w:pPr>
              <w:ind w:left="2127" w:hanging="2127"/>
              <w:jc w:val="both"/>
              <w:rPr>
                <w:rFonts w:ascii="Bookman Old Style" w:hAnsi="Bookman Old Style"/>
                <w:sz w:val="22"/>
                <w:szCs w:val="22"/>
                <w:lang w:val="es-CO"/>
              </w:rPr>
            </w:p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2C02EC" w:rsidRDefault="002C02EC"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2C02EC"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2C02EC"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2C02EC"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2C02EC"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2C02EC"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2C02EC" w:rsidRDefault="002C02EC"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2C02EC"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2C02EC"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2C02EC"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2C02EC" w:rsidRDefault="002C02EC"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2C02EC" w:rsidP="005217A1">
            <w:pPr>
              <w:ind w:left="0"/>
              <w:jc w:val="both"/>
              <w:rPr>
                <w:rFonts w:ascii="Bookman Old Style" w:hAnsi="Bookman Old Style" w:cs="Arial"/>
                <w:sz w:val="22"/>
                <w:szCs w:val="22"/>
              </w:rPr>
            </w:pPr>
            <m:oMath>
              <m:r>
                <w:rPr>
                  <w:rFonts w:ascii="Cambria Math" w:hAnsi="Cambria Math" w:cs="Arial"/>
                  <w:sz w:val="22"/>
                  <w:szCs w:val="22"/>
                </w:rPr>
                <w:lastRenderedPageBreak/>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2C02EC" w:rsidP="005217A1">
            <w:pPr>
              <w:ind w:left="0"/>
              <w:jc w:val="both"/>
              <w:rPr>
                <w:rFonts w:ascii="Bookman Old Style" w:hAnsi="Bookman Old Style" w:cs="Arial"/>
                <w:sz w:val="22"/>
                <w:szCs w:val="22"/>
              </w:rPr>
            </w:pPr>
            <m:oMath>
              <m:r>
                <w:rPr>
                  <w:rFonts w:ascii="Cambria Math" w:hAnsi="Cambria Math" w:cs="Arial"/>
                  <w:sz w:val="22"/>
                  <w:szCs w:val="22"/>
                </w:rPr>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2C02EC"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2C02EC"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2C02EC"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AC20F9" w:rsidRDefault="00EC3BB2" w:rsidP="00AC20F9">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A1547">
        <w:rPr>
          <w:rFonts w:ascii="Bookman Old Style" w:hAnsi="Bookman Old Style" w:cs="Arial"/>
          <w:b/>
          <w:sz w:val="22"/>
          <w:szCs w:val="22"/>
        </w:rPr>
        <w:t xml:space="preserve">“Artículo 9. Determinación y publicación de información. </w:t>
      </w:r>
      <w:r w:rsidRPr="00EA1547">
        <w:rPr>
          <w:rFonts w:ascii="Bookman Old Style" w:hAnsi="Bookman Old Style" w:cs="Arial"/>
          <w:sz w:val="22"/>
          <w:szCs w:val="22"/>
        </w:rPr>
        <w:t xml:space="preserve">Atendiendo lo dispuesto en el artículo anterior, </w:t>
      </w:r>
      <w:r w:rsidRPr="00EA1547">
        <w:rPr>
          <w:rFonts w:ascii="Bookman Old Style" w:hAnsi="Bookman Old Style" w:cs="Arial"/>
          <w:b/>
          <w:sz w:val="22"/>
          <w:szCs w:val="22"/>
          <w:u w:val="single"/>
        </w:rPr>
        <w:t>la CREG determinará</w:t>
      </w:r>
      <w:r w:rsidRPr="00EA1547">
        <w:rPr>
          <w:rFonts w:ascii="Bookman Old Style" w:hAnsi="Bookman Old Style" w:cs="Arial"/>
          <w:sz w:val="22"/>
          <w:szCs w:val="22"/>
        </w:rPr>
        <w:t xml:space="preserve"> y publicará, por lo menos con un (1) mes de anterioridad al inicio del periodo de compra, la capacidad de compra de cada distribuidor, </w:t>
      </w:r>
      <w:r w:rsidRPr="00EA1547">
        <w:rPr>
          <w:rFonts w:ascii="Bookman Old Style" w:hAnsi="Bookman Old Style" w:cs="Arial"/>
          <w:b/>
          <w:sz w:val="22"/>
          <w:szCs w:val="22"/>
          <w:u w:val="single"/>
        </w:rPr>
        <w:t xml:space="preserve">con información reportada al SUI, hasta el </w:t>
      </w:r>
      <w:r w:rsidR="00AC20F9">
        <w:rPr>
          <w:rFonts w:ascii="Bookman Old Style" w:hAnsi="Bookman Old Style" w:cs="Arial"/>
          <w:b/>
          <w:sz w:val="22"/>
          <w:szCs w:val="22"/>
          <w:u w:val="single"/>
        </w:rPr>
        <w:t xml:space="preserve">día 10 del mes correspondiente. </w:t>
      </w:r>
      <w:r w:rsidRPr="00EA1547">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i/>
          <w:color w:val="000000"/>
          <w:sz w:val="22"/>
          <w:szCs w:val="22"/>
          <w:lang w:val="es-CO" w:eastAsia="es-CO"/>
        </w:rPr>
        <w:t>"</w:t>
      </w:r>
      <w:r w:rsidRPr="00EA1547">
        <w:rPr>
          <w:rFonts w:ascii="Bookman Old Style" w:hAnsi="Bookman Old Style" w:cs="Arial"/>
          <w:b/>
          <w:sz w:val="22"/>
          <w:szCs w:val="22"/>
          <w:lang w:val="es-ES_tradnl" w:eastAsia="ar-SA"/>
        </w:rPr>
        <w:t>Artículo nuevo. Del sistema único de información</w:t>
      </w:r>
      <w:r w:rsidRPr="00EA1547">
        <w:rPr>
          <w:rFonts w:ascii="Bookman Old Style" w:hAnsi="Bookman Old Style" w:cs="Arial"/>
          <w:sz w:val="22"/>
          <w:szCs w:val="22"/>
          <w:lang w:val="es-ES_tradnl" w:eastAsia="ar-SA"/>
        </w:rPr>
        <w:t xml:space="preserve">. </w:t>
      </w:r>
      <w:r w:rsidRPr="00AF64D4">
        <w:rPr>
          <w:rFonts w:ascii="Bookman Old Style" w:hAnsi="Bookman Old Style" w:cs="Arial"/>
          <w:sz w:val="22"/>
          <w:szCs w:val="22"/>
          <w:lang w:val="es-ES_tradnl" w:eastAsia="ar-SA"/>
        </w:rPr>
        <w:t>Corresponde a la Superintendencia de Servicios Públicos Domiciliarios, en desarrollo de sus funciones de inspección y vigilancia, establecer, administrar, mantener y operar</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El sistema de información que desarrolle la Superintendencia de Servicios Públicos será único para cada uno de los servicios públicos, actividades </w:t>
      </w:r>
      <w:r w:rsidRPr="00EA1547">
        <w:rPr>
          <w:rFonts w:ascii="Bookman Old Style" w:hAnsi="Bookman Old Style" w:cs="Arial"/>
          <w:b/>
          <w:sz w:val="22"/>
          <w:szCs w:val="22"/>
          <w:u w:val="single"/>
          <w:lang w:val="es-ES_tradnl" w:eastAsia="ar-SA"/>
        </w:rPr>
        <w:lastRenderedPageBreak/>
        <w:t>inherentes y actividades complementarias de que tratan las Leyes 142 y 143 de 1994, y tendrá como propósitos: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1. Evitar la duplicidad de funciones en materia de información relativa a los servicios públicos.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4. Apoyar las funciones asignadas a las Comisiones de Regulación.</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b/>
          <w:sz w:val="22"/>
          <w:szCs w:val="22"/>
          <w:lang w:val="es-ES_tradnl" w:eastAsia="ar-SA"/>
        </w:rPr>
        <w:t>Parágrafo 1°.</w:t>
      </w:r>
      <w:r w:rsidRPr="00EA1547">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w:t>
      </w:r>
      <w:r w:rsidRPr="00EA1547">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b.</w:t>
      </w:r>
      <w:r w:rsidRPr="00EA1547">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lastRenderedPageBreak/>
        <w:t>c.</w:t>
      </w:r>
      <w:r w:rsidRPr="00EA1547">
        <w:rPr>
          <w:rFonts w:ascii="Bookman Old Style" w:hAnsi="Bookman Old Style" w:cs="Arial"/>
          <w:sz w:val="22"/>
          <w:szCs w:val="22"/>
          <w:lang w:val="es-ES_tradnl" w:eastAsia="ar-SA"/>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81562F">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w:t>
      </w:r>
      <w:r w:rsidRPr="00EC3BB2">
        <w:rPr>
          <w:rFonts w:ascii="Bookman Old Style" w:hAnsi="Bookman Old Style" w:cs="Arial"/>
          <w:spacing w:val="-5"/>
          <w:lang w:val="es-CO" w:eastAsia="en-US"/>
        </w:rPr>
        <w:lastRenderedPageBreak/>
        <w:t>comercializadores mayoristas que venden GLP a distribuidores, así como aquellos agentes que realizan la actividad de distribución de GLP en los términos de la 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EA1547">
        <w:rPr>
          <w:rFonts w:ascii="Bookman Old Style" w:hAnsi="Bookman Old Style" w:cs="Arial"/>
          <w:spacing w:val="-5"/>
          <w:lang w:val="es-CO" w:eastAsia="en-US"/>
        </w:rPr>
        <w:t>089</w:t>
      </w:r>
      <w:r w:rsidRPr="00EC3BB2">
        <w:rPr>
          <w:rFonts w:ascii="Bookman Old Style" w:hAnsi="Bookman Old Style" w:cs="Arial"/>
          <w:spacing w:val="-5"/>
          <w:lang w:val="es-CO" w:eastAsia="en-US"/>
        </w:rPr>
        <w:t xml:space="preserve">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EC3BB2" w:rsidRDefault="00EC3BB2" w:rsidP="00BD1622">
      <w:pPr>
        <w:ind w:left="284" w:right="284"/>
        <w:jc w:val="both"/>
        <w:rPr>
          <w:rFonts w:ascii="Bookman Old Style" w:hAnsi="Bookman Old Style" w:cs="Arial"/>
          <w:color w:val="000000"/>
          <w:sz w:val="20"/>
          <w:szCs w:val="20"/>
          <w:lang w:val="es-CO" w:eastAsia="es-CO"/>
        </w:rPr>
      </w:pPr>
      <w:r w:rsidRPr="00EC3BB2">
        <w:rPr>
          <w:rFonts w:ascii="Bookman Old Style" w:eastAsia="MS Mincho" w:hAnsi="Bookman Old Style" w:cs="Arial"/>
          <w:b/>
          <w:sz w:val="20"/>
          <w:szCs w:val="20"/>
          <w:lang w:eastAsia="en-US"/>
        </w:rPr>
        <w:t xml:space="preserve">“Artículo 1º. Capacidad de Compra: </w:t>
      </w:r>
      <w:r w:rsidRPr="00EC3BB2">
        <w:rPr>
          <w:rFonts w:ascii="Bookman Old Style" w:eastAsia="MS Mincho" w:hAnsi="Bookman Old Style" w:cs="Arial"/>
          <w:sz w:val="20"/>
          <w:szCs w:val="20"/>
          <w:lang w:eastAsia="en-US"/>
        </w:rPr>
        <w:t xml:space="preserve">La siguiente corresponde a la Capacidad de Compra </w:t>
      </w:r>
      <w:r w:rsidRPr="00BD1622">
        <w:rPr>
          <w:rFonts w:ascii="Bookman Old Style" w:hAnsi="Bookman Old Style" w:cs="Arial"/>
          <w:iCs/>
          <w:sz w:val="20"/>
          <w:szCs w:val="20"/>
          <w:lang w:val="es-CO" w:eastAsia="en-US"/>
        </w:rPr>
        <w:t>para cada uno de los códigos SUI de las empresas</w:t>
      </w:r>
      <w:r w:rsidRPr="00EC3BB2">
        <w:rPr>
          <w:rFonts w:ascii="Bookman Old Style" w:hAnsi="Bookman Old Style" w:cs="Arial"/>
          <w:color w:val="000000"/>
          <w:sz w:val="20"/>
          <w:szCs w:val="20"/>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8214" w:type="dxa"/>
        <w:jc w:val="center"/>
        <w:tblCellMar>
          <w:left w:w="70" w:type="dxa"/>
          <w:right w:w="70" w:type="dxa"/>
        </w:tblCellMar>
        <w:tblLook w:val="04A0" w:firstRow="1" w:lastRow="0" w:firstColumn="1" w:lastColumn="0" w:noHBand="0" w:noVBand="1"/>
      </w:tblPr>
      <w:tblGrid>
        <w:gridCol w:w="1421"/>
        <w:gridCol w:w="4964"/>
        <w:gridCol w:w="1829"/>
      </w:tblGrid>
      <w:tr w:rsidR="00EC3BB2" w:rsidRPr="00BD1622" w:rsidTr="00B36FE8">
        <w:trPr>
          <w:trHeight w:val="405"/>
          <w:tblHeader/>
          <w:jc w:val="center"/>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Agente</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314DE9" w:rsidRPr="00BD1622" w:rsidTr="00B36FE8">
        <w:trPr>
          <w:trHeight w:val="405"/>
          <w:jc w:val="center"/>
        </w:trPr>
        <w:tc>
          <w:tcPr>
            <w:tcW w:w="1421" w:type="dxa"/>
            <w:tcBorders>
              <w:top w:val="nil"/>
              <w:left w:val="single" w:sz="4" w:space="0" w:color="auto"/>
              <w:bottom w:val="single" w:sz="4" w:space="0" w:color="auto"/>
              <w:right w:val="single" w:sz="4" w:space="0" w:color="auto"/>
            </w:tcBorders>
            <w:shd w:val="clear" w:color="auto" w:fill="auto"/>
            <w:noWrap/>
            <w:hideMark/>
          </w:tcPr>
          <w:p w:rsidR="00314DE9" w:rsidRPr="005C526E" w:rsidRDefault="00314DE9" w:rsidP="00C46CFD">
            <w:r w:rsidRPr="005C526E">
              <w:t>26219</w:t>
            </w:r>
          </w:p>
        </w:tc>
        <w:tc>
          <w:tcPr>
            <w:tcW w:w="4964" w:type="dxa"/>
            <w:tcBorders>
              <w:top w:val="nil"/>
              <w:left w:val="nil"/>
              <w:bottom w:val="single" w:sz="4" w:space="0" w:color="auto"/>
              <w:right w:val="single" w:sz="4" w:space="0" w:color="auto"/>
            </w:tcBorders>
            <w:shd w:val="clear" w:color="auto" w:fill="auto"/>
            <w:noWrap/>
            <w:hideMark/>
          </w:tcPr>
          <w:p w:rsidR="00314DE9" w:rsidRPr="005C526E" w:rsidRDefault="00314DE9" w:rsidP="00C46CFD">
            <w:r w:rsidRPr="005C526E">
              <w:t>GAS EXPRESS COLOMBIA S.A. E.S.P.</w:t>
            </w:r>
          </w:p>
        </w:tc>
        <w:tc>
          <w:tcPr>
            <w:tcW w:w="1829" w:type="dxa"/>
            <w:tcBorders>
              <w:top w:val="nil"/>
              <w:left w:val="nil"/>
              <w:bottom w:val="single" w:sz="4" w:space="0" w:color="auto"/>
              <w:right w:val="single" w:sz="4" w:space="0" w:color="auto"/>
            </w:tcBorders>
            <w:shd w:val="clear" w:color="auto" w:fill="auto"/>
            <w:noWrap/>
            <w:hideMark/>
          </w:tcPr>
          <w:p w:rsidR="00314DE9" w:rsidRDefault="00314DE9" w:rsidP="004F32A4">
            <w:r w:rsidRPr="005C526E">
              <w:t>9.</w:t>
            </w:r>
            <w:r w:rsidR="004F32A4">
              <w:t>628</w:t>
            </w:r>
          </w:p>
        </w:tc>
      </w:tr>
    </w:tbl>
    <w:p w:rsidR="003E628D" w:rsidRDefault="00AC20F9" w:rsidP="00AC20F9">
      <w:pPr>
        <w:ind w:left="284" w:right="284"/>
        <w:jc w:val="both"/>
        <w:rPr>
          <w:rFonts w:ascii="Bookman Old Style" w:eastAsia="MS Mincho" w:hAnsi="Bookman Old Style" w:cs="Arial"/>
          <w:sz w:val="20"/>
          <w:szCs w:val="20"/>
          <w:lang w:val="es-CO" w:eastAsia="en-US"/>
        </w:rPr>
      </w:pPr>
      <w:r>
        <w:rPr>
          <w:rFonts w:ascii="Bookman Old Style" w:eastAsia="MS Mincho" w:hAnsi="Bookman Old Style" w:cs="Arial"/>
          <w:sz w:val="20"/>
          <w:szCs w:val="20"/>
          <w:lang w:val="es-CO" w:eastAsia="en-US"/>
        </w:rPr>
        <w:tab/>
      </w:r>
    </w:p>
    <w:p w:rsidR="00EC3BB2" w:rsidRPr="00EC3BB2" w:rsidRDefault="00EC3BB2" w:rsidP="00AC20F9">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EC3BB2" w:rsidRDefault="00EC3BB2" w:rsidP="00BD1622">
      <w:pPr>
        <w:tabs>
          <w:tab w:val="right" w:pos="9498"/>
        </w:tabs>
        <w:ind w:left="284" w:right="284"/>
        <w:jc w:val="both"/>
        <w:rPr>
          <w:rFonts w:ascii="Bookman Old Style" w:hAnsi="Bookman Old Style" w:cs="Arial"/>
          <w:sz w:val="2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Mediante escrito radicado en esta Comisión con número E-2016-</w:t>
      </w:r>
      <w:r w:rsidR="00314DE9">
        <w:rPr>
          <w:rFonts w:ascii="Bookman Old Style" w:hAnsi="Bookman Old Style" w:cs="Arial"/>
          <w:spacing w:val="-5"/>
          <w:lang w:val="es-CO" w:eastAsia="en-US"/>
        </w:rPr>
        <w:t>008669</w:t>
      </w:r>
      <w:r w:rsidRPr="00EC3BB2">
        <w:rPr>
          <w:rFonts w:ascii="Bookman Old Style" w:hAnsi="Bookman Old Style" w:cs="Arial"/>
          <w:spacing w:val="-5"/>
          <w:lang w:val="es-CO" w:eastAsia="en-US"/>
        </w:rPr>
        <w:t xml:space="preserve"> de </w:t>
      </w:r>
      <w:r w:rsidR="00314DE9">
        <w:rPr>
          <w:rFonts w:ascii="Bookman Old Style" w:hAnsi="Bookman Old Style" w:cs="Arial"/>
          <w:spacing w:val="-5"/>
          <w:lang w:val="es-CO" w:eastAsia="en-US"/>
        </w:rPr>
        <w:t>4</w:t>
      </w:r>
      <w:r w:rsidRPr="00EC3BB2">
        <w:rPr>
          <w:rFonts w:ascii="Bookman Old Style" w:hAnsi="Bookman Old Style" w:cs="Arial"/>
          <w:spacing w:val="-5"/>
          <w:lang w:val="es-CO" w:eastAsia="en-US"/>
        </w:rPr>
        <w:t xml:space="preserve"> de </w:t>
      </w:r>
      <w:r w:rsidR="00EA1547">
        <w:rPr>
          <w:rFonts w:ascii="Bookman Old Style" w:hAnsi="Bookman Old Style" w:cs="Arial"/>
          <w:spacing w:val="-5"/>
          <w:lang w:val="es-CO" w:eastAsia="en-US"/>
        </w:rPr>
        <w:t>agosto</w:t>
      </w:r>
      <w:r w:rsidRPr="00EC3BB2">
        <w:rPr>
          <w:rFonts w:ascii="Bookman Old Style" w:hAnsi="Bookman Old Style" w:cs="Arial"/>
          <w:spacing w:val="-5"/>
          <w:lang w:val="es-CO" w:eastAsia="en-US"/>
        </w:rPr>
        <w:t xml:space="preserve"> de 2016, </w:t>
      </w:r>
      <w:r w:rsidR="00EA1547">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r w:rsidR="00314DE9">
        <w:rPr>
          <w:rFonts w:ascii="Bookman Old Style" w:hAnsi="Bookman Old Style" w:cs="Arial"/>
          <w:spacing w:val="-5"/>
          <w:lang w:val="es-CO" w:eastAsia="en-US"/>
        </w:rPr>
        <w:t>Gas Express Colombia S.A. E.S.P.</w:t>
      </w:r>
      <w:r w:rsidR="00EA1547">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interpuso recurso de reposición contra la Resolución CREG </w:t>
      </w:r>
      <w:r w:rsidR="00EA1547">
        <w:rPr>
          <w:rFonts w:ascii="Bookman Old Style" w:hAnsi="Bookman Old Style" w:cs="Arial"/>
          <w:spacing w:val="-5"/>
          <w:lang w:val="es-CO" w:eastAsia="en-US"/>
        </w:rPr>
        <w:t>089</w:t>
      </w:r>
      <w:r w:rsidRPr="00EC3BB2">
        <w:rPr>
          <w:rFonts w:ascii="Bookman Old Style" w:hAnsi="Bookman Old Style" w:cs="Arial"/>
          <w:spacing w:val="-5"/>
          <w:lang w:val="es-CO" w:eastAsia="en-US"/>
        </w:rPr>
        <w:t xml:space="preserve"> de 2016, para lo cual realiza las siguientes solicitudes:</w:t>
      </w:r>
    </w:p>
    <w:p w:rsidR="00EC3BB2" w:rsidRPr="00EC3BB2" w:rsidRDefault="00EC3BB2" w:rsidP="00EC3BB2">
      <w:pPr>
        <w:widowControl w:val="0"/>
        <w:tabs>
          <w:tab w:val="right" w:pos="9498"/>
        </w:tabs>
        <w:adjustRightInd w:val="0"/>
        <w:ind w:left="0" w:right="-142"/>
        <w:jc w:val="both"/>
        <w:rPr>
          <w:rFonts w:ascii="Arial" w:hAnsi="Arial" w:cs="Arial"/>
          <w:i/>
          <w:sz w:val="22"/>
          <w:szCs w:val="22"/>
        </w:rPr>
      </w:pPr>
    </w:p>
    <w:p w:rsidR="000F5617" w:rsidRDefault="00EC3BB2" w:rsidP="00EA1547">
      <w:pPr>
        <w:ind w:left="284" w:right="284"/>
        <w:jc w:val="both"/>
        <w:rPr>
          <w:rFonts w:ascii="Bookman Old Style" w:hAnsi="Bookman Old Style" w:cs="Arial"/>
          <w:i/>
          <w:sz w:val="22"/>
          <w:szCs w:val="22"/>
        </w:rPr>
      </w:pPr>
      <w:r w:rsidRPr="00EC3BB2">
        <w:rPr>
          <w:rFonts w:ascii="Bookman Old Style" w:hAnsi="Bookman Old Style" w:cs="Arial"/>
          <w:i/>
          <w:sz w:val="22"/>
          <w:szCs w:val="22"/>
        </w:rPr>
        <w:t>“</w:t>
      </w:r>
      <w:r w:rsidR="00314DE9">
        <w:rPr>
          <w:rFonts w:ascii="Bookman Old Style" w:hAnsi="Bookman Old Style" w:cs="Arial"/>
          <w:i/>
          <w:sz w:val="22"/>
          <w:szCs w:val="22"/>
        </w:rPr>
        <w:t>(…)</w:t>
      </w:r>
      <w:r w:rsidR="000F5617">
        <w:rPr>
          <w:rFonts w:ascii="Bookman Old Style" w:hAnsi="Bookman Old Style" w:cs="Arial"/>
          <w:i/>
          <w:sz w:val="22"/>
          <w:szCs w:val="22"/>
        </w:rPr>
        <w:t xml:space="preserve"> manifiesto que interpongo el recurso de reposición y el subsidio de apelación ante el superior (……)” </w:t>
      </w:r>
    </w:p>
    <w:p w:rsidR="000F5617" w:rsidRDefault="000F5617" w:rsidP="00EA1547">
      <w:pPr>
        <w:ind w:left="284" w:right="284"/>
        <w:jc w:val="both"/>
        <w:rPr>
          <w:rFonts w:ascii="Bookman Old Style" w:hAnsi="Bookman Old Style" w:cs="Arial"/>
          <w:i/>
          <w:sz w:val="22"/>
          <w:szCs w:val="22"/>
        </w:rPr>
      </w:pPr>
    </w:p>
    <w:p w:rsidR="00EC3BB2" w:rsidRPr="00EC3BB2" w:rsidRDefault="000F5617" w:rsidP="00EA1547">
      <w:pPr>
        <w:ind w:left="284" w:right="284"/>
        <w:jc w:val="both"/>
        <w:rPr>
          <w:rFonts w:ascii="Bookman Old Style" w:hAnsi="Bookman Old Style" w:cs="Arial"/>
          <w:i/>
          <w:sz w:val="22"/>
          <w:szCs w:val="22"/>
        </w:rPr>
      </w:pPr>
      <w:r>
        <w:rPr>
          <w:rFonts w:ascii="Bookman Old Style" w:hAnsi="Bookman Old Style" w:cs="Arial"/>
          <w:i/>
          <w:sz w:val="22"/>
          <w:szCs w:val="22"/>
        </w:rPr>
        <w:t xml:space="preserve">“ (…) </w:t>
      </w:r>
      <w:r w:rsidR="00314DE9">
        <w:rPr>
          <w:rFonts w:ascii="Bookman Old Style" w:hAnsi="Bookman Old Style" w:cs="Arial"/>
          <w:i/>
          <w:sz w:val="22"/>
          <w:szCs w:val="22"/>
        </w:rPr>
        <w:t>la revocatoria  de la resolución y en su lugar disponer que se adjunte y valore toda la información que se aportó y que desde ya solicito se verifique, como parte de esta argumentación resulta relevante resaltar que por la naturaleza de la empresa se impone la comercialización que corresponde (…)</w:t>
      </w:r>
      <w:r w:rsidR="00EC3BB2" w:rsidRPr="00EC3BB2">
        <w:rPr>
          <w:rFonts w:ascii="Bookman Old Style" w:hAnsi="Bookman Old Style" w:cs="Arial"/>
          <w:i/>
          <w:sz w:val="22"/>
          <w:szCs w:val="22"/>
        </w:rPr>
        <w:t>”</w:t>
      </w:r>
    </w:p>
    <w:p w:rsidR="00EC3BB2" w:rsidRPr="00EC3BB2" w:rsidRDefault="00EC3BB2" w:rsidP="00EC3BB2">
      <w:pPr>
        <w:widowControl w:val="0"/>
        <w:tabs>
          <w:tab w:val="right" w:pos="9498"/>
        </w:tabs>
        <w:adjustRightInd w:val="0"/>
        <w:ind w:left="0" w:right="-142"/>
        <w:jc w:val="both"/>
        <w:rPr>
          <w:rFonts w:ascii="Arial" w:hAnsi="Arial" w:cs="Arial"/>
          <w:sz w:val="22"/>
          <w:szCs w:val="22"/>
        </w:rPr>
      </w:pPr>
    </w:p>
    <w:p w:rsidR="002C5546" w:rsidRDefault="002C5546" w:rsidP="002C5546">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Pr>
          <w:rFonts w:ascii="Bookman Old Style" w:hAnsi="Bookman Old Style" w:cs="Arial"/>
          <w:spacing w:val="-5"/>
          <w:lang w:val="es-CO" w:eastAsia="en-US"/>
        </w:rPr>
        <w:t>0</w:t>
      </w:r>
      <w:r w:rsidR="00314DE9">
        <w:rPr>
          <w:rFonts w:ascii="Bookman Old Style" w:hAnsi="Bookman Old Style" w:cs="Arial"/>
          <w:spacing w:val="-5"/>
          <w:lang w:val="es-CO" w:eastAsia="en-US"/>
        </w:rPr>
        <w:t>89</w:t>
      </w:r>
      <w:r w:rsidRPr="00EC3BB2">
        <w:rPr>
          <w:rFonts w:ascii="Bookman Old Style" w:hAnsi="Bookman Old Style" w:cs="Arial"/>
          <w:spacing w:val="-5"/>
          <w:lang w:val="es-CO" w:eastAsia="en-US"/>
        </w:rPr>
        <w:t xml:space="preserve"> de 2016 fue notificada a </w:t>
      </w:r>
      <w:r w:rsidR="008704AB">
        <w:rPr>
          <w:rFonts w:ascii="Bookman Old Style" w:hAnsi="Bookman Old Style" w:cs="Arial"/>
          <w:spacing w:val="-5"/>
          <w:lang w:val="es-CO" w:eastAsia="en-US"/>
        </w:rPr>
        <w:t>Gas Express de Colombia</w:t>
      </w:r>
      <w:r w:rsidRPr="00EC3BB2">
        <w:rPr>
          <w:rFonts w:ascii="Bookman Old Style" w:hAnsi="Bookman Old Style" w:cs="Arial"/>
          <w:spacing w:val="-5"/>
          <w:lang w:val="es-CO" w:eastAsia="en-US"/>
        </w:rPr>
        <w:t xml:space="preserve"> mediante </w:t>
      </w:r>
      <w:r>
        <w:rPr>
          <w:rFonts w:ascii="Bookman Old Style" w:hAnsi="Bookman Old Style" w:cs="Arial"/>
          <w:spacing w:val="-5"/>
          <w:lang w:val="es-CO" w:eastAsia="en-US"/>
        </w:rPr>
        <w:t>notificación personal I-2016-</w:t>
      </w:r>
      <w:r w:rsidR="008704AB">
        <w:rPr>
          <w:rFonts w:ascii="Bookman Old Style" w:hAnsi="Bookman Old Style" w:cs="Arial"/>
          <w:spacing w:val="-5"/>
          <w:lang w:val="es-CO" w:eastAsia="en-US"/>
        </w:rPr>
        <w:t>003986</w:t>
      </w:r>
      <w:r>
        <w:rPr>
          <w:rFonts w:ascii="Bookman Old Style" w:hAnsi="Bookman Old Style" w:cs="Arial"/>
          <w:spacing w:val="-5"/>
          <w:lang w:val="es-CO" w:eastAsia="en-US"/>
        </w:rPr>
        <w:t xml:space="preserve"> de </w:t>
      </w:r>
      <w:r w:rsidR="008704AB">
        <w:rPr>
          <w:rFonts w:ascii="Bookman Old Style" w:hAnsi="Bookman Old Style" w:cs="Arial"/>
          <w:spacing w:val="-5"/>
          <w:lang w:val="es-CO" w:eastAsia="en-US"/>
        </w:rPr>
        <w:t>28</w:t>
      </w:r>
      <w:r>
        <w:rPr>
          <w:rFonts w:ascii="Bookman Old Style" w:hAnsi="Bookman Old Style" w:cs="Arial"/>
          <w:spacing w:val="-5"/>
          <w:lang w:val="es-CO" w:eastAsia="en-US"/>
        </w:rPr>
        <w:t xml:space="preserve"> de</w:t>
      </w:r>
      <w:r w:rsidR="008704AB">
        <w:rPr>
          <w:rFonts w:ascii="Bookman Old Style" w:hAnsi="Bookman Old Style" w:cs="Arial"/>
          <w:spacing w:val="-5"/>
          <w:lang w:val="es-CO" w:eastAsia="en-US"/>
        </w:rPr>
        <w:t xml:space="preserve"> julio</w:t>
      </w:r>
      <w:r>
        <w:rPr>
          <w:rFonts w:ascii="Bookman Old Style" w:hAnsi="Bookman Old Style" w:cs="Arial"/>
          <w:spacing w:val="-5"/>
          <w:lang w:val="es-CO" w:eastAsia="en-US"/>
        </w:rPr>
        <w:t xml:space="preserve"> de 2016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o dispuesto en el artículo 67</w:t>
      </w:r>
      <w:r w:rsidRPr="00CD67E2">
        <w:rPr>
          <w:rFonts w:ascii="Bookman Old Style" w:hAnsi="Bookman Old Style" w:cs="Arial"/>
          <w:spacing w:val="-5"/>
          <w:vertAlign w:val="superscript"/>
          <w:lang w:val="es-CO" w:eastAsia="en-US"/>
        </w:rPr>
        <w:footnoteReference w:id="3"/>
      </w:r>
      <w:r w:rsidRPr="00EC3BB2">
        <w:rPr>
          <w:rFonts w:ascii="Bookman Old Style" w:hAnsi="Bookman Old Style" w:cs="Arial"/>
          <w:spacing w:val="-5"/>
          <w:lang w:val="es-CO" w:eastAsia="en-US"/>
        </w:rPr>
        <w:t xml:space="preserve"> de la Ley 1437 de 2011. </w:t>
      </w:r>
    </w:p>
    <w:p w:rsidR="002C5546" w:rsidRPr="00EC3BB2" w:rsidRDefault="002C5546" w:rsidP="002C5546">
      <w:pPr>
        <w:pStyle w:val="Textoindependiente2"/>
        <w:spacing w:after="0" w:line="240" w:lineRule="auto"/>
        <w:ind w:left="-142" w:right="-142"/>
        <w:jc w:val="both"/>
        <w:rPr>
          <w:rFonts w:ascii="Bookman Old Style" w:hAnsi="Bookman Old Style" w:cs="Arial"/>
          <w:spacing w:val="-5"/>
          <w:lang w:val="es-CO" w:eastAsia="en-US"/>
        </w:rPr>
      </w:pPr>
    </w:p>
    <w:p w:rsidR="002C5546" w:rsidRDefault="002C5546" w:rsidP="002C5546">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8704AB">
        <w:rPr>
          <w:rFonts w:ascii="Bookman Old Style" w:hAnsi="Bookman Old Style" w:cs="Arial"/>
          <w:spacing w:val="-5"/>
          <w:lang w:val="es-CO" w:eastAsia="en-US"/>
        </w:rPr>
        <w:t>4</w:t>
      </w:r>
      <w:r>
        <w:rPr>
          <w:rFonts w:ascii="Bookman Old Style" w:hAnsi="Bookman Old Style" w:cs="Arial"/>
          <w:spacing w:val="-5"/>
          <w:lang w:val="es-CO" w:eastAsia="en-US"/>
        </w:rPr>
        <w:t xml:space="preserve"> de agosto</w:t>
      </w:r>
      <w:r w:rsidRPr="00EC3BB2">
        <w:rPr>
          <w:rFonts w:ascii="Bookman Old Style" w:hAnsi="Bookman Old Style" w:cs="Arial"/>
          <w:spacing w:val="-5"/>
          <w:lang w:val="es-CO" w:eastAsia="en-US"/>
        </w:rPr>
        <w:t xml:space="preserve"> de</w:t>
      </w:r>
      <w:r>
        <w:rPr>
          <w:rFonts w:ascii="Bookman Old Style" w:hAnsi="Bookman Old Style" w:cs="Arial"/>
          <w:spacing w:val="-5"/>
          <w:lang w:val="es-CO" w:eastAsia="en-US"/>
        </w:rPr>
        <w:t>l</w:t>
      </w:r>
      <w:r w:rsidRPr="00EC3BB2">
        <w:rPr>
          <w:rFonts w:ascii="Bookman Old Style" w:hAnsi="Bookman Old Style" w:cs="Arial"/>
          <w:spacing w:val="-5"/>
          <w:lang w:val="es-CO" w:eastAsia="en-US"/>
        </w:rPr>
        <w:t xml:space="preserve"> 2016.  </w:t>
      </w:r>
    </w:p>
    <w:p w:rsidR="00CD67E2" w:rsidRDefault="00CD67E2" w:rsidP="002C5546">
      <w:pPr>
        <w:pStyle w:val="Textoindependiente2"/>
        <w:spacing w:after="0" w:line="240" w:lineRule="auto"/>
        <w:ind w:left="0"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lastRenderedPageBreak/>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2C5546"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8704AB">
        <w:rPr>
          <w:rFonts w:ascii="Bookman Old Style" w:hAnsi="Bookman Old Style"/>
          <w:szCs w:val="27"/>
        </w:rPr>
        <w:t>Gas Express de Colombia</w:t>
      </w:r>
      <w:r w:rsidR="002A452D">
        <w:rPr>
          <w:rFonts w:ascii="Bookman Old Style" w:hAnsi="Bookman Old Style"/>
          <w:szCs w:val="27"/>
        </w:rPr>
        <w:t xml:space="preserve"> hacen referencia a lo siguiente:</w:t>
      </w:r>
    </w:p>
    <w:p w:rsidR="002A452D" w:rsidRPr="002A452D" w:rsidRDefault="002A452D" w:rsidP="002A452D">
      <w:pPr>
        <w:ind w:left="284" w:right="284"/>
        <w:jc w:val="both"/>
        <w:rPr>
          <w:rFonts w:ascii="Bookman Old Style" w:hAnsi="Bookman Old Style" w:cs="Arial"/>
          <w:i/>
          <w:sz w:val="22"/>
          <w:szCs w:val="22"/>
        </w:rPr>
      </w:pPr>
    </w:p>
    <w:p w:rsidR="008704AB" w:rsidRPr="008704AB" w:rsidRDefault="00D126E3" w:rsidP="008704AB">
      <w:pPr>
        <w:ind w:left="284" w:right="284"/>
        <w:jc w:val="both"/>
        <w:rPr>
          <w:rFonts w:ascii="Bookman Old Style" w:hAnsi="Bookman Old Style" w:cs="Arial"/>
          <w:i/>
          <w:sz w:val="22"/>
          <w:szCs w:val="22"/>
        </w:rPr>
      </w:pPr>
      <w:r w:rsidRPr="00AC20F9">
        <w:rPr>
          <w:rFonts w:ascii="Bookman Old Style" w:hAnsi="Bookman Old Style" w:cs="Arial"/>
          <w:i/>
          <w:sz w:val="22"/>
          <w:szCs w:val="22"/>
        </w:rPr>
        <w:t>“</w:t>
      </w:r>
      <w:r w:rsidR="008704AB" w:rsidRPr="008704AB">
        <w:rPr>
          <w:rFonts w:ascii="Bookman Old Style" w:hAnsi="Bookman Old Style" w:cs="Arial"/>
          <w:i/>
          <w:sz w:val="22"/>
          <w:szCs w:val="22"/>
        </w:rPr>
        <w:t>Se estableció en la resolución como capacidad de compra para la empresa que represento la cantidad de 9.628 cc, y como fundamento de la misma se argumenta lo previsto en el artículo 8, de la ley 1437 de 2011 y atendiendo la capacidad de envase en kilogramos, registrado de acuerdo con la información reportada al SUI.</w:t>
      </w:r>
    </w:p>
    <w:p w:rsidR="00AF64D4" w:rsidRDefault="00AF64D4" w:rsidP="008704AB">
      <w:pPr>
        <w:ind w:left="284" w:right="284"/>
        <w:jc w:val="both"/>
        <w:rPr>
          <w:rFonts w:ascii="Bookman Old Style" w:hAnsi="Bookman Old Style" w:cs="Arial"/>
          <w:i/>
          <w:sz w:val="22"/>
          <w:szCs w:val="22"/>
        </w:rPr>
      </w:pPr>
    </w:p>
    <w:p w:rsidR="008704AB" w:rsidRDefault="008704AB" w:rsidP="008704AB">
      <w:pPr>
        <w:ind w:left="284" w:right="284"/>
        <w:jc w:val="both"/>
        <w:rPr>
          <w:rFonts w:ascii="Bookman Old Style" w:hAnsi="Bookman Old Style" w:cs="Arial"/>
          <w:i/>
          <w:sz w:val="22"/>
          <w:szCs w:val="22"/>
        </w:rPr>
      </w:pPr>
      <w:r w:rsidRPr="008704AB">
        <w:rPr>
          <w:rFonts w:ascii="Bookman Old Style" w:hAnsi="Bookman Old Style" w:cs="Arial"/>
          <w:i/>
          <w:sz w:val="22"/>
          <w:szCs w:val="22"/>
        </w:rPr>
        <w:t>Al respecto quiero precisar varios aspectos que me obligan a dirigirme a ustedes en procura de proteger una pequeña empresa relativamente nueva, a la que su decisión llevaría al traste</w:t>
      </w:r>
      <w:r>
        <w:rPr>
          <w:rFonts w:ascii="Bookman Old Style" w:hAnsi="Bookman Old Style" w:cs="Arial"/>
          <w:i/>
          <w:sz w:val="22"/>
          <w:szCs w:val="22"/>
        </w:rPr>
        <w:t>.</w:t>
      </w:r>
    </w:p>
    <w:p w:rsidR="008704AB" w:rsidRDefault="008704AB" w:rsidP="008704AB">
      <w:pPr>
        <w:ind w:left="284" w:right="284"/>
        <w:jc w:val="both"/>
        <w:rPr>
          <w:rFonts w:ascii="Bookman Old Style" w:hAnsi="Bookman Old Style" w:cs="Arial"/>
          <w:i/>
          <w:sz w:val="22"/>
          <w:szCs w:val="22"/>
        </w:rPr>
      </w:pPr>
    </w:p>
    <w:p w:rsidR="008704AB" w:rsidRPr="008704AB" w:rsidRDefault="008704AB" w:rsidP="008704AB">
      <w:pPr>
        <w:ind w:left="284" w:right="284"/>
        <w:jc w:val="both"/>
        <w:rPr>
          <w:rFonts w:ascii="Bookman Old Style" w:hAnsi="Bookman Old Style" w:cs="Arial"/>
          <w:i/>
          <w:sz w:val="22"/>
          <w:szCs w:val="22"/>
        </w:rPr>
      </w:pPr>
      <w:r w:rsidRPr="008704AB">
        <w:rPr>
          <w:rFonts w:ascii="Bookman Old Style" w:hAnsi="Bookman Old Style" w:cs="Arial"/>
          <w:i/>
          <w:sz w:val="22"/>
          <w:szCs w:val="22"/>
        </w:rPr>
        <w:t>Llegue a la gerencia de la empresa GAS EXPRESS COLOMBIA S.A.S E.S.P., el 15 de julio del presente año, por lo que procedí a r</w:t>
      </w:r>
      <w:r>
        <w:rPr>
          <w:rFonts w:ascii="Bookman Old Style" w:hAnsi="Bookman Old Style" w:cs="Arial"/>
          <w:i/>
          <w:sz w:val="22"/>
          <w:szCs w:val="22"/>
        </w:rPr>
        <w:t>evisar la información enviada al</w:t>
      </w:r>
      <w:r w:rsidRPr="008704AB">
        <w:rPr>
          <w:rFonts w:ascii="Bookman Old Style" w:hAnsi="Bookman Old Style" w:cs="Arial"/>
          <w:i/>
          <w:sz w:val="22"/>
          <w:szCs w:val="22"/>
        </w:rPr>
        <w:t xml:space="preserve"> SUI, encontrando que la persona encargada no cumplió con la obligación y que finalmente sin que sea una justificación lleva al traste con los intereses de la empresa y terminó en la remoción del gerente anterior y obviamente con la reorganización de toda la información necesaria para este trámite, pero he de informar a ustedes que contamos con ochenta y dos (82) tanques estacionarios, un mil quinientos (1.500 ) cilindros de gas de propiedad del distribuidor, y que corresponden a la compra realizada a la empresa EMMGAS S.A. E.S.P., de conformidad con contrato de compra de marca de fecha 23 de septiembre de 2014, debidamente inscrita en la Superintendencia de Industria y Comercio, por lo que la totalidad de los cilindros y tanques que se encuentren registrados con dicha marca, son en la actualidad de propiedad y para el uso de la GAS EXPRESS COLOMBIA S.A.S.</w:t>
      </w:r>
      <w:r>
        <w:rPr>
          <w:rFonts w:ascii="Bookman Old Style" w:hAnsi="Bookman Old Style" w:cs="Arial"/>
          <w:i/>
          <w:sz w:val="22"/>
          <w:szCs w:val="22"/>
        </w:rPr>
        <w:t xml:space="preserve"> </w:t>
      </w:r>
      <w:r w:rsidRPr="008704AB">
        <w:rPr>
          <w:rFonts w:ascii="Bookman Old Style" w:hAnsi="Bookman Old Style" w:cs="Arial"/>
          <w:i/>
          <w:sz w:val="22"/>
          <w:szCs w:val="22"/>
        </w:rPr>
        <w:t>E.S.P., una capacidad de venta mensual de ciento treinta mil kilos, (130.000 kilos). Adjunto copia del contrato enunciado.</w:t>
      </w:r>
    </w:p>
    <w:p w:rsidR="008704AB" w:rsidRDefault="008704AB" w:rsidP="008704AB">
      <w:pPr>
        <w:ind w:left="284" w:right="284"/>
        <w:jc w:val="both"/>
        <w:rPr>
          <w:rFonts w:ascii="Bookman Old Style" w:hAnsi="Bookman Old Style" w:cs="Arial"/>
          <w:i/>
          <w:sz w:val="22"/>
          <w:szCs w:val="22"/>
        </w:rPr>
      </w:pPr>
    </w:p>
    <w:p w:rsidR="008704AB" w:rsidRPr="008704AB" w:rsidRDefault="008704AB" w:rsidP="008704AB">
      <w:pPr>
        <w:ind w:left="284" w:right="284"/>
        <w:jc w:val="both"/>
        <w:rPr>
          <w:rFonts w:ascii="Bookman Old Style" w:hAnsi="Bookman Old Style" w:cs="Arial"/>
          <w:i/>
          <w:sz w:val="22"/>
          <w:szCs w:val="22"/>
        </w:rPr>
      </w:pPr>
      <w:r w:rsidRPr="008704AB">
        <w:rPr>
          <w:rFonts w:ascii="Bookman Old Style" w:hAnsi="Bookman Old Style" w:cs="Arial"/>
          <w:i/>
          <w:sz w:val="22"/>
          <w:szCs w:val="22"/>
        </w:rPr>
        <w:t>Acorde con esta información se tendría que la capacidad de compra de mi representada es muchísimo mayor y que aceptar la autorizada indefectiblemente nos llevaría al cese de actividades, pues con esa capacidad no solo tendríamos que parar elementos de nuestra propiedad, sino que tendríamos que dejar sin empleo a quienes los operan y finalmente todo ello en detrimento del patrimonio de la empresa.</w:t>
      </w:r>
    </w:p>
    <w:p w:rsidR="008704AB" w:rsidRDefault="008704AB" w:rsidP="008704AB">
      <w:pPr>
        <w:ind w:left="284" w:right="284"/>
        <w:jc w:val="both"/>
        <w:rPr>
          <w:rFonts w:ascii="Bookman Old Style" w:hAnsi="Bookman Old Style" w:cs="Arial"/>
          <w:i/>
          <w:sz w:val="22"/>
          <w:szCs w:val="22"/>
        </w:rPr>
      </w:pPr>
    </w:p>
    <w:p w:rsidR="008704AB" w:rsidRPr="008704AB" w:rsidRDefault="008704AB" w:rsidP="008704AB">
      <w:pPr>
        <w:ind w:left="284" w:right="284"/>
        <w:jc w:val="both"/>
        <w:rPr>
          <w:rFonts w:ascii="Bookman Old Style" w:hAnsi="Bookman Old Style" w:cs="Arial"/>
          <w:i/>
          <w:sz w:val="22"/>
          <w:szCs w:val="22"/>
        </w:rPr>
      </w:pPr>
      <w:r w:rsidRPr="008704AB">
        <w:rPr>
          <w:rFonts w:ascii="Bookman Old Style" w:hAnsi="Bookman Old Style" w:cs="Arial"/>
          <w:i/>
          <w:sz w:val="22"/>
          <w:szCs w:val="22"/>
        </w:rPr>
        <w:t xml:space="preserve">Efectivamente tener capacidad de compra de tan solo 9.628 cc, equivale a operar en dos (2) días, lo que significa que no da para sostener ni siquiera la pequeña empresa, lo que llevaría irremediablemente al cierre por cese de actividades, máxime que por la actividad misma y la naturaleza del producto que se comercializa, a industrias y establecimientos comerciales, obligatoriamente se impone la rotación que no fue </w:t>
      </w:r>
      <w:r w:rsidRPr="008704AB">
        <w:rPr>
          <w:rFonts w:ascii="Bookman Old Style" w:hAnsi="Bookman Old Style" w:cs="Arial"/>
          <w:i/>
          <w:sz w:val="22"/>
          <w:szCs w:val="22"/>
        </w:rPr>
        <w:lastRenderedPageBreak/>
        <w:t>tenida en cuenta al momento de proferir la resolución impugnada, y que de haberse hecho indudablemente hubiese arrogado una mayor capacidad.</w:t>
      </w:r>
    </w:p>
    <w:p w:rsidR="008704AB" w:rsidRDefault="008704AB" w:rsidP="008704AB">
      <w:pPr>
        <w:ind w:left="284" w:right="284"/>
        <w:jc w:val="both"/>
        <w:rPr>
          <w:rFonts w:ascii="Bookman Old Style" w:hAnsi="Bookman Old Style" w:cs="Arial"/>
          <w:i/>
          <w:sz w:val="22"/>
          <w:szCs w:val="22"/>
        </w:rPr>
      </w:pPr>
    </w:p>
    <w:p w:rsidR="002C5546" w:rsidRPr="00AC20F9" w:rsidRDefault="008704AB" w:rsidP="008704AB">
      <w:pPr>
        <w:ind w:left="284" w:right="284"/>
        <w:jc w:val="both"/>
        <w:rPr>
          <w:rFonts w:ascii="Bookman Old Style" w:hAnsi="Bookman Old Style" w:cs="Arial"/>
          <w:i/>
          <w:sz w:val="22"/>
          <w:szCs w:val="22"/>
        </w:rPr>
      </w:pPr>
      <w:r w:rsidRPr="008704AB">
        <w:rPr>
          <w:rFonts w:ascii="Bookman Old Style" w:hAnsi="Bookman Old Style" w:cs="Arial"/>
          <w:i/>
          <w:sz w:val="22"/>
          <w:szCs w:val="22"/>
        </w:rPr>
        <w:t>Es de anotar que no resultan de recibo la culpa de terceros en los fundamentos del recurso de reposición pero lamentablemente como gerente de días, al frente</w:t>
      </w:r>
      <w:r>
        <w:rPr>
          <w:rFonts w:ascii="Bookman Old Style" w:hAnsi="Bookman Old Style" w:cs="Arial"/>
          <w:i/>
          <w:sz w:val="22"/>
          <w:szCs w:val="22"/>
        </w:rPr>
        <w:t xml:space="preserve"> de la empresa y en procura de l</w:t>
      </w:r>
      <w:r w:rsidRPr="008704AB">
        <w:rPr>
          <w:rFonts w:ascii="Bookman Old Style" w:hAnsi="Bookman Old Style" w:cs="Arial"/>
          <w:i/>
          <w:sz w:val="22"/>
          <w:szCs w:val="22"/>
        </w:rPr>
        <w:t>os interes</w:t>
      </w:r>
      <w:r>
        <w:rPr>
          <w:rFonts w:ascii="Bookman Old Style" w:hAnsi="Bookman Old Style" w:cs="Arial"/>
          <w:i/>
          <w:sz w:val="22"/>
          <w:szCs w:val="22"/>
        </w:rPr>
        <w:t>es de la misma</w:t>
      </w:r>
      <w:r w:rsidRPr="008704AB">
        <w:rPr>
          <w:rFonts w:ascii="Bookman Old Style" w:hAnsi="Bookman Old Style" w:cs="Arial"/>
          <w:i/>
          <w:sz w:val="22"/>
          <w:szCs w:val="22"/>
        </w:rPr>
        <w:t>, al frente de una actividad que busca ser legal y que</w:t>
      </w:r>
      <w:r>
        <w:rPr>
          <w:rFonts w:ascii="Bookman Old Style" w:hAnsi="Bookman Old Style" w:cs="Arial"/>
          <w:i/>
          <w:sz w:val="22"/>
          <w:szCs w:val="22"/>
        </w:rPr>
        <w:t xml:space="preserve"> </w:t>
      </w:r>
      <w:r w:rsidRPr="008704AB">
        <w:rPr>
          <w:rFonts w:ascii="Bookman Old Style" w:hAnsi="Bookman Old Style" w:cs="Arial"/>
          <w:i/>
          <w:sz w:val="22"/>
          <w:szCs w:val="22"/>
        </w:rPr>
        <w:t xml:space="preserve">procura el trabajo y el sostenimiento de nuestras familias, debo </w:t>
      </w:r>
      <w:r>
        <w:rPr>
          <w:rFonts w:ascii="Bookman Old Style" w:hAnsi="Bookman Old Style" w:cs="Arial"/>
          <w:i/>
          <w:sz w:val="22"/>
          <w:szCs w:val="22"/>
        </w:rPr>
        <w:t xml:space="preserve">precisar que efectivamente la </w:t>
      </w:r>
      <w:r w:rsidRPr="008704AB">
        <w:rPr>
          <w:rFonts w:ascii="Bookman Old Style" w:hAnsi="Bookman Old Style" w:cs="Arial"/>
          <w:i/>
          <w:sz w:val="22"/>
          <w:szCs w:val="22"/>
        </w:rPr>
        <w:t>informac</w:t>
      </w:r>
      <w:r>
        <w:rPr>
          <w:rFonts w:ascii="Bookman Old Style" w:hAnsi="Bookman Old Style" w:cs="Arial"/>
          <w:i/>
          <w:sz w:val="22"/>
          <w:szCs w:val="22"/>
        </w:rPr>
        <w:t xml:space="preserve">ión con base en la cual ustedes </w:t>
      </w:r>
      <w:r w:rsidRPr="008704AB">
        <w:rPr>
          <w:rFonts w:ascii="Bookman Old Style" w:hAnsi="Bookman Old Style" w:cs="Arial"/>
          <w:i/>
          <w:sz w:val="22"/>
          <w:szCs w:val="22"/>
        </w:rPr>
        <w:t>establecieron dicha capacidad está errada, desconociendo de antemano si es en su registro o es en la información por nosotros suministrada</w:t>
      </w:r>
      <w:r w:rsidR="00350660">
        <w:rPr>
          <w:rFonts w:ascii="Bookman Old Style" w:hAnsi="Bookman Old Style" w:cs="Arial"/>
          <w:i/>
          <w:sz w:val="22"/>
          <w:szCs w:val="22"/>
        </w:rPr>
        <w:t xml:space="preserve"> (…)</w:t>
      </w:r>
      <w:r w:rsidR="00D126E3" w:rsidRPr="00AC20F9">
        <w:rPr>
          <w:rFonts w:ascii="Bookman Old Style" w:hAnsi="Bookman Old Style" w:cs="Arial"/>
          <w:i/>
          <w:sz w:val="22"/>
          <w:szCs w:val="22"/>
        </w:rPr>
        <w:t>”</w:t>
      </w:r>
      <w:r w:rsidR="002A01F2" w:rsidRPr="00AC20F9">
        <w:rPr>
          <w:rFonts w:ascii="Bookman Old Style" w:hAnsi="Bookman Old Style" w:cs="Arial"/>
          <w:i/>
          <w:sz w:val="22"/>
          <w:szCs w:val="22"/>
        </w:rPr>
        <w:t>.</w:t>
      </w:r>
    </w:p>
    <w:p w:rsidR="00A04C6F" w:rsidRPr="00A04C6F" w:rsidRDefault="00A04C6F" w:rsidP="00350660">
      <w:pPr>
        <w:ind w:left="0" w:right="284"/>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380F4F" w:rsidRDefault="00380F4F" w:rsidP="00380F4F">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w:t>
      </w:r>
      <w:r w:rsidR="00FE7D9E">
        <w:rPr>
          <w:rFonts w:ascii="Bookman Old Style" w:hAnsi="Bookman Old Style"/>
          <w:szCs w:val="27"/>
        </w:rPr>
        <w:t>089</w:t>
      </w:r>
      <w:r>
        <w:rPr>
          <w:rFonts w:ascii="Bookman Old Style" w:hAnsi="Bookman Old Style"/>
          <w:szCs w:val="27"/>
        </w:rPr>
        <w:t xml:space="preserve">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r w:rsidR="00FE7D9E">
        <w:rPr>
          <w:rFonts w:ascii="Bookman Old Style" w:hAnsi="Bookman Old Style"/>
          <w:szCs w:val="27"/>
        </w:rPr>
        <w:t>Gas Express Colombia</w:t>
      </w:r>
      <w:r>
        <w:rPr>
          <w:rFonts w:ascii="Bookman Old Style" w:hAnsi="Bookman Old Style"/>
          <w:szCs w:val="27"/>
        </w:rPr>
        <w:t xml:space="preserve">, no con base en la información consignada en </w:t>
      </w:r>
      <w:r w:rsidRPr="00B42221">
        <w:rPr>
          <w:rFonts w:ascii="Bookman Old Style" w:hAnsi="Bookman Old Style"/>
          <w:szCs w:val="27"/>
        </w:rPr>
        <w:t xml:space="preserve">el Sistema Único de Información – SUI, </w:t>
      </w:r>
      <w:r>
        <w:rPr>
          <w:rFonts w:ascii="Bookman Old Style" w:hAnsi="Bookman Old Style"/>
          <w:szCs w:val="27"/>
        </w:rPr>
        <w:t xml:space="preserve">sino con base en la información </w:t>
      </w:r>
      <w:r w:rsidR="00FE7D9E">
        <w:rPr>
          <w:rFonts w:ascii="Bookman Old Style" w:hAnsi="Bookman Old Style"/>
          <w:szCs w:val="27"/>
        </w:rPr>
        <w:t>a la que se hace referencia</w:t>
      </w:r>
      <w:r>
        <w:rPr>
          <w:rFonts w:ascii="Bookman Old Style" w:hAnsi="Bookman Old Style"/>
          <w:szCs w:val="27"/>
        </w:rPr>
        <w:t xml:space="preserve"> en el recurso</w:t>
      </w:r>
      <w:r w:rsidR="00FE7D9E">
        <w:rPr>
          <w:rFonts w:ascii="Bookman Old Style" w:hAnsi="Bookman Old Style"/>
          <w:szCs w:val="27"/>
        </w:rPr>
        <w:t xml:space="preserve"> (e. g. 82 tanques estacionarios y 1500 cilindros)</w:t>
      </w:r>
      <w:r>
        <w:rPr>
          <w:rFonts w:ascii="Bookman Old Style" w:hAnsi="Bookman Old Style"/>
          <w:szCs w:val="27"/>
        </w:rPr>
        <w:t>, la cual correspondería a la realidad de las inversiones en</w:t>
      </w:r>
      <w:r w:rsidR="00FE7D9E">
        <w:rPr>
          <w:rFonts w:ascii="Bookman Old Style" w:hAnsi="Bookman Old Style"/>
          <w:szCs w:val="27"/>
        </w:rPr>
        <w:t xml:space="preserve"> cilindros y</w:t>
      </w:r>
      <w:r>
        <w:rPr>
          <w:rFonts w:ascii="Bookman Old Style" w:hAnsi="Bookman Old Style"/>
          <w:szCs w:val="27"/>
        </w:rPr>
        <w:t xml:space="preserve"> tanques estacionarios con las que cuenta dicha empresa</w:t>
      </w:r>
      <w:r w:rsidR="00FE7D9E">
        <w:rPr>
          <w:rFonts w:ascii="Bookman Old Style" w:hAnsi="Bookman Old Style"/>
          <w:szCs w:val="27"/>
        </w:rPr>
        <w:t>, producto de la cesión de la marca y compra de activos hecho a la empresa EMMGAS S.A. E.S.P. hecha en septiembre de 2014</w:t>
      </w:r>
      <w:r>
        <w:rPr>
          <w:rFonts w:ascii="Bookman Old Style" w:hAnsi="Bookman Old Style"/>
          <w:szCs w:val="27"/>
        </w:rPr>
        <w:t>.</w:t>
      </w:r>
    </w:p>
    <w:p w:rsidR="00792D35" w:rsidRDefault="00792D35" w:rsidP="000F5617">
      <w:pPr>
        <w:pStyle w:val="Textoindependiente2"/>
        <w:spacing w:after="0" w:line="240" w:lineRule="auto"/>
        <w:ind w:left="0" w:right="-142"/>
        <w:jc w:val="both"/>
        <w:rPr>
          <w:rFonts w:ascii="Bookman Old Style" w:hAnsi="Bookman Old Style"/>
          <w:szCs w:val="27"/>
        </w:rPr>
      </w:pPr>
    </w:p>
    <w:p w:rsidR="004A77F0" w:rsidRPr="004A77F0" w:rsidRDefault="004A77F0" w:rsidP="004A77F0">
      <w:pPr>
        <w:ind w:left="-142" w:right="-142"/>
        <w:jc w:val="both"/>
        <w:rPr>
          <w:rFonts w:ascii="Bookman Old Style" w:hAnsi="Bookman Old Style"/>
          <w:szCs w:val="27"/>
        </w:rPr>
      </w:pPr>
      <w:r w:rsidRPr="004A77F0">
        <w:rPr>
          <w:rFonts w:ascii="Bookman Old Style" w:hAnsi="Bookman Old Style"/>
          <w:szCs w:val="27"/>
        </w:rPr>
        <w:t>En este punto se debe tener en cuenta que esta Comisión llevo a cabo la definición de la capacidad de compra de la recurrente con base en la información del Sistema Único de Información – SUI, así como atendiendo el procedimiento previsto en el artículo 8 de la Resolución CREG 063 de 2016, lo cual se refleja en la Resolución CREG 075 de 2016 y su anexo. En atención a lo anterior, dentro de las disposiciones previstas en la Resolución CREG 063 de 2016 se estableció que:</w:t>
      </w:r>
    </w:p>
    <w:p w:rsidR="004A77F0" w:rsidRPr="004A77F0" w:rsidRDefault="004A77F0" w:rsidP="004A77F0">
      <w:pPr>
        <w:ind w:left="0" w:right="-142"/>
        <w:jc w:val="both"/>
        <w:rPr>
          <w:rFonts w:ascii="Bookman Old Style" w:hAnsi="Bookman Old Style"/>
          <w:szCs w:val="27"/>
        </w:rPr>
      </w:pPr>
    </w:p>
    <w:p w:rsidR="004A77F0" w:rsidRPr="004A77F0" w:rsidRDefault="004A77F0" w:rsidP="004A77F0">
      <w:pPr>
        <w:ind w:left="284" w:right="284"/>
        <w:jc w:val="both"/>
        <w:rPr>
          <w:rFonts w:ascii="Bookman Old Style" w:hAnsi="Bookman Old Style"/>
          <w:sz w:val="22"/>
          <w:szCs w:val="22"/>
        </w:rPr>
      </w:pPr>
      <w:r w:rsidRPr="004A77F0">
        <w:rPr>
          <w:rFonts w:ascii="Bookman Old Style" w:hAnsi="Bookman Old Style"/>
          <w:sz w:val="22"/>
          <w:szCs w:val="22"/>
        </w:rPr>
        <w:t>“</w:t>
      </w:r>
      <w:r w:rsidRPr="004A77F0">
        <w:rPr>
          <w:rFonts w:ascii="Bookman Old Style" w:hAnsi="Bookman Old Style"/>
          <w:b/>
          <w:sz w:val="22"/>
          <w:szCs w:val="22"/>
        </w:rPr>
        <w:t xml:space="preserve">Artículo 9. Determinación y publicación de información. </w:t>
      </w:r>
      <w:r w:rsidRPr="004A77F0">
        <w:rPr>
          <w:rFonts w:ascii="Bookman Old Style" w:hAnsi="Bookman Old Style"/>
          <w:sz w:val="22"/>
          <w:szCs w:val="22"/>
        </w:rPr>
        <w:t xml:space="preserve">Atendiendo lo dispuesto en el artículo anterior, la CREG determinará y publicará, por lo menos con un (1) mes de anterioridad al inicio del periodo de compra, </w:t>
      </w:r>
      <w:r w:rsidRPr="004A77F0">
        <w:rPr>
          <w:rFonts w:ascii="Bookman Old Style" w:hAnsi="Bookman Old Style"/>
          <w:sz w:val="22"/>
          <w:szCs w:val="22"/>
          <w:u w:val="single"/>
        </w:rPr>
        <w:t>la capacidad de compra de cada distribuidor, con información reportada al SUI, hasta el día 10 del mes correspondiente.</w:t>
      </w:r>
      <w:r w:rsidRPr="004A77F0">
        <w:rPr>
          <w:rFonts w:ascii="Bookman Old Style" w:hAnsi="Bookman Old Style"/>
          <w:sz w:val="22"/>
          <w:szCs w:val="22"/>
        </w:rPr>
        <w:t>”</w:t>
      </w:r>
      <w:r w:rsidRPr="004A77F0">
        <w:rPr>
          <w:rFonts w:ascii="Bookman Old Style" w:hAnsi="Bookman Old Style"/>
          <w:sz w:val="22"/>
          <w:szCs w:val="22"/>
          <w:vertAlign w:val="superscript"/>
        </w:rPr>
        <w:footnoteReference w:id="5"/>
      </w:r>
    </w:p>
    <w:p w:rsidR="004A77F0" w:rsidRPr="004A77F0" w:rsidRDefault="004A77F0" w:rsidP="004A77F0">
      <w:pPr>
        <w:ind w:left="-142" w:right="-142"/>
        <w:jc w:val="both"/>
        <w:rPr>
          <w:rFonts w:ascii="Bookman Old Style" w:hAnsi="Bookman Old Style"/>
          <w:szCs w:val="27"/>
        </w:rPr>
      </w:pPr>
    </w:p>
    <w:p w:rsidR="004A77F0" w:rsidRPr="004A77F0" w:rsidRDefault="004A77F0" w:rsidP="004A77F0">
      <w:pPr>
        <w:ind w:left="-142" w:right="-142"/>
        <w:jc w:val="both"/>
        <w:rPr>
          <w:rFonts w:ascii="Bookman Old Style" w:hAnsi="Bookman Old Style"/>
          <w:szCs w:val="27"/>
        </w:rPr>
      </w:pPr>
      <w:r w:rsidRPr="004A77F0">
        <w:rPr>
          <w:rFonts w:ascii="Bookman Old Style" w:hAnsi="Bookman Old Style"/>
          <w:szCs w:val="27"/>
        </w:rPr>
        <w:t>Así mismo, a lo largo del artículo 8 se estab</w:t>
      </w:r>
      <w:r>
        <w:rPr>
          <w:rFonts w:ascii="Bookman Old Style" w:hAnsi="Bookman Old Style"/>
          <w:szCs w:val="27"/>
        </w:rPr>
        <w:t>lece que la aplicación de las fó</w:t>
      </w:r>
      <w:r w:rsidRPr="004A77F0">
        <w:rPr>
          <w:rFonts w:ascii="Bookman Old Style" w:hAnsi="Bookman Old Style"/>
          <w:szCs w:val="27"/>
        </w:rPr>
        <w:t xml:space="preserve">rmulas allí previstas, entre otras la determinación de la capacidad de envase en kilogramos se haría con base en la información reportada en el Sistema Único de Información – SUI. </w:t>
      </w:r>
    </w:p>
    <w:p w:rsidR="004A77F0" w:rsidRPr="004A77F0" w:rsidRDefault="004A77F0" w:rsidP="004A77F0">
      <w:pPr>
        <w:ind w:left="-142" w:right="-142"/>
        <w:jc w:val="both"/>
        <w:rPr>
          <w:rFonts w:ascii="Bookman Old Style" w:hAnsi="Bookman Old Style"/>
          <w:szCs w:val="27"/>
        </w:rPr>
      </w:pPr>
    </w:p>
    <w:p w:rsidR="004A77F0" w:rsidRPr="004A77F0" w:rsidRDefault="004A77F0" w:rsidP="004A77F0">
      <w:pPr>
        <w:ind w:left="-142" w:right="-142"/>
        <w:jc w:val="both"/>
        <w:rPr>
          <w:rFonts w:ascii="Bookman Old Style" w:hAnsi="Bookman Old Style" w:cs="Arial"/>
          <w:spacing w:val="-5"/>
          <w:lang w:val="es-CO" w:eastAsia="en-US"/>
        </w:rPr>
      </w:pPr>
      <w:r w:rsidRPr="004A77F0">
        <w:rPr>
          <w:rFonts w:ascii="Bookman Old Style" w:hAnsi="Bookman Old Style"/>
          <w:szCs w:val="27"/>
        </w:rPr>
        <w:t>Estas disposiciones se incorporan, toda vez que como se expone en las consideraciones de la Resolución CREG 063 de 2016, con base en lo dispuesto en la Ley 689 de 2001 y atendiendo las circunstancias específicas en las cuales se ha incorporado la información de cilindros marcados al SUI, esta información corresponde a</w:t>
      </w:r>
      <w:r w:rsidRPr="004A77F0">
        <w:rPr>
          <w:rFonts w:ascii="Bookman Old Style" w:hAnsi="Bookman Old Style" w:cs="Arial"/>
          <w:spacing w:val="-5"/>
          <w:lang w:val="es-CO" w:eastAsia="en-US"/>
        </w:rPr>
        <w:t xml:space="preserve"> la información oficial correspondiente a los cilindros marcados de los distribuidores, Sistema de Información de Cilindros Marcados (SICMA) a partir de la información entregada por la interventoría AIC, proyectos, hasta el año 2012 y la </w:t>
      </w:r>
      <w:r w:rsidRPr="004A77F0">
        <w:rPr>
          <w:rFonts w:ascii="Bookman Old Style" w:hAnsi="Bookman Old Style" w:cs="Arial"/>
          <w:spacing w:val="-5"/>
          <w:lang w:val="es-CO" w:eastAsia="en-US"/>
        </w:rPr>
        <w:lastRenderedPageBreak/>
        <w:t>reportada por los distribuidores de GLP ante la Superintendencia, desde el año 2012 hasta la fecha, mediante la Resolución SSPD No. 20141300040755, por lo tanto ha de ser la tomada en cuenta a efectos de determinar la capacidad de compra en aplicación de lo previsto en el artículo 8 de la Resolución CREG 063 de 2013.</w:t>
      </w:r>
    </w:p>
    <w:p w:rsidR="004A77F0" w:rsidRPr="004A77F0" w:rsidRDefault="004A77F0" w:rsidP="004A77F0">
      <w:pPr>
        <w:ind w:left="-142" w:right="-142"/>
        <w:jc w:val="both"/>
        <w:rPr>
          <w:rFonts w:ascii="Bookman Old Style" w:hAnsi="Bookman Old Style" w:cs="Arial"/>
          <w:spacing w:val="-5"/>
          <w:lang w:val="es-CO" w:eastAsia="en-US"/>
        </w:rPr>
      </w:pPr>
    </w:p>
    <w:p w:rsidR="004A77F0" w:rsidRPr="004A77F0" w:rsidRDefault="004A77F0" w:rsidP="00CA0CD3">
      <w:pPr>
        <w:ind w:left="-142" w:right="-142"/>
        <w:jc w:val="both"/>
        <w:rPr>
          <w:rFonts w:ascii="Bookman Old Style" w:hAnsi="Bookman Old Style" w:cs="Arial"/>
          <w:spacing w:val="-5"/>
          <w:lang w:val="es-CO" w:eastAsia="en-US"/>
        </w:rPr>
      </w:pPr>
      <w:r w:rsidRPr="004A77F0">
        <w:rPr>
          <w:rFonts w:ascii="Bookman Old Style" w:hAnsi="Bookman Old Style" w:cs="Arial"/>
          <w:spacing w:val="-5"/>
          <w:lang w:val="es-CO" w:eastAsia="en-US"/>
        </w:rPr>
        <w:t xml:space="preserve">Ahora, se debe advertir que este evento está expuesto desde el proceso de consulta de la Resolución 221 de 2015, por lo que adicionalmente a la obligación que tienen los distribuidores de reportar y mantener actualizada la información de cilindros al SUI, atendiendo entre otras lo dispuesto en las resoluciones CREG 023, 045 de 2008, CREG 177 de 2011, así como </w:t>
      </w:r>
      <w:r w:rsidR="00CA0CD3">
        <w:rPr>
          <w:rFonts w:ascii="Bookman Old Style" w:hAnsi="Bookman Old Style" w:cs="Arial"/>
          <w:spacing w:val="-5"/>
          <w:lang w:val="es-CO" w:eastAsia="en-US"/>
        </w:rPr>
        <w:t xml:space="preserve">en la </w:t>
      </w:r>
      <w:r w:rsidR="00CA0CD3" w:rsidRPr="00CA0CD3">
        <w:rPr>
          <w:rFonts w:ascii="Bookman Old Style" w:hAnsi="Bookman Old Style" w:cs="Arial"/>
          <w:spacing w:val="-5"/>
          <w:lang w:val="es-CO" w:eastAsia="en-US"/>
        </w:rPr>
        <w:t>Circular conjunta 001 de 2004 de la Superintendencia de Servicios Públicos Domiciliarios y la CREG de reporte de información de activos de GLP</w:t>
      </w:r>
      <w:r>
        <w:rPr>
          <w:rFonts w:ascii="Bookman Old Style" w:hAnsi="Bookman Old Style" w:cs="Arial"/>
          <w:spacing w:val="-5"/>
          <w:lang w:val="es-CO" w:eastAsia="en-US"/>
        </w:rPr>
        <w:t>, por lo que</w:t>
      </w:r>
      <w:r w:rsidRPr="004A77F0">
        <w:rPr>
          <w:rFonts w:ascii="Bookman Old Style" w:hAnsi="Bookman Old Style" w:cs="Arial"/>
          <w:spacing w:val="-5"/>
          <w:lang w:val="es-CO" w:eastAsia="en-US"/>
        </w:rPr>
        <w:t xml:space="preserve"> los agentes contaron con un período aproximado de 5 meses para llevar a cabo los reportes y las actualizaciones de la información en el SUI. </w:t>
      </w:r>
    </w:p>
    <w:p w:rsidR="004A77F0" w:rsidRPr="004A77F0" w:rsidRDefault="004A77F0" w:rsidP="004A77F0">
      <w:pPr>
        <w:ind w:left="-142" w:right="-142"/>
        <w:jc w:val="both"/>
        <w:rPr>
          <w:rFonts w:ascii="Bookman Old Style" w:hAnsi="Bookman Old Style" w:cs="Arial"/>
          <w:spacing w:val="-5"/>
          <w:lang w:val="es-CO" w:eastAsia="en-US"/>
        </w:rPr>
      </w:pPr>
    </w:p>
    <w:p w:rsidR="004A77F0" w:rsidRDefault="004A77F0" w:rsidP="004A77F0">
      <w:pPr>
        <w:ind w:left="-142" w:right="-142"/>
        <w:jc w:val="both"/>
        <w:rPr>
          <w:rFonts w:ascii="Bookman Old Style" w:hAnsi="Bookman Old Style" w:cs="Arial"/>
          <w:spacing w:val="-5"/>
          <w:lang w:val="es-CO" w:eastAsia="en-US"/>
        </w:rPr>
      </w:pPr>
      <w:r w:rsidRPr="004A77F0">
        <w:rPr>
          <w:rFonts w:ascii="Bookman Old Style" w:hAnsi="Bookman Old Style" w:cs="Arial"/>
          <w:spacing w:val="-5"/>
          <w:lang w:val="es-CO" w:eastAsia="en-US"/>
        </w:rPr>
        <w:t xml:space="preserve">En este sentido, no son de recibo los argumentos y la información en la expuesta por la empresa con respecto </w:t>
      </w:r>
      <w:r w:rsidR="00AF64D4">
        <w:rPr>
          <w:rFonts w:ascii="Bookman Old Style" w:hAnsi="Bookman Old Style" w:cs="Arial"/>
          <w:spacing w:val="-5"/>
          <w:lang w:val="es-CO" w:eastAsia="en-US"/>
        </w:rPr>
        <w:t>a la cantidad real de cilindros</w:t>
      </w:r>
      <w:r>
        <w:rPr>
          <w:rFonts w:ascii="Bookman Old Style" w:hAnsi="Bookman Old Style" w:cs="Arial"/>
          <w:spacing w:val="-5"/>
          <w:lang w:val="es-CO" w:eastAsia="en-US"/>
        </w:rPr>
        <w:t xml:space="preserve"> y tanques estacionarios con los que </w:t>
      </w:r>
      <w:r w:rsidRPr="004A77F0">
        <w:rPr>
          <w:rFonts w:ascii="Bookman Old Style" w:hAnsi="Bookman Old Style" w:cs="Arial"/>
          <w:spacing w:val="-5"/>
          <w:lang w:val="es-CO" w:eastAsia="en-US"/>
        </w:rPr>
        <w:t>esta cuenta, toda vez que de tenerla como procedente, esta Comisión estaría desconociendo las obligaciones que la misma regulación ha establecido a cargo de los distribuidores en relación con tener actualizado el repor</w:t>
      </w:r>
      <w:r>
        <w:rPr>
          <w:rFonts w:ascii="Bookman Old Style" w:hAnsi="Bookman Old Style" w:cs="Arial"/>
          <w:spacing w:val="-5"/>
          <w:lang w:val="es-CO" w:eastAsia="en-US"/>
        </w:rPr>
        <w:t>te de esta información, incluida la cesión de las marcas y activos que se adquirían de otras empresas distribuidoras, entre</w:t>
      </w:r>
      <w:r w:rsidRPr="004A77F0">
        <w:rPr>
          <w:rFonts w:ascii="Bookman Old Style" w:hAnsi="Bookman Old Style" w:cs="Arial"/>
          <w:spacing w:val="-5"/>
          <w:lang w:val="es-CO" w:eastAsia="en-US"/>
        </w:rPr>
        <w:t xml:space="preserve"> otros, de acuerdo con lo previsto en los artículos 6 y 9 de la Resolución CREG 023 de 2008. </w:t>
      </w:r>
    </w:p>
    <w:p w:rsidR="004A77F0" w:rsidRDefault="004A77F0" w:rsidP="004A77F0">
      <w:pPr>
        <w:ind w:left="-142" w:right="-142"/>
        <w:jc w:val="both"/>
        <w:rPr>
          <w:rFonts w:ascii="Bookman Old Style" w:hAnsi="Bookman Old Style" w:cs="Arial"/>
          <w:spacing w:val="-5"/>
          <w:lang w:val="es-CO" w:eastAsia="en-US"/>
        </w:rPr>
      </w:pPr>
    </w:p>
    <w:p w:rsidR="004A77F0" w:rsidRPr="004A77F0" w:rsidRDefault="004A77F0" w:rsidP="004A77F0">
      <w:pPr>
        <w:ind w:left="-142" w:right="-142"/>
        <w:jc w:val="both"/>
        <w:rPr>
          <w:rFonts w:ascii="Bookman Old Style" w:hAnsi="Bookman Old Style" w:cs="Arial"/>
          <w:spacing w:val="-5"/>
          <w:lang w:val="es-CO" w:eastAsia="en-US"/>
        </w:rPr>
      </w:pPr>
      <w:r w:rsidRPr="004A77F0">
        <w:rPr>
          <w:rFonts w:ascii="Bookman Old Style" w:hAnsi="Bookman Old Style" w:cs="Arial"/>
          <w:spacing w:val="-5"/>
          <w:lang w:val="es-CO" w:eastAsia="en-US"/>
        </w:rPr>
        <w:t xml:space="preserve">Así mismo, se estaría dando un tratamiento diferencial injustificado frente a la forma en que se llevó a cabo la definición de la capacidad de compra a los demás agentes bajo ninguna justificación válida y razonable, lo cual iría igualmente en contra del principio general del derecho </w:t>
      </w:r>
      <w:r w:rsidRPr="004A77F0">
        <w:rPr>
          <w:rFonts w:ascii="Bookman Old Style" w:hAnsi="Bookman Old Style" w:cs="Arial"/>
          <w:i/>
          <w:spacing w:val="-5"/>
          <w:lang w:val="es-CO" w:eastAsia="en-US"/>
        </w:rPr>
        <w:t>nemo auditur propiam turpitudinem allegans</w:t>
      </w:r>
      <w:r w:rsidRPr="004A77F0">
        <w:rPr>
          <w:rFonts w:ascii="Bookman Old Style" w:hAnsi="Bookman Old Style" w:cs="Arial"/>
          <w:spacing w:val="-5"/>
          <w:lang w:val="es-CO" w:eastAsia="en-US"/>
        </w:rPr>
        <w:t xml:space="preserve"> el cual hace referencia a que nadie puede alegar a su favor su propia culpa, atendiendo el alcance que la Ley 689 de 2001 le ha dado a la información del SUI.</w:t>
      </w:r>
    </w:p>
    <w:p w:rsidR="004A77F0" w:rsidRPr="004A77F0" w:rsidRDefault="004A77F0" w:rsidP="004A77F0">
      <w:pPr>
        <w:ind w:left="-142" w:right="-142"/>
        <w:jc w:val="both"/>
        <w:rPr>
          <w:rFonts w:ascii="Bookman Old Style" w:hAnsi="Bookman Old Style" w:cs="Arial"/>
          <w:spacing w:val="-5"/>
          <w:lang w:val="es-CO" w:eastAsia="en-US"/>
        </w:rPr>
      </w:pPr>
    </w:p>
    <w:p w:rsidR="004A77F0" w:rsidRPr="004A77F0" w:rsidRDefault="004A77F0" w:rsidP="004A77F0">
      <w:pPr>
        <w:ind w:left="-142" w:right="-142"/>
        <w:jc w:val="both"/>
        <w:rPr>
          <w:rFonts w:ascii="Bookman Old Style" w:hAnsi="Bookman Old Style" w:cs="Arial"/>
          <w:spacing w:val="-5"/>
          <w:lang w:val="es-CO" w:eastAsia="en-US"/>
        </w:rPr>
      </w:pPr>
      <w:r w:rsidRPr="004A77F0">
        <w:rPr>
          <w:rFonts w:ascii="Bookman Old Style" w:hAnsi="Bookman Old Style" w:cs="Arial"/>
          <w:spacing w:val="-5"/>
          <w:lang w:val="es-CO" w:eastAsia="en-US"/>
        </w:rPr>
        <w:t xml:space="preserve">En este sentido, la información allegada es impertinente, improcedente y no brinda elementos de juicio a esta Comisión a efectos de modificar lo resuelto en la Resolución CREG </w:t>
      </w:r>
      <w:r>
        <w:rPr>
          <w:rFonts w:ascii="Bookman Old Style" w:hAnsi="Bookman Old Style" w:cs="Arial"/>
          <w:spacing w:val="-5"/>
          <w:lang w:val="es-CO" w:eastAsia="en-US"/>
        </w:rPr>
        <w:t>089</w:t>
      </w:r>
      <w:r w:rsidRPr="004A77F0">
        <w:rPr>
          <w:rFonts w:ascii="Bookman Old Style" w:hAnsi="Bookman Old Style" w:cs="Arial"/>
          <w:spacing w:val="-5"/>
          <w:lang w:val="es-CO" w:eastAsia="en-US"/>
        </w:rPr>
        <w:t xml:space="preserve"> de 2016, toda vez que la misma debió ser reportada ante la Superintendencia de Servicios Públicos Domiciliarios en cumplimiento de las obligaciones que en esta materia establece la ley y la regulación en las normas citadas, de la misma manera que no se adjunta ningún soporte del cargue o reporte al SUI por parte de la recurrente, que genera en esta Comisión la necesidad de acudir ante la Superintendencia de Servicios Públicos Domiciliarios a fin de precisar si existe alguna modificación en la información remitida a esta Comisión a efectos de llevar a cabo la determinación de la capacidad de compra.</w:t>
      </w:r>
    </w:p>
    <w:p w:rsidR="004A77F0" w:rsidRPr="004A77F0" w:rsidRDefault="004A77F0" w:rsidP="004A77F0">
      <w:pPr>
        <w:widowControl w:val="0"/>
        <w:tabs>
          <w:tab w:val="right" w:pos="9498"/>
        </w:tabs>
        <w:adjustRightInd w:val="0"/>
        <w:ind w:left="0" w:right="-142"/>
        <w:jc w:val="both"/>
        <w:rPr>
          <w:rFonts w:ascii="Bookman Old Style" w:hAnsi="Bookman Old Style" w:cs="Arial"/>
        </w:rPr>
      </w:pPr>
    </w:p>
    <w:p w:rsidR="004A77F0" w:rsidRPr="004A77F0" w:rsidRDefault="004A77F0" w:rsidP="004A77F0">
      <w:pPr>
        <w:ind w:left="-142" w:right="-142"/>
        <w:jc w:val="both"/>
        <w:rPr>
          <w:rFonts w:ascii="Bookman Old Style" w:hAnsi="Bookman Old Style"/>
          <w:szCs w:val="27"/>
        </w:rPr>
      </w:pPr>
      <w:r w:rsidRPr="004A77F0">
        <w:rPr>
          <w:rFonts w:ascii="Bookman Old Style" w:hAnsi="Bookman Old Style"/>
          <w:szCs w:val="27"/>
        </w:rPr>
        <w:t xml:space="preserve">Es por esto que una vez analizadas las consideraciones expuestas por </w:t>
      </w:r>
      <w:r>
        <w:rPr>
          <w:rFonts w:ascii="Bookman Old Style" w:hAnsi="Bookman Old Style"/>
          <w:szCs w:val="27"/>
        </w:rPr>
        <w:t>Gas Express Colombia</w:t>
      </w:r>
      <w:r w:rsidRPr="004A77F0">
        <w:rPr>
          <w:rFonts w:ascii="Bookman Old Style" w:hAnsi="Bookman Old Style"/>
          <w:szCs w:val="27"/>
        </w:rPr>
        <w:t xml:space="preserve"> en el recurso de reposición, dichos argumentos no son procedentes, razón por la cual no llevan a revocar o modificar la decisión adoptada por la CREG en la Resolución CREG </w:t>
      </w:r>
      <w:r>
        <w:rPr>
          <w:rFonts w:ascii="Bookman Old Style" w:hAnsi="Bookman Old Style"/>
          <w:szCs w:val="27"/>
        </w:rPr>
        <w:t>089</w:t>
      </w:r>
      <w:r w:rsidRPr="004A77F0">
        <w:rPr>
          <w:rFonts w:ascii="Bookman Old Style" w:hAnsi="Bookman Old Style"/>
          <w:szCs w:val="27"/>
        </w:rPr>
        <w:t xml:space="preserve"> de 2016. </w:t>
      </w:r>
    </w:p>
    <w:p w:rsidR="00F630ED" w:rsidRDefault="00F630ED" w:rsidP="004A77F0">
      <w:pPr>
        <w:pStyle w:val="Textoindependiente2"/>
        <w:spacing w:after="0" w:line="240" w:lineRule="auto"/>
        <w:ind w:left="0" w:right="-142"/>
        <w:jc w:val="both"/>
        <w:rPr>
          <w:rFonts w:ascii="Bookman Old Style" w:hAnsi="Bookman Old Style"/>
          <w:szCs w:val="27"/>
        </w:rPr>
      </w:pPr>
    </w:p>
    <w:p w:rsidR="000C6283" w:rsidRPr="00EE6670" w:rsidRDefault="000C6283" w:rsidP="000C628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bien, t</w:t>
      </w:r>
      <w:r w:rsidRPr="00EE6670">
        <w:rPr>
          <w:rFonts w:ascii="Bookman Old Style" w:hAnsi="Bookman Old Style"/>
          <w:szCs w:val="27"/>
        </w:rPr>
        <w:t>eniendo en cuenta que dentro de</w:t>
      </w:r>
      <w:r>
        <w:rPr>
          <w:rFonts w:ascii="Bookman Old Style" w:hAnsi="Bookman Old Style"/>
          <w:szCs w:val="27"/>
        </w:rPr>
        <w:t xml:space="preserve"> los argumentos expuestos por una serie de empresas dentro de sus</w:t>
      </w:r>
      <w:r w:rsidRPr="00EE6670">
        <w:rPr>
          <w:rFonts w:ascii="Bookman Old Style" w:hAnsi="Bookman Old Style"/>
          <w:szCs w:val="27"/>
        </w:rPr>
        <w:t xml:space="preserve"> recurso</w:t>
      </w:r>
      <w:r>
        <w:rPr>
          <w:rFonts w:ascii="Bookman Old Style" w:hAnsi="Bookman Old Style"/>
          <w:szCs w:val="27"/>
        </w:rPr>
        <w:t>s</w:t>
      </w:r>
      <w:r w:rsidRPr="00EE6670">
        <w:rPr>
          <w:rFonts w:ascii="Bookman Old Style" w:hAnsi="Bookman Old Style"/>
          <w:szCs w:val="27"/>
        </w:rPr>
        <w:t xml:space="preserve"> de reposición se encontraban elementos relacionados con una posible diferencia de información del Sistema Único de Información – SUI</w:t>
      </w:r>
      <w:r>
        <w:rPr>
          <w:rFonts w:ascii="Bookman Old Style" w:hAnsi="Bookman Old Style"/>
          <w:szCs w:val="27"/>
        </w:rPr>
        <w:t>,</w:t>
      </w:r>
      <w:r w:rsidRPr="00EE6670">
        <w:rPr>
          <w:rFonts w:ascii="Bookman Old Style" w:hAnsi="Bookman Old Style"/>
          <w:szCs w:val="27"/>
        </w:rPr>
        <w:t xml:space="preserve"> en relación con el número </w:t>
      </w:r>
      <w:r>
        <w:rPr>
          <w:rFonts w:ascii="Bookman Old Style" w:hAnsi="Bookman Old Style"/>
          <w:szCs w:val="27"/>
        </w:rPr>
        <w:t>de cilindros marcados y de tanques estacionarios</w:t>
      </w:r>
      <w:r w:rsidRPr="00EE6670">
        <w:rPr>
          <w:rFonts w:ascii="Bookman Old Style" w:hAnsi="Bookman Old Style"/>
          <w:szCs w:val="27"/>
        </w:rPr>
        <w:t xml:space="preserve"> efectivamente reportados</w:t>
      </w:r>
      <w:r>
        <w:rPr>
          <w:rFonts w:ascii="Bookman Old Style" w:hAnsi="Bookman Old Style"/>
          <w:szCs w:val="27"/>
        </w:rPr>
        <w:t xml:space="preserve">, para lo cual se adjuntaban soportes de </w:t>
      </w:r>
      <w:r>
        <w:rPr>
          <w:rFonts w:ascii="Bookman Old Style" w:hAnsi="Bookman Old Style"/>
          <w:szCs w:val="27"/>
        </w:rPr>
        <w:lastRenderedPageBreak/>
        <w:t>estas afirmaciones, esta Comisión de acuerdo con las</w:t>
      </w:r>
      <w:r w:rsidRPr="00EE6670">
        <w:rPr>
          <w:rFonts w:ascii="Bookman Old Style" w:hAnsi="Bookman Old Style"/>
          <w:szCs w:val="27"/>
        </w:rPr>
        <w:t xml:space="preserve"> facultades </w:t>
      </w:r>
      <w:r>
        <w:rPr>
          <w:rFonts w:ascii="Bookman Old Style" w:hAnsi="Bookman Old Style"/>
          <w:szCs w:val="27"/>
        </w:rPr>
        <w:t xml:space="preserve">con las que cuenta en </w:t>
      </w:r>
      <w:r w:rsidRPr="00EE6670">
        <w:rPr>
          <w:rFonts w:ascii="Bookman Old Style" w:hAnsi="Bookman Old Style"/>
          <w:szCs w:val="27"/>
        </w:rPr>
        <w:t xml:space="preserve">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0C6283" w:rsidRPr="00EE6670" w:rsidRDefault="000C6283" w:rsidP="000C6283">
      <w:pPr>
        <w:ind w:left="284" w:right="284"/>
        <w:jc w:val="both"/>
        <w:rPr>
          <w:rFonts w:ascii="Bookman Old Style" w:hAnsi="Bookman Old Style" w:cs="Arial"/>
          <w:i/>
          <w:sz w:val="22"/>
          <w:szCs w:val="22"/>
        </w:rPr>
      </w:pPr>
    </w:p>
    <w:p w:rsidR="000C6283" w:rsidRPr="00EE6670" w:rsidRDefault="000C6283" w:rsidP="000C6283">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0C6283" w:rsidRPr="00EE6670" w:rsidRDefault="000C6283" w:rsidP="000C6283">
      <w:pPr>
        <w:ind w:left="284" w:right="284"/>
        <w:jc w:val="both"/>
        <w:rPr>
          <w:rFonts w:ascii="Bookman Old Style" w:hAnsi="Bookman Old Style" w:cs="Arial"/>
          <w:i/>
          <w:sz w:val="22"/>
          <w:szCs w:val="22"/>
        </w:rPr>
      </w:pPr>
    </w:p>
    <w:p w:rsidR="000C6283" w:rsidRPr="00EE6670" w:rsidRDefault="000C6283" w:rsidP="000C6283">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0C6283" w:rsidRPr="00EE6670" w:rsidRDefault="000C6283" w:rsidP="000C6283">
      <w:pPr>
        <w:ind w:left="284" w:right="284"/>
        <w:jc w:val="both"/>
        <w:rPr>
          <w:rFonts w:ascii="Bookman Old Style" w:hAnsi="Bookman Old Style" w:cs="Arial"/>
          <w:i/>
          <w:sz w:val="22"/>
          <w:szCs w:val="22"/>
        </w:rPr>
      </w:pPr>
    </w:p>
    <w:p w:rsidR="000C6283" w:rsidRPr="00EE6670" w:rsidRDefault="000C6283" w:rsidP="000C6283">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0C6283" w:rsidRPr="00EE6670" w:rsidRDefault="000C6283" w:rsidP="000C6283">
      <w:pPr>
        <w:ind w:left="284" w:right="284"/>
        <w:jc w:val="both"/>
        <w:rPr>
          <w:rFonts w:ascii="Bookman Old Style" w:hAnsi="Bookman Old Style" w:cs="Arial"/>
          <w:i/>
          <w:sz w:val="22"/>
          <w:szCs w:val="22"/>
        </w:rPr>
      </w:pPr>
    </w:p>
    <w:p w:rsidR="000C6283" w:rsidRPr="00EE6670" w:rsidRDefault="000C6283" w:rsidP="000C6283">
      <w:pPr>
        <w:ind w:left="284" w:right="284"/>
        <w:jc w:val="both"/>
        <w:rPr>
          <w:rFonts w:ascii="Bookman Old Style" w:hAnsi="Bookman Old Style" w:cs="Arial"/>
          <w:i/>
          <w:sz w:val="22"/>
          <w:szCs w:val="22"/>
        </w:rPr>
      </w:pPr>
      <w:r w:rsidRPr="00EE6670">
        <w:rPr>
          <w:rFonts w:ascii="Bookman Old Style" w:hAnsi="Bookman Old Style" w:cs="Arial"/>
          <w:i/>
          <w:sz w:val="22"/>
          <w:szCs w:val="22"/>
        </w:rPr>
        <w:t>Para el efecto se remitirá a la Superintendencia la información del archivo Excel correspondiente al radicado CREG E-2016-005769, así como copia de los recursos de reposición interpuestos en contra de las resolu</w:t>
      </w:r>
      <w:r>
        <w:rPr>
          <w:rFonts w:ascii="Bookman Old Style" w:hAnsi="Bookman Old Style" w:cs="Arial"/>
          <w:i/>
          <w:sz w:val="22"/>
          <w:szCs w:val="22"/>
        </w:rPr>
        <w:t>ciones CREG 075 y 089 de 2016</w:t>
      </w:r>
      <w:r w:rsidRPr="00EE6670">
        <w:rPr>
          <w:rFonts w:ascii="Bookman Old Style" w:hAnsi="Bookman Old Style" w:cs="Arial"/>
          <w:i/>
          <w:sz w:val="22"/>
          <w:szCs w:val="22"/>
        </w:rPr>
        <w:t>.</w:t>
      </w:r>
      <w:r>
        <w:rPr>
          <w:rFonts w:ascii="Bookman Old Style" w:hAnsi="Bookman Old Style" w:cs="Arial"/>
          <w:i/>
          <w:sz w:val="22"/>
          <w:szCs w:val="22"/>
        </w:rPr>
        <w:t>”</w:t>
      </w:r>
    </w:p>
    <w:p w:rsidR="000C6283" w:rsidRPr="007F1548" w:rsidRDefault="000C6283" w:rsidP="000C6283">
      <w:pPr>
        <w:jc w:val="both"/>
        <w:rPr>
          <w:rFonts w:ascii="Arial" w:hAnsi="Arial" w:cs="Arial"/>
          <w:bCs/>
          <w:sz w:val="22"/>
          <w:szCs w:val="22"/>
          <w:lang w:val="es-CO"/>
        </w:rPr>
      </w:pPr>
    </w:p>
    <w:p w:rsidR="000C6283" w:rsidRPr="00EE6670" w:rsidRDefault="000C6283" w:rsidP="000C6283">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Posteriormente se expidió el Auto I-2016-004099 a efectos de incluir a las empresas Gases de Popayán y Electrogas dentro de la misma solicitud hecha a la Superintendencia, como parte del decreto y práctica de pruebas hecho inicialmente para 12 empresas distribuidoras en el Auto I-2016-003755.</w:t>
      </w:r>
    </w:p>
    <w:p w:rsidR="000C6283" w:rsidRPr="00EE6670" w:rsidRDefault="000C6283" w:rsidP="000C6283">
      <w:pPr>
        <w:pStyle w:val="Textoindependiente2"/>
        <w:spacing w:after="0" w:line="240" w:lineRule="auto"/>
        <w:ind w:left="0" w:right="-142"/>
        <w:jc w:val="both"/>
        <w:rPr>
          <w:rFonts w:ascii="Bookman Old Style" w:hAnsi="Bookman Old Style"/>
          <w:szCs w:val="27"/>
        </w:rPr>
      </w:pPr>
    </w:p>
    <w:p w:rsidR="000C6283" w:rsidRDefault="000C6283" w:rsidP="000C6283">
      <w:pPr>
        <w:pStyle w:val="Textoindependiente2"/>
        <w:spacing w:after="0" w:line="240" w:lineRule="auto"/>
        <w:ind w:left="-142" w:right="-142"/>
        <w:jc w:val="both"/>
        <w:rPr>
          <w:rFonts w:ascii="Bookman Old Style" w:hAnsi="Bookman Old Style"/>
          <w:szCs w:val="27"/>
        </w:rPr>
      </w:pPr>
      <w:r w:rsidRPr="00D24BFC">
        <w:rPr>
          <w:rFonts w:ascii="Bookman Old Style" w:hAnsi="Bookman Old Style"/>
          <w:szCs w:val="27"/>
        </w:rPr>
        <w:t>Mediante oficio</w:t>
      </w:r>
      <w:r>
        <w:rPr>
          <w:rFonts w:ascii="Bookman Old Style" w:hAnsi="Bookman Old Style"/>
          <w:szCs w:val="27"/>
        </w:rPr>
        <w:t>s</w:t>
      </w:r>
      <w:r w:rsidRPr="00D24BFC">
        <w:rPr>
          <w:rFonts w:ascii="Bookman Old Style" w:hAnsi="Bookman Old Style"/>
          <w:szCs w:val="27"/>
        </w:rPr>
        <w:t xml:space="preserve"> con radicado CREG E-2016-010390 de 23 de septiembre </w:t>
      </w:r>
      <w:r>
        <w:rPr>
          <w:rFonts w:ascii="Bookman Old Style" w:hAnsi="Bookman Old Style"/>
          <w:szCs w:val="27"/>
        </w:rPr>
        <w:t>y E-2016-</w:t>
      </w:r>
      <w:r w:rsidR="00A813E2">
        <w:rPr>
          <w:rFonts w:ascii="Bookman Old Style" w:hAnsi="Bookman Old Style"/>
          <w:szCs w:val="27"/>
        </w:rPr>
        <w:t>010752</w:t>
      </w:r>
      <w:r>
        <w:rPr>
          <w:rFonts w:ascii="Bookman Old Style" w:hAnsi="Bookman Old Style"/>
          <w:szCs w:val="27"/>
        </w:rPr>
        <w:t xml:space="preserve"> de septiembre 30 </w:t>
      </w:r>
      <w:r w:rsidRPr="00D24BFC">
        <w:rPr>
          <w:rFonts w:ascii="Bookman Old Style" w:hAnsi="Bookman Old Style"/>
          <w:szCs w:val="27"/>
        </w:rPr>
        <w:t xml:space="preserve">de 2016 la Superintendencia de Servicios Públicos Domiciliarios a través de la Delegada de Energía Eléctrica y Gas Combustible remitió la información solicitada por esta Comisión. </w:t>
      </w:r>
    </w:p>
    <w:p w:rsidR="000C6283" w:rsidRDefault="000C6283" w:rsidP="000C6283">
      <w:pPr>
        <w:pStyle w:val="Textoindependiente2"/>
        <w:spacing w:after="0" w:line="240" w:lineRule="auto"/>
        <w:ind w:left="-142" w:right="-142"/>
        <w:jc w:val="both"/>
        <w:rPr>
          <w:rFonts w:ascii="Bookman Old Style" w:hAnsi="Bookman Old Style"/>
          <w:szCs w:val="27"/>
        </w:rPr>
      </w:pPr>
    </w:p>
    <w:p w:rsidR="000C6283" w:rsidRDefault="000C6283" w:rsidP="000C628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Igualmente, dentro del auto de pruebas esta Comisión precisó lo siguiente:</w:t>
      </w:r>
    </w:p>
    <w:p w:rsidR="000C6283" w:rsidRDefault="000C6283" w:rsidP="000C6283">
      <w:pPr>
        <w:pStyle w:val="Textoindependiente2"/>
        <w:spacing w:after="0" w:line="240" w:lineRule="auto"/>
        <w:ind w:left="-142" w:right="-142"/>
        <w:jc w:val="both"/>
        <w:rPr>
          <w:rFonts w:ascii="Bookman Old Style" w:hAnsi="Bookman Old Style"/>
          <w:szCs w:val="27"/>
        </w:rPr>
      </w:pPr>
    </w:p>
    <w:p w:rsidR="000C6283" w:rsidRPr="00EE6670" w:rsidRDefault="000C6283" w:rsidP="000C6283">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w:t>
      </w:r>
      <w:r w:rsidRPr="00EE6670">
        <w:rPr>
          <w:rFonts w:ascii="Bookman Old Style" w:hAnsi="Bookman Old Style" w:cs="Arial"/>
          <w:i/>
          <w:sz w:val="22"/>
          <w:szCs w:val="22"/>
        </w:rPr>
        <w:lastRenderedPageBreak/>
        <w:t xml:space="preserve">artículo 31 de la Resolución CREG 045 de 2008 (información del SICMA y del SICUN), de acuerdo con el siguiente formato: </w:t>
      </w:r>
    </w:p>
    <w:p w:rsidR="000C6283" w:rsidRPr="00EE6670" w:rsidRDefault="000C6283" w:rsidP="000C6283">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0C6283" w:rsidRPr="006B1C94" w:rsidTr="0052214C">
        <w:trPr>
          <w:jc w:val="center"/>
        </w:trPr>
        <w:tc>
          <w:tcPr>
            <w:tcW w:w="2408" w:type="dxa"/>
            <w:shd w:val="clear" w:color="auto" w:fill="auto"/>
            <w:vAlign w:val="center"/>
          </w:tcPr>
          <w:p w:rsidR="000C6283" w:rsidRPr="006B1C94" w:rsidRDefault="000C6283" w:rsidP="0052214C">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0C6283" w:rsidRPr="006B1C94" w:rsidRDefault="000C6283" w:rsidP="0052214C">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0C6283" w:rsidRPr="006B1C94" w:rsidRDefault="000C6283" w:rsidP="0052214C">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0C6283" w:rsidRDefault="000C6283" w:rsidP="000C6283">
      <w:pPr>
        <w:pStyle w:val="Textoindependiente"/>
        <w:rPr>
          <w:sz w:val="22"/>
          <w:szCs w:val="22"/>
        </w:rPr>
      </w:pPr>
    </w:p>
    <w:p w:rsidR="000C6283" w:rsidRDefault="000C6283" w:rsidP="000C6283">
      <w:pPr>
        <w:ind w:left="284" w:right="284"/>
        <w:jc w:val="both"/>
        <w:rPr>
          <w:rFonts w:ascii="Bookman Old Style" w:hAnsi="Bookman Old Style"/>
          <w:szCs w:val="27"/>
        </w:rPr>
      </w:pPr>
      <w:r w:rsidRPr="00EE6670">
        <w:rPr>
          <w:rFonts w:ascii="Bookman Old Style" w:hAnsi="Bookman Old Style" w:cs="Arial"/>
          <w:i/>
          <w:sz w:val="22"/>
          <w:szCs w:val="22"/>
        </w:rPr>
        <w:t xml:space="preserve">Así mismo, remitir la información de tanques estacionarios atendidos por cada distribuidor y su capacidad en galones correspondiente al año 2015 de acuerdo con lo reportado a la Superintendencia de Servicios Públicos Domiciliarios en el Sistema Único de Información </w:t>
      </w:r>
      <w:r>
        <w:rPr>
          <w:rFonts w:ascii="Bookman Old Style" w:hAnsi="Bookman Old Style" w:cs="Arial"/>
          <w:i/>
          <w:sz w:val="22"/>
          <w:szCs w:val="22"/>
        </w:rPr>
        <w:t>–</w:t>
      </w:r>
      <w:r w:rsidRPr="00EE6670">
        <w:rPr>
          <w:rFonts w:ascii="Bookman Old Style" w:hAnsi="Bookman Old Style" w:cs="Arial"/>
          <w:i/>
          <w:sz w:val="22"/>
          <w:szCs w:val="22"/>
        </w:rPr>
        <w:t xml:space="preserve"> SUI</w:t>
      </w:r>
      <w:r>
        <w:rPr>
          <w:rFonts w:ascii="Bookman Old Style" w:hAnsi="Bookman Old Style" w:cs="Arial"/>
          <w:i/>
          <w:sz w:val="22"/>
          <w:szCs w:val="22"/>
        </w:rPr>
        <w:t>”</w:t>
      </w:r>
    </w:p>
    <w:p w:rsidR="000C6283" w:rsidRDefault="000C6283" w:rsidP="000C6283">
      <w:pPr>
        <w:pStyle w:val="Textoindependiente2"/>
        <w:spacing w:after="0" w:line="240" w:lineRule="auto"/>
        <w:ind w:left="-142" w:right="-142"/>
        <w:jc w:val="both"/>
        <w:rPr>
          <w:rFonts w:ascii="Bookman Old Style" w:hAnsi="Bookman Old Style"/>
          <w:szCs w:val="27"/>
        </w:rPr>
      </w:pPr>
    </w:p>
    <w:p w:rsidR="000C6283" w:rsidRDefault="000C6283" w:rsidP="000C628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esta solicitud la </w:t>
      </w:r>
      <w:r w:rsidRPr="005912CB">
        <w:rPr>
          <w:rFonts w:ascii="Bookman Old Style" w:hAnsi="Bookman Old Style"/>
          <w:szCs w:val="27"/>
        </w:rPr>
        <w:t>Superintendencia de Servicios Públicos Domiciliarios</w:t>
      </w:r>
      <w:r>
        <w:rPr>
          <w:rFonts w:ascii="Bookman Old Style" w:hAnsi="Bookman Old Style"/>
          <w:szCs w:val="27"/>
        </w:rPr>
        <w:t xml:space="preserve"> expuso:</w:t>
      </w:r>
    </w:p>
    <w:p w:rsidR="000C6283" w:rsidRDefault="000C6283" w:rsidP="000C6283">
      <w:pPr>
        <w:pStyle w:val="Textoindependiente2"/>
        <w:spacing w:after="0" w:line="240" w:lineRule="auto"/>
        <w:ind w:left="0" w:right="-142"/>
        <w:jc w:val="both"/>
        <w:rPr>
          <w:rFonts w:ascii="Bookman Old Style" w:hAnsi="Bookman Old Style"/>
          <w:szCs w:val="27"/>
        </w:rPr>
      </w:pPr>
    </w:p>
    <w:p w:rsidR="000C6283" w:rsidRDefault="002C02EC" w:rsidP="000C6283">
      <w:pPr>
        <w:pStyle w:val="Textoindependiente2"/>
        <w:spacing w:after="0" w:line="240" w:lineRule="auto"/>
        <w:ind w:left="-142" w:right="-142"/>
        <w:jc w:val="center"/>
        <w:rPr>
          <w:rFonts w:ascii="Bookman Old Style" w:hAnsi="Bookman Old Style"/>
          <w:szCs w:val="27"/>
        </w:rPr>
      </w:pPr>
      <w:r w:rsidRPr="005912CB">
        <w:rPr>
          <w:rFonts w:ascii="Bookman Old Style" w:hAnsi="Bookman Old Style"/>
          <w:noProof/>
          <w:szCs w:val="27"/>
          <w:lang w:val="es-CO" w:eastAsia="es-CO"/>
        </w:rPr>
        <w:drawing>
          <wp:inline distT="0" distB="0" distL="0" distR="0">
            <wp:extent cx="5931535" cy="938530"/>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1535" cy="938530"/>
                    </a:xfrm>
                    <a:prstGeom prst="rect">
                      <a:avLst/>
                    </a:prstGeom>
                    <a:noFill/>
                    <a:ln>
                      <a:noFill/>
                    </a:ln>
                  </pic:spPr>
                </pic:pic>
              </a:graphicData>
            </a:graphic>
          </wp:inline>
        </w:drawing>
      </w:r>
    </w:p>
    <w:p w:rsidR="000C6283" w:rsidRDefault="000C6283" w:rsidP="000C6283">
      <w:pPr>
        <w:pStyle w:val="Textoindependiente2"/>
        <w:spacing w:after="0" w:line="240" w:lineRule="auto"/>
        <w:ind w:left="-142" w:right="-142"/>
        <w:jc w:val="both"/>
        <w:rPr>
          <w:rFonts w:ascii="Bookman Old Style" w:hAnsi="Bookman Old Style"/>
          <w:szCs w:val="27"/>
        </w:rPr>
      </w:pPr>
    </w:p>
    <w:p w:rsidR="000C6283" w:rsidRDefault="000C6283" w:rsidP="000C628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w:t>
      </w:r>
      <w:r w:rsidR="00AF64D4">
        <w:rPr>
          <w:rFonts w:ascii="Bookman Old Style" w:hAnsi="Bookman Old Style"/>
          <w:szCs w:val="27"/>
        </w:rPr>
        <w:t>s</w:t>
      </w:r>
      <w:r>
        <w:rPr>
          <w:rFonts w:ascii="Bookman Old Style" w:hAnsi="Bookman Old Style"/>
          <w:szCs w:val="27"/>
        </w:rPr>
        <w:t xml:space="preserve"> </w:t>
      </w:r>
      <w:r w:rsidR="00AF64D4">
        <w:rPr>
          <w:rFonts w:ascii="Bookman Old Style" w:hAnsi="Bookman Old Style"/>
          <w:szCs w:val="27"/>
        </w:rPr>
        <w:t>resoluciones</w:t>
      </w:r>
      <w:r>
        <w:rPr>
          <w:rFonts w:ascii="Bookman Old Style" w:hAnsi="Bookman Old Style"/>
          <w:szCs w:val="27"/>
        </w:rPr>
        <w:t xml:space="preserve"> CREG 075 </w:t>
      </w:r>
      <w:r w:rsidR="00AF64D4">
        <w:rPr>
          <w:rFonts w:ascii="Bookman Old Style" w:hAnsi="Bookman Old Style"/>
          <w:szCs w:val="27"/>
        </w:rPr>
        <w:t xml:space="preserve">y 089 </w:t>
      </w:r>
      <w:r>
        <w:rPr>
          <w:rFonts w:ascii="Bookman Old Style" w:hAnsi="Bookman Old Style"/>
          <w:szCs w:val="27"/>
        </w:rPr>
        <w:t>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p>
    <w:p w:rsidR="000C6283" w:rsidRDefault="000C6283" w:rsidP="000C6283">
      <w:pPr>
        <w:pStyle w:val="Textoindependiente2"/>
        <w:spacing w:after="0" w:line="240" w:lineRule="auto"/>
        <w:ind w:left="-142" w:right="-142"/>
        <w:jc w:val="both"/>
        <w:rPr>
          <w:rFonts w:ascii="Bookman Old Style" w:hAnsi="Bookman Old Style"/>
          <w:szCs w:val="27"/>
        </w:rPr>
      </w:pPr>
    </w:p>
    <w:p w:rsidR="000C6283" w:rsidRDefault="000C6283" w:rsidP="000C628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Ahora, de acuerdo con la información remitida por parte de la Superintendencia de Servicios Públicos Domiciliarios, se establece por parte de esta Comisión que se han hecho ajustes a la información del Sistema Único de Información – SUI reportada y remitida inicialmente con corte a 10 de mayo de 2016 con la cual fue definida la capacidad de compra a que hace referencia las resoluciones CREG 075 y 089 de 2016, tanto a nivel de cilindros y tanques estacionarios de las empresas distribuidoras de GLP. De esto se concluye que dichas modificaciones y ajustes al SUI son consideradas como ajustadas a las normas sobre reporte de información por parte de dicha superintendencia y corresponde a información válida dentro de este sistema de información. </w:t>
      </w:r>
    </w:p>
    <w:p w:rsidR="002508FB" w:rsidRDefault="002508FB" w:rsidP="002508FB">
      <w:pPr>
        <w:pStyle w:val="Textoindependiente2"/>
        <w:spacing w:after="0" w:line="240" w:lineRule="auto"/>
        <w:ind w:left="0" w:right="-142"/>
        <w:jc w:val="both"/>
        <w:rPr>
          <w:rFonts w:ascii="Bookman Old Style" w:hAnsi="Bookman Old Style"/>
          <w:szCs w:val="27"/>
        </w:rPr>
      </w:pPr>
    </w:p>
    <w:p w:rsidR="002508FB" w:rsidRDefault="002508FB" w:rsidP="002508F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atendiendo el contenido de la información remitida por la Superintendencia de Servicios Públicos, así como en el marco de los principios de: i) neutralidad en el tratamiento de los agentes a que hace referencia el artículo 87 de la Ley 142 de 1994, al dar igual tratamiento a los que estén en condiciones similares, en este caso, respecto del estado del reporte de información al SUI; ii) prevalencia de lo sustancial sobre lo formal, y; iii) así como atendiendo el principio de congruencia </w:t>
      </w:r>
      <w:r w:rsidRPr="00CE445E">
        <w:rPr>
          <w:rFonts w:ascii="Bookman Old Style" w:hAnsi="Bookman Old Style"/>
          <w:szCs w:val="27"/>
        </w:rPr>
        <w:t>de acuerdo con lo previsto en el artículo 80 de la Ley 1437 de 2011</w:t>
      </w:r>
      <w:r w:rsidRPr="00CE445E">
        <w:rPr>
          <w:rFonts w:ascii="Bookman Old Style" w:hAnsi="Bookman Old Style"/>
          <w:szCs w:val="27"/>
        </w:rPr>
        <w:footnoteReference w:id="6"/>
      </w:r>
      <w:r w:rsidRPr="00CE445E">
        <w:rPr>
          <w:rFonts w:ascii="Bookman Old Style" w:hAnsi="Bookman Old Style"/>
          <w:szCs w:val="27"/>
        </w:rPr>
        <w:t xml:space="preserve">, </w:t>
      </w:r>
      <w:r>
        <w:rPr>
          <w:rFonts w:ascii="Bookman Old Style" w:hAnsi="Bookman Old Style"/>
          <w:szCs w:val="27"/>
        </w:rPr>
        <w:t>al considerar que este elemento hace parte de los recursos de reposición interpuestos por los agentes con respecto a lo solicitado o que tienen</w:t>
      </w:r>
      <w:r w:rsidRPr="00CE445E">
        <w:rPr>
          <w:rFonts w:ascii="Bookman Old Style" w:hAnsi="Bookman Old Style"/>
          <w:szCs w:val="27"/>
        </w:rPr>
        <w:t xml:space="preserve"> relación directa con las peticiones hechas</w:t>
      </w:r>
      <w:r>
        <w:rPr>
          <w:rFonts w:ascii="Bookman Old Style" w:hAnsi="Bookman Old Style"/>
          <w:szCs w:val="27"/>
        </w:rPr>
        <w:t xml:space="preserve"> por los interesados; esta Comisión encuentra </w:t>
      </w:r>
      <w:r>
        <w:rPr>
          <w:rFonts w:ascii="Bookman Old Style" w:hAnsi="Bookman Old Style"/>
          <w:szCs w:val="27"/>
        </w:rPr>
        <w:lastRenderedPageBreak/>
        <w:t xml:space="preserve">procedente realizar los ajustes en la definición de la capacidad de compra de las empresas que hayan interpuesto recurso de reposición contras las resoluciones CREG 075 y 089 de 2016, con base en la información </w:t>
      </w:r>
      <w:r w:rsidRPr="009E796E">
        <w:rPr>
          <w:rFonts w:ascii="Bookman Old Style" w:hAnsi="Bookman Old Style"/>
          <w:szCs w:val="27"/>
        </w:rPr>
        <w:t xml:space="preserve">remitida por </w:t>
      </w:r>
      <w:r>
        <w:rPr>
          <w:rFonts w:ascii="Bookman Old Style" w:hAnsi="Bookman Old Style"/>
          <w:szCs w:val="27"/>
        </w:rPr>
        <w:t xml:space="preserve">parte de </w:t>
      </w:r>
      <w:r w:rsidRPr="009E796E">
        <w:rPr>
          <w:rFonts w:ascii="Bookman Old Style" w:hAnsi="Bookman Old Style"/>
          <w:szCs w:val="27"/>
        </w:rPr>
        <w:t>la Superintendencia de Servicios Públicos</w:t>
      </w:r>
      <w:r>
        <w:rPr>
          <w:rFonts w:ascii="Bookman Old Style" w:hAnsi="Bookman Old Style"/>
          <w:szCs w:val="27"/>
        </w:rPr>
        <w:t>.</w:t>
      </w:r>
    </w:p>
    <w:p w:rsidR="000C6283" w:rsidRDefault="000C6283" w:rsidP="002508FB">
      <w:pPr>
        <w:pStyle w:val="Textoindependiente2"/>
        <w:spacing w:after="0" w:line="240" w:lineRule="auto"/>
        <w:ind w:left="0" w:right="-142"/>
        <w:jc w:val="both"/>
        <w:rPr>
          <w:rFonts w:ascii="Bookman Old Style" w:hAnsi="Bookman Old Style"/>
          <w:szCs w:val="27"/>
        </w:rPr>
      </w:pPr>
    </w:p>
    <w:p w:rsidR="000C6283" w:rsidRDefault="000C6283" w:rsidP="000C628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Finalmente, en cuanto al recurso de apelación se debe establece que el mismo no es procedente en los términos del artículo 113 de la Ley 142 de 1994 el cual establece lo siguiente:</w:t>
      </w:r>
    </w:p>
    <w:p w:rsidR="000C6283" w:rsidRDefault="000C6283" w:rsidP="000C6283">
      <w:pPr>
        <w:pStyle w:val="Textoindependiente2"/>
        <w:spacing w:after="0" w:line="240" w:lineRule="auto"/>
        <w:ind w:left="-142" w:right="-142"/>
        <w:jc w:val="both"/>
        <w:rPr>
          <w:rFonts w:ascii="Bookman Old Style" w:hAnsi="Bookman Old Style"/>
          <w:szCs w:val="27"/>
        </w:rPr>
      </w:pPr>
    </w:p>
    <w:p w:rsidR="000C6283" w:rsidRPr="00F630ED" w:rsidRDefault="000C6283" w:rsidP="000C6283">
      <w:pPr>
        <w:ind w:left="284" w:right="284"/>
        <w:jc w:val="both"/>
        <w:rPr>
          <w:rFonts w:ascii="Bookman Old Style" w:hAnsi="Bookman Old Style"/>
          <w:sz w:val="22"/>
          <w:szCs w:val="22"/>
        </w:rPr>
      </w:pPr>
      <w:r>
        <w:rPr>
          <w:rFonts w:ascii="Bookman Old Style" w:hAnsi="Bookman Old Style"/>
          <w:sz w:val="22"/>
          <w:szCs w:val="22"/>
        </w:rPr>
        <w:t>“</w:t>
      </w:r>
      <w:r w:rsidRPr="00F630ED">
        <w:rPr>
          <w:rFonts w:ascii="Bookman Old Style" w:hAnsi="Bookman Old Style"/>
          <w:b/>
          <w:sz w:val="22"/>
          <w:szCs w:val="22"/>
        </w:rPr>
        <w:t>Artículo 113. Recursos contra las decisiones que ponen fin a las actuaciones administrativas.</w:t>
      </w:r>
      <w:r w:rsidRPr="00F630ED">
        <w:rPr>
          <w:rFonts w:ascii="Bookman Old Style" w:hAnsi="Bookman Old Style"/>
          <w:sz w:val="22"/>
          <w:szCs w:val="22"/>
        </w:rPr>
        <w:t xml:space="preserve"> </w:t>
      </w:r>
      <w:r w:rsidRPr="00F630ED">
        <w:rPr>
          <w:rFonts w:ascii="Bookman Old Style" w:hAnsi="Bookman Old Style"/>
          <w:sz w:val="22"/>
          <w:szCs w:val="22"/>
          <w:u w:val="single"/>
        </w:rPr>
        <w:t>Salvo esta Ley disponga otra cosa</w:t>
      </w:r>
      <w:r w:rsidRPr="00F630ED">
        <w:rPr>
          <w:rFonts w:ascii="Bookman Old Style" w:hAnsi="Bookman Old Style"/>
          <w:sz w:val="22"/>
          <w:szCs w:val="22"/>
        </w:rPr>
        <w:t xml:space="preserve">, </w:t>
      </w:r>
      <w:r w:rsidRPr="00F630ED">
        <w:rPr>
          <w:rFonts w:ascii="Bookman Old Style" w:hAnsi="Bookman Old Style"/>
          <w:sz w:val="22"/>
          <w:szCs w:val="22"/>
          <w:u w:val="single"/>
        </w:rPr>
        <w:t>contra las decisiones de</w:t>
      </w:r>
      <w:r w:rsidRPr="00F630ED">
        <w:rPr>
          <w:rFonts w:ascii="Bookman Old Style" w:hAnsi="Bookman Old Style"/>
          <w:sz w:val="22"/>
          <w:szCs w:val="22"/>
        </w:rPr>
        <w:t xml:space="preserve"> los personeros, de los alcaldes, de los gobernadores, de los ministros, del Superintendente de Servicios Públicos, y de </w:t>
      </w:r>
      <w:r w:rsidRPr="00F630ED">
        <w:rPr>
          <w:rFonts w:ascii="Bookman Old Style" w:hAnsi="Bookman Old Style"/>
          <w:sz w:val="22"/>
          <w:szCs w:val="22"/>
          <w:u w:val="single"/>
        </w:rPr>
        <w:t>las comisiones de regulación que pongan fin a las actuaciones administrativas sólo cabe el recurso de reposición</w:t>
      </w:r>
      <w:r w:rsidRPr="00F630ED">
        <w:rPr>
          <w:rFonts w:ascii="Bookman Old Style" w:hAnsi="Bookman Old Style"/>
          <w:sz w:val="22"/>
          <w:szCs w:val="22"/>
        </w:rPr>
        <w:t>, que podrá interponerse dentro de los cinco días siguientes a la notificación o publicación.</w:t>
      </w:r>
      <w:r>
        <w:rPr>
          <w:rFonts w:ascii="Bookman Old Style" w:hAnsi="Bookman Old Style"/>
          <w:sz w:val="22"/>
          <w:szCs w:val="22"/>
        </w:rPr>
        <w:t>” (Resaltado fuera de texto)</w:t>
      </w:r>
    </w:p>
    <w:p w:rsidR="000C6283" w:rsidRDefault="000C6283" w:rsidP="000C6283">
      <w:pPr>
        <w:pStyle w:val="Textoindependiente2"/>
        <w:spacing w:after="0" w:line="240" w:lineRule="auto"/>
        <w:ind w:left="0" w:right="-142"/>
        <w:jc w:val="both"/>
        <w:rPr>
          <w:rFonts w:ascii="Bookman Old Style" w:hAnsi="Bookman Old Style"/>
          <w:szCs w:val="27"/>
        </w:rPr>
      </w:pPr>
    </w:p>
    <w:p w:rsidR="000C6283" w:rsidRPr="003E59E7" w:rsidRDefault="000C6283" w:rsidP="000C6283">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4F32A4">
        <w:rPr>
          <w:rFonts w:ascii="Bookman Old Style" w:hAnsi="Bookman Old Style"/>
          <w:szCs w:val="27"/>
        </w:rPr>
        <w:t>746</w:t>
      </w:r>
      <w:r w:rsidRPr="003E59E7">
        <w:rPr>
          <w:rFonts w:ascii="Bookman Old Style" w:hAnsi="Bookman Old Style"/>
          <w:szCs w:val="27"/>
        </w:rPr>
        <w:t xml:space="preserve"> de </w:t>
      </w:r>
      <w:r w:rsidR="004F32A4">
        <w:rPr>
          <w:rFonts w:ascii="Bookman Old Style" w:hAnsi="Bookman Old Style"/>
          <w:szCs w:val="27"/>
        </w:rPr>
        <w:t>noviembre</w:t>
      </w:r>
      <w:r w:rsidRPr="003E59E7">
        <w:rPr>
          <w:rFonts w:ascii="Bookman Old Style" w:hAnsi="Bookman Old Style"/>
          <w:szCs w:val="27"/>
        </w:rPr>
        <w:t xml:space="preserve"> </w:t>
      </w:r>
      <w:r w:rsidR="00AF64D4">
        <w:rPr>
          <w:rFonts w:ascii="Bookman Old Style" w:hAnsi="Bookman Old Style"/>
          <w:szCs w:val="27"/>
        </w:rPr>
        <w:t xml:space="preserve">21 </w:t>
      </w:r>
      <w:r w:rsidRPr="003E59E7">
        <w:rPr>
          <w:rFonts w:ascii="Bookman Old Style" w:hAnsi="Bookman Old Style"/>
          <w:szCs w:val="27"/>
        </w:rPr>
        <w:t>de 201</w:t>
      </w:r>
      <w:r>
        <w:rPr>
          <w:rFonts w:ascii="Bookman Old Style" w:hAnsi="Bookman Old Style"/>
          <w:szCs w:val="27"/>
        </w:rPr>
        <w:t>6, acordó expedir la presente r</w:t>
      </w:r>
      <w:r w:rsidRPr="003E59E7">
        <w:rPr>
          <w:rFonts w:ascii="Bookman Old Style" w:hAnsi="Bookman Old Style"/>
          <w:szCs w:val="27"/>
        </w:rPr>
        <w:t>esolución.</w:t>
      </w:r>
    </w:p>
    <w:p w:rsidR="000C6283" w:rsidRPr="0040046C" w:rsidRDefault="000C6283" w:rsidP="000C6283">
      <w:pPr>
        <w:tabs>
          <w:tab w:val="right" w:pos="9498"/>
        </w:tabs>
        <w:ind w:left="0" w:right="-142"/>
        <w:jc w:val="both"/>
        <w:rPr>
          <w:rFonts w:ascii="Bookman Old Style" w:hAnsi="Bookman Old Style"/>
          <w:bCs/>
        </w:rPr>
      </w:pPr>
    </w:p>
    <w:p w:rsidR="000C6283" w:rsidRPr="003234E2" w:rsidRDefault="000C6283" w:rsidP="000C6283">
      <w:pPr>
        <w:tabs>
          <w:tab w:val="right" w:pos="9498"/>
        </w:tabs>
        <w:ind w:left="0" w:right="-142"/>
        <w:jc w:val="both"/>
        <w:rPr>
          <w:rFonts w:ascii="Bookman Old Style" w:hAnsi="Bookman Old Style"/>
          <w:bCs/>
          <w:sz w:val="20"/>
        </w:rPr>
      </w:pPr>
    </w:p>
    <w:p w:rsidR="000C6283" w:rsidRPr="00945A3C" w:rsidRDefault="000C6283" w:rsidP="000C6283">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0C6283" w:rsidRPr="0040046C" w:rsidRDefault="000C6283" w:rsidP="000C6283">
      <w:pPr>
        <w:tabs>
          <w:tab w:val="right" w:pos="9498"/>
        </w:tabs>
        <w:ind w:left="0" w:right="-142"/>
        <w:jc w:val="both"/>
        <w:rPr>
          <w:rFonts w:ascii="Bookman Old Style" w:hAnsi="Bookman Old Style" w:cs="Arial"/>
          <w:b/>
          <w:spacing w:val="-3"/>
        </w:rPr>
      </w:pPr>
    </w:p>
    <w:p w:rsidR="000C6283" w:rsidRPr="003234E2" w:rsidRDefault="000C6283" w:rsidP="000C6283">
      <w:pPr>
        <w:tabs>
          <w:tab w:val="right" w:pos="9498"/>
        </w:tabs>
        <w:ind w:left="0" w:right="-142"/>
        <w:jc w:val="both"/>
        <w:rPr>
          <w:rFonts w:ascii="Bookman Old Style" w:hAnsi="Bookman Old Style" w:cs="Arial"/>
          <w:b/>
          <w:spacing w:val="-3"/>
          <w:sz w:val="20"/>
        </w:rPr>
      </w:pPr>
    </w:p>
    <w:p w:rsidR="002508FB" w:rsidRDefault="000C6283" w:rsidP="000C6283">
      <w:pPr>
        <w:pStyle w:val="Textoindependiente2"/>
        <w:spacing w:after="0" w:line="240" w:lineRule="auto"/>
        <w:ind w:left="-142" w:right="-142"/>
        <w:jc w:val="both"/>
        <w:rPr>
          <w:rFonts w:ascii="Bookman Old Style" w:hAnsi="Bookman Old Style"/>
          <w:b/>
          <w:szCs w:val="27"/>
        </w:rPr>
      </w:pPr>
      <w:r w:rsidRPr="003E59E7">
        <w:rPr>
          <w:rFonts w:ascii="Bookman Old Style" w:hAnsi="Bookman Old Style"/>
          <w:b/>
          <w:szCs w:val="27"/>
        </w:rPr>
        <w:t>Artículo 1</w:t>
      </w:r>
      <w:r w:rsidRPr="003E59E7">
        <w:rPr>
          <w:rFonts w:ascii="Bookman Old Style" w:hAnsi="Bookman Old Style"/>
          <w:szCs w:val="27"/>
        </w:rPr>
        <w:t xml:space="preserve">. </w:t>
      </w:r>
      <w:r w:rsidR="007023F4">
        <w:rPr>
          <w:rFonts w:ascii="Bookman Old Style" w:hAnsi="Bookman Old Style"/>
          <w:szCs w:val="27"/>
        </w:rPr>
        <w:t>Negar por</w:t>
      </w:r>
      <w:r w:rsidR="002508FB" w:rsidRPr="002508FB">
        <w:rPr>
          <w:rFonts w:ascii="Bookman Old Style" w:hAnsi="Bookman Old Style"/>
          <w:szCs w:val="27"/>
        </w:rPr>
        <w:t xml:space="preserve"> improcedente los argumentos de</w:t>
      </w:r>
      <w:r w:rsidR="002508FB" w:rsidRPr="002508FB">
        <w:t xml:space="preserve"> </w:t>
      </w:r>
      <w:r w:rsidR="002508FB">
        <w:rPr>
          <w:rFonts w:ascii="Bookman Old Style" w:hAnsi="Bookman Old Style"/>
          <w:szCs w:val="27"/>
        </w:rPr>
        <w:t xml:space="preserve">Gas Express Colombia </w:t>
      </w:r>
      <w:r w:rsidR="002508FB" w:rsidRPr="002508FB">
        <w:rPr>
          <w:rFonts w:ascii="Bookman Old Style" w:hAnsi="Bookman Old Style"/>
          <w:szCs w:val="27"/>
        </w:rPr>
        <w:t>S.A. E.S.P. en su recurso de reposición ateniendo las consideraciones expuestas en la presente resolución.</w:t>
      </w:r>
    </w:p>
    <w:p w:rsidR="000C6283" w:rsidRDefault="000C6283" w:rsidP="000C6283">
      <w:pPr>
        <w:tabs>
          <w:tab w:val="right" w:pos="9498"/>
        </w:tabs>
        <w:ind w:left="0" w:right="-142"/>
        <w:jc w:val="both"/>
        <w:rPr>
          <w:rFonts w:ascii="Bookman Old Style" w:hAnsi="Bookman Old Style" w:cs="Arial"/>
          <w:b/>
          <w:bCs/>
          <w:color w:val="666666"/>
          <w:sz w:val="27"/>
          <w:szCs w:val="27"/>
          <w:lang w:val="es-CO" w:eastAsia="es-CO"/>
        </w:rPr>
      </w:pPr>
    </w:p>
    <w:p w:rsidR="000C6283" w:rsidRDefault="000C6283" w:rsidP="000C6283">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2.</w:t>
      </w:r>
      <w:r>
        <w:rPr>
          <w:rFonts w:ascii="Bookman Old Style" w:hAnsi="Bookman Old Style"/>
          <w:szCs w:val="27"/>
        </w:rPr>
        <w:t xml:space="preserve"> Rechazar por improcedente el recurso de apelación interpuesto contra </w:t>
      </w:r>
      <w:r w:rsidRPr="00272992">
        <w:rPr>
          <w:rFonts w:ascii="Bookman Old Style" w:hAnsi="Bookman Old Style"/>
          <w:szCs w:val="27"/>
        </w:rPr>
        <w:t>la Resolución CREG 089 de 2016</w:t>
      </w:r>
      <w:r>
        <w:rPr>
          <w:rFonts w:ascii="Bookman Old Style" w:hAnsi="Bookman Old Style"/>
          <w:szCs w:val="27"/>
        </w:rPr>
        <w:t xml:space="preserve"> atendiendo lo dispuesto en el artículo 113 de la Ley 124 de 1994.</w:t>
      </w:r>
    </w:p>
    <w:p w:rsidR="002508FB" w:rsidRPr="004620F7" w:rsidRDefault="002508FB" w:rsidP="002508FB">
      <w:pPr>
        <w:ind w:left="0" w:right="-142"/>
        <w:jc w:val="both"/>
        <w:rPr>
          <w:rFonts w:ascii="Bookman Old Style" w:hAnsi="Bookman Old Style"/>
          <w:szCs w:val="27"/>
        </w:rPr>
      </w:pPr>
    </w:p>
    <w:p w:rsidR="002508FB" w:rsidRPr="004620F7" w:rsidRDefault="002508FB" w:rsidP="002508FB">
      <w:pPr>
        <w:ind w:left="-142" w:right="-142"/>
        <w:jc w:val="both"/>
        <w:rPr>
          <w:rFonts w:ascii="Bookman Old Style" w:hAnsi="Bookman Old Style"/>
          <w:szCs w:val="27"/>
        </w:rPr>
      </w:pPr>
      <w:r>
        <w:rPr>
          <w:rFonts w:ascii="Bookman Old Style" w:hAnsi="Bookman Old Style"/>
          <w:b/>
          <w:szCs w:val="27"/>
        </w:rPr>
        <w:t>Artículo 3</w:t>
      </w:r>
      <w:r w:rsidRPr="004620F7">
        <w:rPr>
          <w:rFonts w:ascii="Bookman Old Style" w:hAnsi="Bookman Old Style"/>
          <w:b/>
          <w:szCs w:val="27"/>
        </w:rPr>
        <w:t>.</w:t>
      </w:r>
      <w:r w:rsidRPr="004620F7">
        <w:rPr>
          <w:rFonts w:ascii="Bookman Old Style" w:hAnsi="Bookman Old Style"/>
          <w:szCs w:val="27"/>
        </w:rPr>
        <w:t xml:space="preserve"> Modificar el artículo 1 de la Resolución CREG 075 de 2016 de la siguiente forma:</w:t>
      </w:r>
    </w:p>
    <w:p w:rsidR="002508FB" w:rsidRPr="004620F7" w:rsidRDefault="002508FB" w:rsidP="002508FB">
      <w:pPr>
        <w:ind w:left="-142" w:right="-142"/>
        <w:jc w:val="both"/>
        <w:rPr>
          <w:rFonts w:ascii="Bookman Old Style" w:hAnsi="Bookman Old Style"/>
          <w:szCs w:val="27"/>
        </w:rPr>
      </w:pPr>
    </w:p>
    <w:p w:rsidR="002508FB" w:rsidRPr="004620F7" w:rsidRDefault="002508FB" w:rsidP="002508FB">
      <w:pPr>
        <w:ind w:left="-142" w:right="-142"/>
        <w:jc w:val="both"/>
        <w:rPr>
          <w:rFonts w:ascii="Bookman Old Style" w:hAnsi="Bookman Old Style"/>
          <w:szCs w:val="27"/>
        </w:rPr>
      </w:pPr>
      <w:r w:rsidRPr="004620F7">
        <w:rPr>
          <w:rFonts w:ascii="Bookman Old Style" w:hAnsi="Bookman Old Style"/>
          <w:szCs w:val="27"/>
        </w:rPr>
        <w:t>La siguiente corresponde a la Capacidad de Compra para cada uno de los códigos SUI de las empresas:</w:t>
      </w:r>
    </w:p>
    <w:p w:rsidR="002508FB" w:rsidRPr="004620F7" w:rsidRDefault="002508FB" w:rsidP="002508FB">
      <w:pPr>
        <w:ind w:left="-142" w:right="-142"/>
        <w:jc w:val="both"/>
        <w:rPr>
          <w:rFonts w:ascii="Bookman Old Style" w:hAnsi="Bookman Old Style"/>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2508FB" w:rsidRPr="004620F7" w:rsidTr="0050575D">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8FB" w:rsidRPr="004620F7" w:rsidRDefault="002508FB" w:rsidP="00A813E2">
            <w:pPr>
              <w:ind w:left="0"/>
              <w:jc w:val="center"/>
              <w:rPr>
                <w:rFonts w:ascii="Bookman Old Style" w:hAnsi="Bookman Old Style"/>
                <w:b/>
                <w:bCs/>
                <w:color w:val="000000"/>
                <w:sz w:val="18"/>
                <w:szCs w:val="18"/>
                <w:lang w:eastAsia="es-CO"/>
              </w:rPr>
            </w:pPr>
            <w:r w:rsidRPr="004620F7">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2508FB" w:rsidRPr="004620F7" w:rsidRDefault="002508FB" w:rsidP="00A813E2">
            <w:pPr>
              <w:ind w:left="0"/>
              <w:jc w:val="center"/>
              <w:rPr>
                <w:rFonts w:ascii="Bookman Old Style" w:hAnsi="Bookman Old Style"/>
                <w:b/>
                <w:bCs/>
                <w:color w:val="000000"/>
                <w:sz w:val="18"/>
                <w:szCs w:val="18"/>
                <w:lang w:eastAsia="es-CO"/>
              </w:rPr>
            </w:pPr>
            <w:r w:rsidRPr="004620F7">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2508FB" w:rsidRPr="004620F7" w:rsidRDefault="002508FB" w:rsidP="00A813E2">
            <w:pPr>
              <w:ind w:left="0"/>
              <w:jc w:val="center"/>
              <w:rPr>
                <w:rFonts w:ascii="Bookman Old Style" w:hAnsi="Bookman Old Style"/>
                <w:b/>
                <w:bCs/>
                <w:color w:val="000000"/>
                <w:sz w:val="18"/>
                <w:szCs w:val="18"/>
                <w:lang w:eastAsia="es-CO"/>
              </w:rPr>
            </w:pPr>
            <w:r w:rsidRPr="004620F7">
              <w:rPr>
                <w:rFonts w:ascii="Bookman Old Style" w:hAnsi="Bookman Old Style"/>
                <w:b/>
                <w:bCs/>
                <w:color w:val="000000"/>
                <w:sz w:val="18"/>
                <w:szCs w:val="18"/>
                <w:lang w:eastAsia="es-CO"/>
              </w:rPr>
              <w:t xml:space="preserve">Capacidad de compra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2508FB" w:rsidRPr="004620F7" w:rsidTr="00A813E2">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8FB" w:rsidRPr="004620F7" w:rsidRDefault="00A813E2" w:rsidP="00A813E2">
            <w:pPr>
              <w:ind w:left="0"/>
              <w:jc w:val="center"/>
              <w:rPr>
                <w:rFonts w:ascii="Bookman Old Style" w:hAnsi="Bookman Old Style"/>
                <w:sz w:val="18"/>
                <w:szCs w:val="18"/>
              </w:rPr>
            </w:pPr>
            <w:r>
              <w:rPr>
                <w:rFonts w:ascii="Bookman Old Style" w:hAnsi="Bookman Old Style"/>
                <w:sz w:val="18"/>
                <w:szCs w:val="18"/>
              </w:rPr>
              <w:t>26219</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2508FB" w:rsidRPr="004620F7" w:rsidRDefault="002508FB" w:rsidP="00A813E2">
            <w:pPr>
              <w:ind w:left="-5"/>
              <w:rPr>
                <w:rFonts w:ascii="Bookman Old Style" w:hAnsi="Bookman Old Style"/>
                <w:sz w:val="18"/>
                <w:szCs w:val="18"/>
              </w:rPr>
            </w:pPr>
            <w:r>
              <w:rPr>
                <w:rFonts w:ascii="Bookman Old Style" w:hAnsi="Bookman Old Style"/>
                <w:sz w:val="18"/>
                <w:szCs w:val="18"/>
              </w:rPr>
              <w:t>GAS EXPRESS</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2508FB" w:rsidRPr="004620F7" w:rsidRDefault="00A813E2" w:rsidP="00A813E2">
            <w:pPr>
              <w:ind w:left="0"/>
              <w:jc w:val="center"/>
              <w:rPr>
                <w:rFonts w:ascii="Bookman Old Style" w:hAnsi="Bookman Old Style"/>
                <w:sz w:val="18"/>
                <w:szCs w:val="18"/>
              </w:rPr>
            </w:pPr>
            <w:r>
              <w:rPr>
                <w:rFonts w:ascii="Bookman Old Style" w:hAnsi="Bookman Old Style"/>
                <w:sz w:val="18"/>
                <w:szCs w:val="18"/>
              </w:rPr>
              <w:t>9.960</w:t>
            </w:r>
          </w:p>
        </w:tc>
      </w:tr>
    </w:tbl>
    <w:p w:rsidR="002508FB" w:rsidRPr="0040046C" w:rsidRDefault="002508FB" w:rsidP="002508FB">
      <w:pPr>
        <w:tabs>
          <w:tab w:val="right" w:pos="9498"/>
        </w:tabs>
        <w:ind w:left="0" w:right="-142"/>
        <w:jc w:val="both"/>
        <w:rPr>
          <w:rFonts w:ascii="Bookman Old Style" w:hAnsi="Bookman Old Style" w:cs="Arial"/>
          <w:b/>
          <w:bCs/>
          <w:color w:val="666666"/>
          <w:sz w:val="32"/>
          <w:szCs w:val="27"/>
          <w:lang w:eastAsia="es-CO"/>
        </w:rPr>
      </w:pPr>
    </w:p>
    <w:p w:rsidR="002508FB" w:rsidRPr="004620F7" w:rsidRDefault="002508FB" w:rsidP="002508FB">
      <w:pPr>
        <w:ind w:left="-142" w:right="-142"/>
        <w:jc w:val="both"/>
        <w:rPr>
          <w:rFonts w:ascii="Bookman Old Style" w:hAnsi="Bookman Old Style"/>
          <w:szCs w:val="27"/>
        </w:rPr>
      </w:pPr>
      <w:r>
        <w:rPr>
          <w:rFonts w:ascii="Bookman Old Style" w:hAnsi="Bookman Old Style"/>
          <w:b/>
          <w:szCs w:val="27"/>
        </w:rPr>
        <w:t>Artículo 4</w:t>
      </w:r>
      <w:r w:rsidRPr="004620F7">
        <w:rPr>
          <w:rFonts w:ascii="Bookman Old Style" w:hAnsi="Bookman Old Style"/>
          <w:b/>
          <w:szCs w:val="27"/>
        </w:rPr>
        <w:t>.</w:t>
      </w:r>
      <w:r w:rsidRPr="004620F7">
        <w:rPr>
          <w:rFonts w:ascii="Bookman Old Style" w:hAnsi="Bookman Old Style"/>
          <w:szCs w:val="27"/>
        </w:rPr>
        <w:t xml:space="preserve"> Modificar el Anexo de la Resolución CREG 075 de 2016 de la siguiente forma:</w:t>
      </w:r>
    </w:p>
    <w:p w:rsidR="002508FB" w:rsidRPr="004620F7" w:rsidRDefault="002508FB" w:rsidP="002508FB">
      <w:pPr>
        <w:ind w:left="-142" w:right="-142"/>
        <w:jc w:val="both"/>
        <w:rPr>
          <w:rFonts w:ascii="Bookman Old Style" w:hAnsi="Bookman Old Style"/>
          <w:szCs w:val="27"/>
        </w:rPr>
      </w:pPr>
    </w:p>
    <w:p w:rsidR="00A813E2" w:rsidRPr="00CD74B5" w:rsidRDefault="00A813E2" w:rsidP="00A813E2">
      <w:pPr>
        <w:ind w:right="-93"/>
        <w:jc w:val="center"/>
        <w:rPr>
          <w:rFonts w:ascii="Bookman Old Style" w:eastAsia="MS Mincho" w:hAnsi="Bookman Old Style" w:cs="Arial"/>
          <w:b/>
        </w:rPr>
      </w:pPr>
      <w:r w:rsidRPr="00CD74B5">
        <w:rPr>
          <w:rFonts w:ascii="Bookman Old Style" w:eastAsia="MS Mincho" w:hAnsi="Bookman Old Style" w:cs="Arial"/>
          <w:b/>
        </w:rPr>
        <w:t>CAPACIDAD DE COMPRA</w:t>
      </w:r>
    </w:p>
    <w:p w:rsidR="00A813E2" w:rsidRDefault="00A813E2" w:rsidP="00A813E2">
      <w:pPr>
        <w:jc w:val="both"/>
        <w:rPr>
          <w:rFonts w:ascii="Bookman Old Style" w:hAnsi="Bookman Old Style"/>
        </w:rPr>
      </w:pPr>
    </w:p>
    <w:p w:rsidR="00A813E2" w:rsidRDefault="00A813E2" w:rsidP="00A813E2">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A813E2" w:rsidRDefault="00A813E2" w:rsidP="00A813E2">
      <w:pPr>
        <w:jc w:val="both"/>
        <w:rPr>
          <w:rFonts w:ascii="Bookman Old Style" w:hAnsi="Bookman Old Style"/>
        </w:rPr>
      </w:pPr>
    </w:p>
    <w:p w:rsidR="0040046C" w:rsidRDefault="0040046C" w:rsidP="00A813E2">
      <w:pPr>
        <w:jc w:val="both"/>
        <w:rPr>
          <w:rFonts w:ascii="Bookman Old Style" w:hAnsi="Bookman Old Style"/>
        </w:rPr>
      </w:pPr>
    </w:p>
    <w:p w:rsidR="0040046C" w:rsidRDefault="0040046C" w:rsidP="00A813E2">
      <w:pPr>
        <w:jc w:val="both"/>
        <w:rPr>
          <w:rFonts w:ascii="Bookman Old Style" w:hAnsi="Bookman Old Style"/>
        </w:rPr>
      </w:pPr>
    </w:p>
    <w:p w:rsidR="00A813E2" w:rsidRDefault="00A813E2" w:rsidP="00A813E2">
      <w:pPr>
        <w:pStyle w:val="Prrafodelista"/>
        <w:numPr>
          <w:ilvl w:val="0"/>
          <w:numId w:val="36"/>
        </w:numPr>
        <w:contextualSpacing/>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CB0253">
        <w:rPr>
          <w:rFonts w:ascii="Bookman Old Style"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A813E2" w:rsidRPr="001C513B" w:rsidRDefault="00A813E2" w:rsidP="00A813E2">
      <w:pPr>
        <w:pStyle w:val="Prrafodelista"/>
        <w:jc w:val="both"/>
        <w:rPr>
          <w:rFonts w:ascii="Bookman Old Style" w:hAnsi="Bookman Old Style"/>
          <w:sz w:val="24"/>
          <w:szCs w:val="24"/>
        </w:rPr>
      </w:pPr>
    </w:p>
    <w:tbl>
      <w:tblPr>
        <w:tblW w:w="9487" w:type="dxa"/>
        <w:jc w:val="center"/>
        <w:tblCellMar>
          <w:left w:w="70" w:type="dxa"/>
          <w:right w:w="70" w:type="dxa"/>
        </w:tblCellMar>
        <w:tblLook w:val="04A0" w:firstRow="1" w:lastRow="0" w:firstColumn="1" w:lastColumn="0" w:noHBand="0" w:noVBand="1"/>
      </w:tblPr>
      <w:tblGrid>
        <w:gridCol w:w="844"/>
        <w:gridCol w:w="868"/>
        <w:gridCol w:w="688"/>
        <w:gridCol w:w="756"/>
        <w:gridCol w:w="756"/>
        <w:gridCol w:w="868"/>
        <w:gridCol w:w="868"/>
        <w:gridCol w:w="704"/>
        <w:gridCol w:w="832"/>
        <w:gridCol w:w="1037"/>
        <w:gridCol w:w="1266"/>
      </w:tblGrid>
      <w:tr w:rsidR="00A813E2" w:rsidRPr="00CF4873" w:rsidTr="00A737F3">
        <w:trPr>
          <w:trHeight w:val="570"/>
          <w:tblHeader/>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3E2" w:rsidRPr="00313D63" w:rsidRDefault="00A813E2" w:rsidP="00A737F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Código SUI</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A813E2" w:rsidRPr="00313D63" w:rsidRDefault="00A813E2" w:rsidP="00A737F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 Lb</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A813E2" w:rsidRPr="00313D63" w:rsidRDefault="00A813E2" w:rsidP="00A737F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15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A813E2" w:rsidRPr="00313D63" w:rsidRDefault="00A813E2" w:rsidP="00A737F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20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A813E2" w:rsidRPr="00313D63" w:rsidRDefault="00A813E2" w:rsidP="00A737F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24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A813E2" w:rsidRPr="00313D63" w:rsidRDefault="00A813E2" w:rsidP="00A737F3">
            <w:pPr>
              <w:ind w:left="0"/>
              <w:jc w:val="center"/>
              <w:rPr>
                <w:rFonts w:ascii="Bookman Old Style" w:hAnsi="Bookman Old Style"/>
                <w:b/>
                <w:bCs/>
                <w:color w:val="000000"/>
                <w:sz w:val="16"/>
                <w:szCs w:val="16"/>
                <w:lang w:eastAsia="es-CO"/>
              </w:rPr>
            </w:pPr>
            <w:r>
              <w:rPr>
                <w:rFonts w:ascii="Bookman Old Style" w:hAnsi="Bookman Old Style"/>
                <w:b/>
                <w:bCs/>
                <w:color w:val="000000"/>
                <w:sz w:val="16"/>
                <w:szCs w:val="16"/>
                <w:lang w:eastAsia="es-CO"/>
              </w:rPr>
              <w:t>30</w:t>
            </w:r>
            <w:r w:rsidRPr="00313D63">
              <w:rPr>
                <w:rFonts w:ascii="Bookman Old Style" w:hAnsi="Bookman Old Style"/>
                <w:b/>
                <w:bCs/>
                <w:color w:val="000000"/>
                <w:sz w:val="16"/>
                <w:szCs w:val="16"/>
                <w:lang w:eastAsia="es-CO"/>
              </w:rPr>
              <w:t xml:space="preserve">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A813E2" w:rsidRPr="00313D63" w:rsidRDefault="00A813E2" w:rsidP="00A737F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40 Lb</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A813E2" w:rsidRPr="00313D63" w:rsidRDefault="00A813E2" w:rsidP="00A737F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80 Lb</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A813E2" w:rsidRPr="00313D63" w:rsidRDefault="00A813E2" w:rsidP="00A737F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100 Lb</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A813E2" w:rsidRPr="00313D63" w:rsidRDefault="00A813E2" w:rsidP="00A737F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Total conteo</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A813E2" w:rsidRPr="007A4361" w:rsidRDefault="00A813E2" w:rsidP="00A737F3">
            <w:pPr>
              <w:ind w:left="0"/>
              <w:jc w:val="center"/>
              <w:rPr>
                <w:rFonts w:ascii="Bookman Old Style" w:hAnsi="Bookman Old Style"/>
                <w:b/>
                <w:bCs/>
                <w:color w:val="000000"/>
                <w:sz w:val="16"/>
                <w:szCs w:val="16"/>
                <w:lang w:eastAsia="es-CO"/>
              </w:rPr>
            </w:pPr>
            <m:oMathPara>
              <m:oMathParaPr>
                <m:jc m:val="center"/>
              </m:oMathParaPr>
              <m:oMath>
                <m:r>
                  <m:rPr>
                    <m:sty m:val="bi"/>
                  </m:rPr>
                  <w:rPr>
                    <w:rFonts w:ascii="Cambria Math" w:hAnsi="Cambria Math"/>
                    <w:color w:val="000000"/>
                    <w:sz w:val="16"/>
                    <w:szCs w:val="16"/>
                  </w:rPr>
                  <m:t>Cap.</m:t>
                </m:r>
                <m:sSub>
                  <m:sSubPr>
                    <m:ctrlPr>
                      <w:rPr>
                        <w:rFonts w:ascii="Cambria Math" w:hAnsi="Cambria Math"/>
                        <w:b/>
                        <w:bCs/>
                        <w:i/>
                        <w:iCs/>
                        <w:color w:val="000000"/>
                        <w:sz w:val="16"/>
                        <w:szCs w:val="16"/>
                      </w:rPr>
                    </m:ctrlPr>
                  </m:sSubPr>
                  <m:e>
                    <m:r>
                      <m:rPr>
                        <m:sty m:val="bi"/>
                      </m:rPr>
                      <w:rPr>
                        <w:rFonts w:ascii="Cambria Math" w:hAnsi="Cambria Math"/>
                        <w:color w:val="000000"/>
                        <w:sz w:val="16"/>
                        <w:szCs w:val="16"/>
                      </w:rPr>
                      <m:t>1</m:t>
                    </m:r>
                  </m:e>
                  <m:sub>
                    <m:r>
                      <m:rPr>
                        <m:sty m:val="bi"/>
                      </m:rPr>
                      <w:rPr>
                        <w:rFonts w:ascii="Cambria Math" w:hAnsi="Cambria Math"/>
                        <w:color w:val="000000"/>
                        <w:sz w:val="16"/>
                        <w:szCs w:val="16"/>
                      </w:rPr>
                      <m:t>i,t</m:t>
                    </m:r>
                  </m:sub>
                </m:sSub>
              </m:oMath>
            </m:oMathPara>
          </w:p>
        </w:tc>
      </w:tr>
      <w:tr w:rsidR="00A813E2" w:rsidRPr="00CF4873" w:rsidTr="00A737F3">
        <w:trPr>
          <w:trHeight w:val="40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A813E2" w:rsidRPr="0093479E" w:rsidRDefault="00A813E2" w:rsidP="00A813E2">
            <w:pPr>
              <w:ind w:left="0"/>
              <w:jc w:val="center"/>
              <w:rPr>
                <w:rFonts w:ascii="Bookman Old Style" w:hAnsi="Bookman Old Style"/>
                <w:color w:val="000000"/>
                <w:sz w:val="18"/>
                <w:szCs w:val="20"/>
              </w:rPr>
            </w:pPr>
            <w:r>
              <w:rPr>
                <w:rFonts w:ascii="Bookman Old Style" w:hAnsi="Bookman Old Style"/>
                <w:color w:val="000000"/>
                <w:sz w:val="18"/>
                <w:szCs w:val="20"/>
              </w:rPr>
              <w:t>26219</w:t>
            </w:r>
          </w:p>
        </w:tc>
        <w:tc>
          <w:tcPr>
            <w:tcW w:w="868" w:type="dxa"/>
            <w:tcBorders>
              <w:top w:val="nil"/>
              <w:left w:val="nil"/>
              <w:bottom w:val="single" w:sz="4" w:space="0" w:color="auto"/>
              <w:right w:val="single" w:sz="4" w:space="0" w:color="auto"/>
            </w:tcBorders>
            <w:shd w:val="clear" w:color="auto" w:fill="auto"/>
            <w:noWrap/>
          </w:tcPr>
          <w:p w:rsidR="00A813E2" w:rsidRDefault="00A813E2" w:rsidP="00A737F3">
            <w:pPr>
              <w:ind w:left="0"/>
              <w:jc w:val="center"/>
            </w:pPr>
            <w:r w:rsidRPr="00211461">
              <w:rPr>
                <w:rFonts w:ascii="Bookman Old Style" w:hAnsi="Bookman Old Style"/>
                <w:color w:val="000000"/>
                <w:sz w:val="18"/>
                <w:szCs w:val="18"/>
              </w:rPr>
              <w:t>NR*</w:t>
            </w:r>
          </w:p>
        </w:tc>
        <w:tc>
          <w:tcPr>
            <w:tcW w:w="688" w:type="dxa"/>
            <w:tcBorders>
              <w:top w:val="nil"/>
              <w:left w:val="nil"/>
              <w:bottom w:val="single" w:sz="4" w:space="0" w:color="auto"/>
              <w:right w:val="single" w:sz="4" w:space="0" w:color="auto"/>
            </w:tcBorders>
            <w:shd w:val="clear" w:color="auto" w:fill="auto"/>
            <w:noWrap/>
          </w:tcPr>
          <w:p w:rsidR="00A813E2" w:rsidRDefault="00A813E2" w:rsidP="00A737F3">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A813E2" w:rsidRDefault="00A813E2" w:rsidP="00A737F3">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A813E2" w:rsidRDefault="00A813E2" w:rsidP="00A737F3">
            <w:pPr>
              <w:ind w:left="0"/>
              <w:jc w:val="center"/>
            </w:pPr>
            <w:r w:rsidRPr="00211461">
              <w:rPr>
                <w:rFonts w:ascii="Bookman Old Style" w:hAnsi="Bookman Old Style"/>
                <w:color w:val="000000"/>
                <w:sz w:val="18"/>
                <w:szCs w:val="18"/>
              </w:rPr>
              <w:t>NR*</w:t>
            </w:r>
          </w:p>
        </w:tc>
        <w:tc>
          <w:tcPr>
            <w:tcW w:w="868" w:type="dxa"/>
            <w:tcBorders>
              <w:top w:val="nil"/>
              <w:left w:val="nil"/>
              <w:bottom w:val="single" w:sz="4" w:space="0" w:color="auto"/>
              <w:right w:val="single" w:sz="4" w:space="0" w:color="auto"/>
            </w:tcBorders>
            <w:shd w:val="clear" w:color="auto" w:fill="auto"/>
            <w:noWrap/>
          </w:tcPr>
          <w:p w:rsidR="00A813E2" w:rsidRDefault="00A813E2" w:rsidP="00A737F3">
            <w:pPr>
              <w:ind w:left="0"/>
              <w:jc w:val="center"/>
            </w:pPr>
            <w:r w:rsidRPr="00211461">
              <w:rPr>
                <w:rFonts w:ascii="Bookman Old Style" w:hAnsi="Bookman Old Style"/>
                <w:color w:val="000000"/>
                <w:sz w:val="18"/>
                <w:szCs w:val="18"/>
              </w:rPr>
              <w:t>NR*</w:t>
            </w:r>
          </w:p>
        </w:tc>
        <w:tc>
          <w:tcPr>
            <w:tcW w:w="868" w:type="dxa"/>
            <w:tcBorders>
              <w:top w:val="nil"/>
              <w:left w:val="nil"/>
              <w:bottom w:val="single" w:sz="4" w:space="0" w:color="auto"/>
              <w:right w:val="single" w:sz="4" w:space="0" w:color="auto"/>
            </w:tcBorders>
            <w:shd w:val="clear" w:color="auto" w:fill="auto"/>
            <w:noWrap/>
          </w:tcPr>
          <w:p w:rsidR="00A813E2" w:rsidRDefault="00A813E2" w:rsidP="00A737F3">
            <w:pPr>
              <w:ind w:left="0"/>
              <w:jc w:val="center"/>
            </w:pPr>
            <w:r w:rsidRPr="00211461">
              <w:rPr>
                <w:rFonts w:ascii="Bookman Old Style" w:hAnsi="Bookman Old Style"/>
                <w:color w:val="000000"/>
                <w:sz w:val="18"/>
                <w:szCs w:val="18"/>
              </w:rPr>
              <w:t>NR*</w:t>
            </w:r>
          </w:p>
        </w:tc>
        <w:tc>
          <w:tcPr>
            <w:tcW w:w="704" w:type="dxa"/>
            <w:tcBorders>
              <w:top w:val="nil"/>
              <w:left w:val="nil"/>
              <w:bottom w:val="single" w:sz="4" w:space="0" w:color="auto"/>
              <w:right w:val="single" w:sz="4" w:space="0" w:color="auto"/>
            </w:tcBorders>
            <w:shd w:val="clear" w:color="auto" w:fill="auto"/>
            <w:noWrap/>
          </w:tcPr>
          <w:p w:rsidR="00A813E2" w:rsidRDefault="00A813E2" w:rsidP="00A737F3">
            <w:pPr>
              <w:ind w:left="0"/>
              <w:jc w:val="center"/>
            </w:pPr>
            <w:r w:rsidRPr="00211461">
              <w:rPr>
                <w:rFonts w:ascii="Bookman Old Style" w:hAnsi="Bookman Old Style"/>
                <w:color w:val="000000"/>
                <w:sz w:val="18"/>
                <w:szCs w:val="18"/>
              </w:rPr>
              <w:t>NR*</w:t>
            </w:r>
          </w:p>
        </w:tc>
        <w:tc>
          <w:tcPr>
            <w:tcW w:w="832" w:type="dxa"/>
            <w:tcBorders>
              <w:top w:val="nil"/>
              <w:left w:val="nil"/>
              <w:bottom w:val="single" w:sz="4" w:space="0" w:color="auto"/>
              <w:right w:val="single" w:sz="4" w:space="0" w:color="auto"/>
            </w:tcBorders>
            <w:shd w:val="clear" w:color="auto" w:fill="auto"/>
            <w:noWrap/>
          </w:tcPr>
          <w:p w:rsidR="00A813E2" w:rsidRDefault="00A813E2" w:rsidP="00A737F3">
            <w:pPr>
              <w:ind w:left="0"/>
              <w:jc w:val="center"/>
            </w:pPr>
            <w:r w:rsidRPr="00211461">
              <w:rPr>
                <w:rFonts w:ascii="Bookman Old Style" w:hAnsi="Bookman Old Style"/>
                <w:color w:val="000000"/>
                <w:sz w:val="18"/>
                <w:szCs w:val="18"/>
              </w:rPr>
              <w:t>NR*</w:t>
            </w:r>
          </w:p>
        </w:tc>
        <w:tc>
          <w:tcPr>
            <w:tcW w:w="1037" w:type="dxa"/>
            <w:tcBorders>
              <w:top w:val="nil"/>
              <w:left w:val="nil"/>
              <w:bottom w:val="single" w:sz="4" w:space="0" w:color="auto"/>
              <w:right w:val="single" w:sz="4" w:space="0" w:color="auto"/>
            </w:tcBorders>
            <w:shd w:val="clear" w:color="auto" w:fill="auto"/>
            <w:noWrap/>
          </w:tcPr>
          <w:p w:rsidR="00A813E2" w:rsidRDefault="00A813E2" w:rsidP="00A737F3">
            <w:pPr>
              <w:ind w:left="0"/>
              <w:jc w:val="center"/>
            </w:pPr>
            <w:r w:rsidRPr="00211461">
              <w:rPr>
                <w:rFonts w:ascii="Bookman Old Style" w:hAnsi="Bookman Old Style"/>
                <w:color w:val="000000"/>
                <w:sz w:val="18"/>
                <w:szCs w:val="18"/>
              </w:rPr>
              <w:t>NR*</w:t>
            </w:r>
          </w:p>
        </w:tc>
        <w:tc>
          <w:tcPr>
            <w:tcW w:w="1266" w:type="dxa"/>
            <w:tcBorders>
              <w:top w:val="nil"/>
              <w:left w:val="nil"/>
              <w:bottom w:val="single" w:sz="4" w:space="0" w:color="auto"/>
              <w:right w:val="single" w:sz="4" w:space="0" w:color="auto"/>
            </w:tcBorders>
            <w:shd w:val="clear" w:color="auto" w:fill="auto"/>
            <w:noWrap/>
          </w:tcPr>
          <w:p w:rsidR="00A813E2" w:rsidRDefault="00A813E2" w:rsidP="00A737F3">
            <w:pPr>
              <w:ind w:left="0"/>
              <w:jc w:val="center"/>
            </w:pPr>
            <w:r w:rsidRPr="00211461">
              <w:rPr>
                <w:rFonts w:ascii="Bookman Old Style" w:hAnsi="Bookman Old Style"/>
                <w:color w:val="000000"/>
                <w:sz w:val="18"/>
                <w:szCs w:val="18"/>
              </w:rPr>
              <w:t>NR*</w:t>
            </w:r>
          </w:p>
        </w:tc>
      </w:tr>
    </w:tbl>
    <w:p w:rsidR="00A813E2" w:rsidRDefault="00A813E2" w:rsidP="00A813E2">
      <w:pPr>
        <w:jc w:val="center"/>
        <w:rPr>
          <w:rFonts w:ascii="Bookman Old Style" w:hAnsi="Bookman Old Style"/>
        </w:rPr>
      </w:pPr>
      <w:r>
        <w:rPr>
          <w:rFonts w:ascii="Bookman Old Style" w:hAnsi="Bookman Old Style"/>
          <w:sz w:val="18"/>
        </w:rPr>
        <w:t>NR</w:t>
      </w:r>
      <w:r w:rsidRPr="002B4873">
        <w:rPr>
          <w:rFonts w:ascii="Bookman Old Style" w:hAnsi="Bookman Old Style"/>
          <w:sz w:val="18"/>
        </w:rPr>
        <w:t>*</w:t>
      </w:r>
      <w:r>
        <w:rPr>
          <w:rFonts w:ascii="Bookman Old Style" w:hAnsi="Bookman Old Style"/>
          <w:sz w:val="18"/>
        </w:rPr>
        <w:t xml:space="preserve">: No presenta registro de información en el SUI, </w:t>
      </w:r>
      <w:r w:rsidRPr="00074962">
        <w:rPr>
          <w:rFonts w:ascii="Bookman Old Style" w:hAnsi="Bookman Old Style"/>
          <w:sz w:val="18"/>
        </w:rPr>
        <w:t>de acuerdo con la información registrada al SUI</w:t>
      </w:r>
      <w:r>
        <w:rPr>
          <w:rFonts w:ascii="Bookman Old Style" w:hAnsi="Bookman Old Style"/>
          <w:sz w:val="18"/>
        </w:rPr>
        <w:t>, por AIC proyectos,</w:t>
      </w:r>
      <w:r w:rsidRPr="00074962">
        <w:rPr>
          <w:rFonts w:ascii="Bookman Old Style" w:hAnsi="Bookman Old Style"/>
          <w:sz w:val="18"/>
        </w:rPr>
        <w:t xml:space="preserve"> desde</w:t>
      </w:r>
      <w:r>
        <w:rPr>
          <w:rFonts w:ascii="Bookman Old Style" w:hAnsi="Bookman Old Style"/>
          <w:sz w:val="18"/>
        </w:rPr>
        <w:t xml:space="preserve"> 2008 hasta 2012.</w:t>
      </w:r>
    </w:p>
    <w:p w:rsidR="00A813E2" w:rsidRPr="002E47EE" w:rsidRDefault="00A813E2" w:rsidP="00A813E2">
      <w:pPr>
        <w:pStyle w:val="Prrafodelista"/>
        <w:numPr>
          <w:ilvl w:val="0"/>
          <w:numId w:val="36"/>
        </w:numPr>
        <w:contextualSpacing/>
        <w:jc w:val="both"/>
        <w:rPr>
          <w:rFonts w:ascii="Bookman Old Style" w:hAnsi="Bookman Old Style"/>
          <w:sz w:val="24"/>
          <w:szCs w:val="24"/>
        </w:rPr>
      </w:pPr>
      <w:r>
        <w:rPr>
          <w:rFonts w:ascii="Bookman Old Style" w:hAnsi="Bookman Old Style"/>
          <w:sz w:val="24"/>
          <w:szCs w:val="24"/>
        </w:rPr>
        <w:t xml:space="preserve">De acuerdo con parágrafo 2 del artículo 8 de la resolución CREG 063 de 2016, se calcula la </w:t>
      </w:r>
      <w:r w:rsidRPr="00AE5D16">
        <w:rPr>
          <w:rFonts w:ascii="Bookman Old Style" w:hAnsi="Bookman Old Style"/>
          <w:sz w:val="24"/>
          <w:szCs w:val="24"/>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CB0253">
        <w:rPr>
          <w:rFonts w:ascii="Bookman Old Style" w:hAnsi="Bookman Old Style"/>
          <w:iCs/>
          <w:sz w:val="24"/>
          <w:szCs w:val="24"/>
        </w:rPr>
        <w:t xml:space="preserve">, a continuación se muestra el conteo de cilindros por código de presentación para cada uno de los códigos SUI de las empresas. </w:t>
      </w:r>
    </w:p>
    <w:tbl>
      <w:tblPr>
        <w:tblStyle w:val="Tablaconcuadrcula"/>
        <w:tblW w:w="0" w:type="auto"/>
        <w:jc w:val="center"/>
        <w:tblLook w:val="04A0" w:firstRow="1" w:lastRow="0" w:firstColumn="1" w:lastColumn="0" w:noHBand="0" w:noVBand="1"/>
      </w:tblPr>
      <w:tblGrid>
        <w:gridCol w:w="1473"/>
        <w:gridCol w:w="1792"/>
      </w:tblGrid>
      <w:tr w:rsidR="00A813E2" w:rsidRPr="00060097" w:rsidTr="00A737F3">
        <w:trPr>
          <w:trHeight w:val="443"/>
          <w:jc w:val="center"/>
        </w:trPr>
        <w:tc>
          <w:tcPr>
            <w:tcW w:w="1473" w:type="dxa"/>
            <w:vAlign w:val="center"/>
          </w:tcPr>
          <w:p w:rsidR="00A813E2" w:rsidRPr="00060097" w:rsidRDefault="00A813E2" w:rsidP="00A813E2">
            <w:pPr>
              <w:ind w:left="29"/>
              <w:jc w:val="center"/>
              <w:rPr>
                <w:rFonts w:ascii="Bookman Old Style" w:hAnsi="Bookman Old Style"/>
                <w:b/>
                <w:sz w:val="18"/>
                <w:szCs w:val="18"/>
              </w:rPr>
            </w:pPr>
            <w:r w:rsidRPr="00060097">
              <w:rPr>
                <w:rFonts w:ascii="Bookman Old Style" w:hAnsi="Bookman Old Style"/>
                <w:b/>
                <w:sz w:val="18"/>
                <w:szCs w:val="18"/>
              </w:rPr>
              <w:t>Código SUI</w:t>
            </w:r>
          </w:p>
        </w:tc>
        <w:tc>
          <w:tcPr>
            <w:tcW w:w="1792" w:type="dxa"/>
            <w:vAlign w:val="center"/>
          </w:tcPr>
          <w:p w:rsidR="00A813E2" w:rsidRPr="00216D63" w:rsidRDefault="00A813E2" w:rsidP="00A813E2">
            <w:pPr>
              <w:ind w:left="0"/>
              <w:jc w:val="center"/>
              <w:rPr>
                <w:rFonts w:ascii="Bookman Old Style" w:hAnsi="Bookman Old Style"/>
                <w:b/>
                <w:sz w:val="18"/>
                <w:szCs w:val="18"/>
              </w:rPr>
            </w:pPr>
            <w:r>
              <w:rPr>
                <w:rFonts w:ascii="Bookman Old Style" w:hAnsi="Bookman Old Style"/>
                <w:b/>
                <w:sz w:val="18"/>
                <w:szCs w:val="18"/>
              </w:rPr>
              <w:t>26219</w:t>
            </w:r>
          </w:p>
        </w:tc>
      </w:tr>
      <w:tr w:rsidR="00A813E2" w:rsidRPr="00060097" w:rsidTr="00A737F3">
        <w:trPr>
          <w:trHeight w:val="443"/>
          <w:jc w:val="center"/>
        </w:trPr>
        <w:tc>
          <w:tcPr>
            <w:tcW w:w="1473" w:type="dxa"/>
            <w:vAlign w:val="center"/>
          </w:tcPr>
          <w:p w:rsidR="00A813E2" w:rsidRPr="00060097" w:rsidRDefault="00A813E2" w:rsidP="00A737F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4 Kg</w:t>
            </w:r>
          </w:p>
        </w:tc>
        <w:tc>
          <w:tcPr>
            <w:tcW w:w="1792" w:type="dxa"/>
            <w:vAlign w:val="center"/>
          </w:tcPr>
          <w:p w:rsidR="00A813E2" w:rsidRDefault="00A813E2" w:rsidP="00A737F3">
            <w:pPr>
              <w:ind w:left="0"/>
              <w:jc w:val="center"/>
            </w:pPr>
            <w:r w:rsidRPr="00E73D7E">
              <w:rPr>
                <w:rFonts w:ascii="Bookman Old Style" w:hAnsi="Bookman Old Style"/>
                <w:sz w:val="18"/>
              </w:rPr>
              <w:t>NR*</w:t>
            </w:r>
          </w:p>
        </w:tc>
      </w:tr>
      <w:tr w:rsidR="00A813E2" w:rsidRPr="00060097" w:rsidTr="00A737F3">
        <w:trPr>
          <w:trHeight w:val="443"/>
          <w:jc w:val="center"/>
        </w:trPr>
        <w:tc>
          <w:tcPr>
            <w:tcW w:w="1473" w:type="dxa"/>
            <w:vAlign w:val="center"/>
          </w:tcPr>
          <w:p w:rsidR="00A813E2" w:rsidRPr="00060097" w:rsidRDefault="00A813E2" w:rsidP="00A737F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5 Kg</w:t>
            </w:r>
          </w:p>
        </w:tc>
        <w:tc>
          <w:tcPr>
            <w:tcW w:w="1792" w:type="dxa"/>
            <w:vAlign w:val="center"/>
          </w:tcPr>
          <w:p w:rsidR="00A813E2" w:rsidRDefault="00A813E2" w:rsidP="00A737F3">
            <w:pPr>
              <w:ind w:left="0"/>
              <w:jc w:val="center"/>
            </w:pPr>
            <w:r w:rsidRPr="00E73D7E">
              <w:rPr>
                <w:rFonts w:ascii="Bookman Old Style" w:hAnsi="Bookman Old Style"/>
                <w:sz w:val="18"/>
              </w:rPr>
              <w:t>NR*</w:t>
            </w:r>
          </w:p>
        </w:tc>
      </w:tr>
      <w:tr w:rsidR="00A813E2" w:rsidRPr="00060097" w:rsidTr="00A737F3">
        <w:trPr>
          <w:trHeight w:val="443"/>
          <w:jc w:val="center"/>
        </w:trPr>
        <w:tc>
          <w:tcPr>
            <w:tcW w:w="1473" w:type="dxa"/>
            <w:vAlign w:val="center"/>
          </w:tcPr>
          <w:p w:rsidR="00A813E2" w:rsidRPr="00060097" w:rsidRDefault="00A813E2" w:rsidP="00A737F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7 Kg</w:t>
            </w:r>
          </w:p>
        </w:tc>
        <w:tc>
          <w:tcPr>
            <w:tcW w:w="1792" w:type="dxa"/>
            <w:vAlign w:val="center"/>
          </w:tcPr>
          <w:p w:rsidR="00A813E2" w:rsidRDefault="00A813E2" w:rsidP="00A737F3">
            <w:pPr>
              <w:ind w:left="0"/>
              <w:jc w:val="center"/>
            </w:pPr>
            <w:r w:rsidRPr="00E73D7E">
              <w:rPr>
                <w:rFonts w:ascii="Bookman Old Style" w:hAnsi="Bookman Old Style"/>
                <w:sz w:val="18"/>
              </w:rPr>
              <w:t>NR*</w:t>
            </w:r>
          </w:p>
        </w:tc>
      </w:tr>
      <w:tr w:rsidR="00A813E2" w:rsidRPr="00060097" w:rsidTr="00A737F3">
        <w:trPr>
          <w:trHeight w:val="443"/>
          <w:jc w:val="center"/>
        </w:trPr>
        <w:tc>
          <w:tcPr>
            <w:tcW w:w="1473" w:type="dxa"/>
            <w:vAlign w:val="center"/>
          </w:tcPr>
          <w:p w:rsidR="00A813E2" w:rsidRPr="00060097" w:rsidRDefault="00A813E2" w:rsidP="00A737F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9 Kg</w:t>
            </w:r>
          </w:p>
        </w:tc>
        <w:tc>
          <w:tcPr>
            <w:tcW w:w="1792" w:type="dxa"/>
            <w:vAlign w:val="center"/>
          </w:tcPr>
          <w:p w:rsidR="00A813E2" w:rsidRDefault="00A813E2" w:rsidP="00A737F3">
            <w:pPr>
              <w:ind w:left="0"/>
              <w:jc w:val="center"/>
            </w:pPr>
            <w:r w:rsidRPr="00E73D7E">
              <w:rPr>
                <w:rFonts w:ascii="Bookman Old Style" w:hAnsi="Bookman Old Style"/>
                <w:sz w:val="18"/>
              </w:rPr>
              <w:t>NR*</w:t>
            </w:r>
          </w:p>
        </w:tc>
      </w:tr>
      <w:tr w:rsidR="00A813E2" w:rsidRPr="00060097" w:rsidTr="00A737F3">
        <w:trPr>
          <w:trHeight w:val="443"/>
          <w:jc w:val="center"/>
        </w:trPr>
        <w:tc>
          <w:tcPr>
            <w:tcW w:w="1473" w:type="dxa"/>
            <w:vAlign w:val="center"/>
          </w:tcPr>
          <w:p w:rsidR="00A813E2" w:rsidRPr="00060097" w:rsidRDefault="00A813E2" w:rsidP="00A737F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10 Kg</w:t>
            </w:r>
          </w:p>
        </w:tc>
        <w:tc>
          <w:tcPr>
            <w:tcW w:w="1792" w:type="dxa"/>
            <w:vAlign w:val="center"/>
          </w:tcPr>
          <w:p w:rsidR="00A813E2" w:rsidRDefault="00A813E2" w:rsidP="00A737F3">
            <w:pPr>
              <w:ind w:left="0"/>
              <w:jc w:val="center"/>
            </w:pPr>
            <w:r w:rsidRPr="00E73D7E">
              <w:rPr>
                <w:rFonts w:ascii="Bookman Old Style" w:hAnsi="Bookman Old Style"/>
                <w:sz w:val="18"/>
              </w:rPr>
              <w:t>NR*</w:t>
            </w:r>
          </w:p>
        </w:tc>
      </w:tr>
      <w:tr w:rsidR="00A813E2" w:rsidRPr="00060097" w:rsidTr="00A737F3">
        <w:trPr>
          <w:trHeight w:val="443"/>
          <w:jc w:val="center"/>
        </w:trPr>
        <w:tc>
          <w:tcPr>
            <w:tcW w:w="1473" w:type="dxa"/>
            <w:vAlign w:val="center"/>
          </w:tcPr>
          <w:p w:rsidR="00A813E2" w:rsidRPr="00060097" w:rsidRDefault="00A813E2" w:rsidP="00A737F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15 Kg</w:t>
            </w:r>
          </w:p>
        </w:tc>
        <w:tc>
          <w:tcPr>
            <w:tcW w:w="1792" w:type="dxa"/>
            <w:vAlign w:val="center"/>
          </w:tcPr>
          <w:p w:rsidR="00A813E2" w:rsidRPr="00060097" w:rsidRDefault="00A813E2" w:rsidP="00A737F3">
            <w:pPr>
              <w:ind w:left="0"/>
              <w:jc w:val="center"/>
              <w:rPr>
                <w:rFonts w:ascii="Bookman Old Style" w:hAnsi="Bookman Old Style"/>
                <w:sz w:val="18"/>
                <w:szCs w:val="18"/>
              </w:rPr>
            </w:pPr>
            <w:r w:rsidRPr="00211461">
              <w:rPr>
                <w:rFonts w:ascii="Bookman Old Style" w:hAnsi="Bookman Old Style"/>
                <w:color w:val="000000"/>
                <w:sz w:val="18"/>
                <w:szCs w:val="18"/>
              </w:rPr>
              <w:t>NR*</w:t>
            </w:r>
          </w:p>
        </w:tc>
      </w:tr>
      <w:tr w:rsidR="00A813E2" w:rsidRPr="00060097" w:rsidTr="00A737F3">
        <w:trPr>
          <w:trHeight w:val="443"/>
          <w:jc w:val="center"/>
        </w:trPr>
        <w:tc>
          <w:tcPr>
            <w:tcW w:w="1473" w:type="dxa"/>
            <w:vAlign w:val="center"/>
          </w:tcPr>
          <w:p w:rsidR="00A813E2" w:rsidRPr="00060097" w:rsidRDefault="00A813E2" w:rsidP="00A737F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18 Kg</w:t>
            </w:r>
          </w:p>
        </w:tc>
        <w:tc>
          <w:tcPr>
            <w:tcW w:w="1792" w:type="dxa"/>
            <w:vAlign w:val="center"/>
          </w:tcPr>
          <w:p w:rsidR="00A813E2" w:rsidRPr="00060097" w:rsidRDefault="00A813E2" w:rsidP="00A737F3">
            <w:pPr>
              <w:ind w:left="0"/>
              <w:jc w:val="center"/>
              <w:rPr>
                <w:rFonts w:ascii="Bookman Old Style" w:hAnsi="Bookman Old Style"/>
                <w:sz w:val="18"/>
                <w:szCs w:val="18"/>
              </w:rPr>
            </w:pPr>
            <w:r w:rsidRPr="00211461">
              <w:rPr>
                <w:rFonts w:ascii="Bookman Old Style" w:hAnsi="Bookman Old Style"/>
                <w:color w:val="000000"/>
                <w:sz w:val="18"/>
                <w:szCs w:val="18"/>
              </w:rPr>
              <w:t>NR*</w:t>
            </w:r>
          </w:p>
        </w:tc>
      </w:tr>
      <w:tr w:rsidR="00A813E2" w:rsidRPr="00060097" w:rsidTr="00A737F3">
        <w:trPr>
          <w:trHeight w:val="443"/>
          <w:jc w:val="center"/>
        </w:trPr>
        <w:tc>
          <w:tcPr>
            <w:tcW w:w="1473" w:type="dxa"/>
            <w:vAlign w:val="center"/>
          </w:tcPr>
          <w:p w:rsidR="00A813E2" w:rsidRPr="00060097" w:rsidRDefault="00A813E2" w:rsidP="00A737F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20 Kg</w:t>
            </w:r>
          </w:p>
        </w:tc>
        <w:tc>
          <w:tcPr>
            <w:tcW w:w="1792" w:type="dxa"/>
            <w:vAlign w:val="center"/>
          </w:tcPr>
          <w:p w:rsidR="00A813E2" w:rsidRDefault="00A813E2" w:rsidP="00A737F3">
            <w:pPr>
              <w:ind w:left="0"/>
              <w:jc w:val="center"/>
            </w:pPr>
            <w:r w:rsidRPr="008D60FC">
              <w:rPr>
                <w:rFonts w:ascii="Bookman Old Style" w:hAnsi="Bookman Old Style"/>
                <w:sz w:val="18"/>
              </w:rPr>
              <w:t>NR*</w:t>
            </w:r>
          </w:p>
        </w:tc>
      </w:tr>
      <w:tr w:rsidR="00A813E2" w:rsidRPr="00060097" w:rsidTr="00A737F3">
        <w:trPr>
          <w:trHeight w:val="443"/>
          <w:jc w:val="center"/>
        </w:trPr>
        <w:tc>
          <w:tcPr>
            <w:tcW w:w="1473" w:type="dxa"/>
            <w:vAlign w:val="center"/>
          </w:tcPr>
          <w:p w:rsidR="00A813E2" w:rsidRPr="00060097" w:rsidRDefault="00A813E2" w:rsidP="00A737F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30 Kg</w:t>
            </w:r>
          </w:p>
        </w:tc>
        <w:tc>
          <w:tcPr>
            <w:tcW w:w="1792" w:type="dxa"/>
            <w:vAlign w:val="center"/>
          </w:tcPr>
          <w:p w:rsidR="00A813E2" w:rsidRDefault="00A813E2" w:rsidP="00A737F3">
            <w:pPr>
              <w:ind w:left="0"/>
              <w:jc w:val="center"/>
            </w:pPr>
            <w:r w:rsidRPr="008D60FC">
              <w:rPr>
                <w:rFonts w:ascii="Bookman Old Style" w:hAnsi="Bookman Old Style"/>
                <w:sz w:val="18"/>
              </w:rPr>
              <w:t>NR*</w:t>
            </w:r>
          </w:p>
        </w:tc>
      </w:tr>
      <w:tr w:rsidR="00A813E2" w:rsidRPr="00060097" w:rsidTr="00A737F3">
        <w:trPr>
          <w:trHeight w:val="443"/>
          <w:jc w:val="center"/>
        </w:trPr>
        <w:tc>
          <w:tcPr>
            <w:tcW w:w="1473" w:type="dxa"/>
            <w:vAlign w:val="center"/>
          </w:tcPr>
          <w:p w:rsidR="00A813E2" w:rsidRPr="00060097" w:rsidRDefault="00A813E2" w:rsidP="00A737F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33 Kg</w:t>
            </w:r>
          </w:p>
        </w:tc>
        <w:tc>
          <w:tcPr>
            <w:tcW w:w="1792" w:type="dxa"/>
            <w:vAlign w:val="center"/>
          </w:tcPr>
          <w:p w:rsidR="00A813E2" w:rsidRDefault="00A813E2" w:rsidP="00A737F3">
            <w:pPr>
              <w:ind w:left="0"/>
              <w:jc w:val="center"/>
            </w:pPr>
            <w:r w:rsidRPr="008D60FC">
              <w:rPr>
                <w:rFonts w:ascii="Bookman Old Style" w:hAnsi="Bookman Old Style"/>
                <w:sz w:val="18"/>
              </w:rPr>
              <w:t>NR*</w:t>
            </w:r>
          </w:p>
        </w:tc>
      </w:tr>
      <w:tr w:rsidR="00A813E2" w:rsidRPr="00060097" w:rsidTr="00A737F3">
        <w:trPr>
          <w:trHeight w:val="443"/>
          <w:jc w:val="center"/>
        </w:trPr>
        <w:tc>
          <w:tcPr>
            <w:tcW w:w="1473" w:type="dxa"/>
            <w:vAlign w:val="center"/>
          </w:tcPr>
          <w:p w:rsidR="00A813E2" w:rsidRPr="00060097" w:rsidRDefault="00A813E2" w:rsidP="00A737F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35 Kg</w:t>
            </w:r>
          </w:p>
        </w:tc>
        <w:tc>
          <w:tcPr>
            <w:tcW w:w="1792" w:type="dxa"/>
            <w:vAlign w:val="center"/>
          </w:tcPr>
          <w:p w:rsidR="00A813E2" w:rsidRDefault="00A813E2" w:rsidP="00A737F3">
            <w:pPr>
              <w:ind w:left="0"/>
              <w:jc w:val="center"/>
            </w:pPr>
            <w:r w:rsidRPr="008D60FC">
              <w:rPr>
                <w:rFonts w:ascii="Bookman Old Style" w:hAnsi="Bookman Old Style"/>
                <w:sz w:val="18"/>
              </w:rPr>
              <w:t>NR*</w:t>
            </w:r>
          </w:p>
        </w:tc>
      </w:tr>
      <w:tr w:rsidR="00A813E2" w:rsidRPr="00060097" w:rsidTr="00A737F3">
        <w:trPr>
          <w:trHeight w:val="443"/>
          <w:jc w:val="center"/>
        </w:trPr>
        <w:tc>
          <w:tcPr>
            <w:tcW w:w="1473" w:type="dxa"/>
            <w:vAlign w:val="center"/>
          </w:tcPr>
          <w:p w:rsidR="00A813E2" w:rsidRPr="00060097" w:rsidRDefault="00A813E2" w:rsidP="00A737F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40 Kg</w:t>
            </w:r>
          </w:p>
        </w:tc>
        <w:tc>
          <w:tcPr>
            <w:tcW w:w="1792" w:type="dxa"/>
            <w:vAlign w:val="center"/>
          </w:tcPr>
          <w:p w:rsidR="00A813E2" w:rsidRDefault="00A813E2" w:rsidP="00A737F3">
            <w:pPr>
              <w:ind w:left="0"/>
              <w:jc w:val="center"/>
            </w:pPr>
            <w:r w:rsidRPr="008D60FC">
              <w:rPr>
                <w:rFonts w:ascii="Bookman Old Style" w:hAnsi="Bookman Old Style"/>
                <w:sz w:val="18"/>
              </w:rPr>
              <w:t>NR*</w:t>
            </w:r>
          </w:p>
        </w:tc>
      </w:tr>
      <w:tr w:rsidR="00A813E2" w:rsidRPr="00060097" w:rsidTr="00A737F3">
        <w:trPr>
          <w:trHeight w:val="443"/>
          <w:jc w:val="center"/>
        </w:trPr>
        <w:tc>
          <w:tcPr>
            <w:tcW w:w="1473" w:type="dxa"/>
            <w:vAlign w:val="center"/>
          </w:tcPr>
          <w:p w:rsidR="00A813E2" w:rsidRPr="00060097" w:rsidRDefault="00A813E2" w:rsidP="00A737F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45 Kg</w:t>
            </w:r>
          </w:p>
        </w:tc>
        <w:tc>
          <w:tcPr>
            <w:tcW w:w="1792" w:type="dxa"/>
            <w:vAlign w:val="center"/>
          </w:tcPr>
          <w:p w:rsidR="00A813E2" w:rsidRPr="00060097" w:rsidRDefault="00A813E2" w:rsidP="00A737F3">
            <w:pPr>
              <w:ind w:left="0"/>
              <w:jc w:val="center"/>
              <w:rPr>
                <w:rFonts w:ascii="Bookman Old Style" w:hAnsi="Bookman Old Style"/>
                <w:sz w:val="18"/>
                <w:szCs w:val="18"/>
              </w:rPr>
            </w:pPr>
            <w:r w:rsidRPr="00211461">
              <w:rPr>
                <w:rFonts w:ascii="Bookman Old Style" w:hAnsi="Bookman Old Style"/>
                <w:color w:val="000000"/>
                <w:sz w:val="18"/>
                <w:szCs w:val="18"/>
              </w:rPr>
              <w:t>NR*</w:t>
            </w:r>
          </w:p>
        </w:tc>
      </w:tr>
      <w:tr w:rsidR="00A813E2" w:rsidRPr="00060097" w:rsidTr="00A737F3">
        <w:trPr>
          <w:trHeight w:val="443"/>
          <w:jc w:val="center"/>
        </w:trPr>
        <w:tc>
          <w:tcPr>
            <w:tcW w:w="1473" w:type="dxa"/>
            <w:vAlign w:val="center"/>
          </w:tcPr>
          <w:p w:rsidR="00A813E2" w:rsidRPr="00060097" w:rsidRDefault="00A813E2" w:rsidP="00A737F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100 Kg</w:t>
            </w:r>
          </w:p>
        </w:tc>
        <w:tc>
          <w:tcPr>
            <w:tcW w:w="1792" w:type="dxa"/>
            <w:vAlign w:val="center"/>
          </w:tcPr>
          <w:p w:rsidR="00A813E2" w:rsidRPr="00060097" w:rsidRDefault="00A813E2" w:rsidP="00A737F3">
            <w:pPr>
              <w:ind w:left="0"/>
              <w:jc w:val="center"/>
              <w:rPr>
                <w:rFonts w:ascii="Bookman Old Style" w:hAnsi="Bookman Old Style"/>
                <w:sz w:val="18"/>
                <w:szCs w:val="18"/>
              </w:rPr>
            </w:pPr>
            <w:r w:rsidRPr="00074962">
              <w:rPr>
                <w:rFonts w:ascii="Bookman Old Style" w:hAnsi="Bookman Old Style"/>
                <w:sz w:val="18"/>
              </w:rPr>
              <w:t>NR*</w:t>
            </w:r>
          </w:p>
        </w:tc>
      </w:tr>
      <w:tr w:rsidR="00A813E2" w:rsidRPr="00060097" w:rsidTr="00A737F3">
        <w:trPr>
          <w:trHeight w:val="443"/>
          <w:jc w:val="center"/>
        </w:trPr>
        <w:tc>
          <w:tcPr>
            <w:tcW w:w="1473" w:type="dxa"/>
            <w:vAlign w:val="center"/>
          </w:tcPr>
          <w:p w:rsidR="00A813E2" w:rsidRPr="00060097" w:rsidRDefault="00A813E2" w:rsidP="00A737F3">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Total general</w:t>
            </w:r>
          </w:p>
        </w:tc>
        <w:tc>
          <w:tcPr>
            <w:tcW w:w="1792" w:type="dxa"/>
            <w:vAlign w:val="center"/>
          </w:tcPr>
          <w:p w:rsidR="00A813E2" w:rsidRPr="00060097" w:rsidRDefault="00A813E2" w:rsidP="00A737F3">
            <w:pPr>
              <w:ind w:left="0"/>
              <w:jc w:val="center"/>
              <w:rPr>
                <w:rFonts w:ascii="Bookman Old Style" w:hAnsi="Bookman Old Style"/>
                <w:sz w:val="18"/>
                <w:szCs w:val="18"/>
              </w:rPr>
            </w:pPr>
            <w:r w:rsidRPr="00211461">
              <w:rPr>
                <w:rFonts w:ascii="Bookman Old Style" w:hAnsi="Bookman Old Style"/>
                <w:color w:val="000000"/>
                <w:sz w:val="18"/>
                <w:szCs w:val="18"/>
              </w:rPr>
              <w:t>NR*</w:t>
            </w:r>
          </w:p>
        </w:tc>
      </w:tr>
      <w:tr w:rsidR="00A813E2" w:rsidRPr="00060097" w:rsidTr="00A737F3">
        <w:trPr>
          <w:trHeight w:val="443"/>
          <w:jc w:val="center"/>
        </w:trPr>
        <w:tc>
          <w:tcPr>
            <w:tcW w:w="1473" w:type="dxa"/>
            <w:vAlign w:val="center"/>
          </w:tcPr>
          <w:p w:rsidR="00A813E2" w:rsidRPr="007A4361" w:rsidRDefault="00A813E2" w:rsidP="00A737F3">
            <w:pPr>
              <w:ind w:left="0"/>
              <w:jc w:val="center"/>
              <w:rPr>
                <w:rFonts w:ascii="Bookman Old Style" w:hAnsi="Bookman Old Style"/>
                <w:b/>
                <w:color w:val="000000"/>
                <w:sz w:val="18"/>
                <w:szCs w:val="18"/>
              </w:rPr>
            </w:pPr>
            <m:oMathPara>
              <m:oMath>
                <m:r>
                  <m:rPr>
                    <m:sty m:val="bi"/>
                  </m:rPr>
                  <w:rPr>
                    <w:rFonts w:ascii="Cambria Math" w:hAnsi="Cambria Math"/>
                    <w:color w:val="000000"/>
                    <w:sz w:val="18"/>
                    <w:szCs w:val="18"/>
                  </w:rPr>
                  <m:t>Cap.</m:t>
                </m:r>
                <m:sSub>
                  <m:sSubPr>
                    <m:ctrlPr>
                      <w:rPr>
                        <w:rFonts w:ascii="Cambria Math" w:hAnsi="Cambria Math"/>
                        <w:b/>
                        <w:i/>
                        <w:color w:val="000000"/>
                        <w:sz w:val="18"/>
                        <w:szCs w:val="18"/>
                        <w:lang w:eastAsia="es-CO"/>
                      </w:rPr>
                    </m:ctrlPr>
                  </m:sSubPr>
                  <m:e>
                    <m:r>
                      <m:rPr>
                        <m:sty m:val="bi"/>
                      </m:rPr>
                      <w:rPr>
                        <w:rFonts w:ascii="Cambria Math" w:hAnsi="Cambria Math"/>
                        <w:color w:val="000000"/>
                        <w:sz w:val="18"/>
                        <w:szCs w:val="18"/>
                      </w:rPr>
                      <m:t>2</m:t>
                    </m:r>
                  </m:e>
                  <m:sub>
                    <m:r>
                      <m:rPr>
                        <m:sty m:val="bi"/>
                      </m:rPr>
                      <w:rPr>
                        <w:rFonts w:ascii="Cambria Math" w:hAnsi="Cambria Math"/>
                        <w:color w:val="000000"/>
                        <w:sz w:val="18"/>
                        <w:szCs w:val="18"/>
                      </w:rPr>
                      <m:t>i,t</m:t>
                    </m:r>
                  </m:sub>
                </m:sSub>
                <m:r>
                  <m:rPr>
                    <m:sty m:val="bi"/>
                  </m:rPr>
                  <w:rPr>
                    <w:rFonts w:ascii="Cambria Math" w:hAnsi="Cambria Math"/>
                    <w:color w:val="000000"/>
                    <w:sz w:val="18"/>
                    <w:szCs w:val="18"/>
                  </w:rPr>
                  <m:t xml:space="preserve"> </m:t>
                </m:r>
              </m:oMath>
            </m:oMathPara>
          </w:p>
        </w:tc>
        <w:tc>
          <w:tcPr>
            <w:tcW w:w="1792" w:type="dxa"/>
            <w:vAlign w:val="center"/>
          </w:tcPr>
          <w:p w:rsidR="00A813E2" w:rsidRPr="00060097" w:rsidRDefault="00A813E2" w:rsidP="00A737F3">
            <w:pPr>
              <w:ind w:left="0"/>
              <w:jc w:val="center"/>
              <w:rPr>
                <w:rFonts w:ascii="Bookman Old Style" w:hAnsi="Bookman Old Style"/>
                <w:sz w:val="18"/>
                <w:szCs w:val="18"/>
              </w:rPr>
            </w:pPr>
            <w:r w:rsidRPr="00211461">
              <w:rPr>
                <w:rFonts w:ascii="Bookman Old Style" w:hAnsi="Bookman Old Style"/>
                <w:color w:val="000000"/>
                <w:sz w:val="18"/>
                <w:szCs w:val="18"/>
              </w:rPr>
              <w:t>NR*</w:t>
            </w:r>
          </w:p>
        </w:tc>
      </w:tr>
    </w:tbl>
    <w:p w:rsidR="00A813E2" w:rsidRPr="00074962" w:rsidRDefault="00A813E2" w:rsidP="00A813E2">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A813E2" w:rsidRPr="0040046C" w:rsidRDefault="00A813E2" w:rsidP="00A813E2">
      <w:pPr>
        <w:jc w:val="center"/>
        <w:rPr>
          <w:rFonts w:ascii="Bookman Old Style" w:hAnsi="Bookman Old Style"/>
        </w:rPr>
      </w:pPr>
    </w:p>
    <w:p w:rsidR="00A813E2" w:rsidRPr="00CB0253" w:rsidRDefault="00A813E2" w:rsidP="00A813E2">
      <w:pPr>
        <w:pStyle w:val="Prrafodelista"/>
        <w:numPr>
          <w:ilvl w:val="0"/>
          <w:numId w:val="36"/>
        </w:numPr>
        <w:contextualSpacing/>
        <w:jc w:val="both"/>
        <w:rPr>
          <w:rFonts w:ascii="Bookman Old Style" w:eastAsia="Calibri" w:hAnsi="Bookman Old Style"/>
          <w:sz w:val="24"/>
          <w:szCs w:val="24"/>
        </w:rPr>
      </w:pPr>
      <w:r>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CB0253">
        <w:rPr>
          <w:rFonts w:ascii="Bookman Old Style" w:hAnsi="Bookman Old Style"/>
          <w:iCs/>
          <w:sz w:val="24"/>
          <w:szCs w:val="24"/>
        </w:rPr>
        <w:t xml:space="preserve">, a continuación se muestra el conteo de cilindros por código de presentación para cada uno de los códigos SUI de las empresas. </w:t>
      </w:r>
    </w:p>
    <w:p w:rsidR="00A813E2" w:rsidRPr="0089470C" w:rsidRDefault="00A813E2" w:rsidP="00A813E2">
      <w:pPr>
        <w:pStyle w:val="Prrafodelista"/>
        <w:ind w:left="720"/>
        <w:jc w:val="both"/>
        <w:rPr>
          <w:rFonts w:ascii="Bookman Old Style" w:hAnsi="Bookman Old Style"/>
          <w:sz w:val="24"/>
          <w:szCs w:val="24"/>
        </w:rPr>
      </w:pPr>
    </w:p>
    <w:tbl>
      <w:tblPr>
        <w:tblW w:w="6040" w:type="dxa"/>
        <w:jc w:val="center"/>
        <w:tblCellMar>
          <w:left w:w="70" w:type="dxa"/>
          <w:right w:w="70" w:type="dxa"/>
        </w:tblCellMar>
        <w:tblLook w:val="04A0" w:firstRow="1" w:lastRow="0" w:firstColumn="1" w:lastColumn="0" w:noHBand="0" w:noVBand="1"/>
      </w:tblPr>
      <w:tblGrid>
        <w:gridCol w:w="1420"/>
        <w:gridCol w:w="1660"/>
        <w:gridCol w:w="1360"/>
        <w:gridCol w:w="1600"/>
      </w:tblGrid>
      <w:tr w:rsidR="00A813E2" w:rsidRPr="00074962" w:rsidTr="00A737F3">
        <w:trPr>
          <w:trHeight w:val="405"/>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3E2" w:rsidRPr="00074962" w:rsidRDefault="00A813E2" w:rsidP="00A737F3">
            <w:pPr>
              <w:ind w:left="67"/>
              <w:jc w:val="center"/>
              <w:rPr>
                <w:rFonts w:ascii="Bookman Old Style" w:hAnsi="Bookman Old Style"/>
                <w:color w:val="000000"/>
                <w:sz w:val="20"/>
                <w:szCs w:val="20"/>
                <w:lang w:eastAsia="es-CO"/>
              </w:rPr>
            </w:pPr>
            <w:r w:rsidRPr="00074962">
              <w:rPr>
                <w:rFonts w:ascii="Bookman Old Style" w:hAnsi="Bookman Old Style"/>
                <w:b/>
                <w:bCs/>
                <w:color w:val="000000"/>
                <w:sz w:val="20"/>
                <w:szCs w:val="20"/>
                <w:lang w:eastAsia="es-CO"/>
              </w:rPr>
              <w:lastRenderedPageBreak/>
              <w:t>Código SUI</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813E2" w:rsidRPr="007A4361" w:rsidRDefault="00A813E2" w:rsidP="00A737F3">
            <w:pPr>
              <w:ind w:left="67"/>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1</m:t>
                    </m:r>
                  </m:e>
                  <m:sub>
                    <m:r>
                      <m:rPr>
                        <m:sty m:val="bi"/>
                      </m:rPr>
                      <w:rPr>
                        <w:rFonts w:ascii="Cambria Math" w:hAnsi="Cambria Math"/>
                        <w:color w:val="000000"/>
                        <w:sz w:val="20"/>
                        <w:szCs w:val="20"/>
                        <w:lang w:eastAsia="es-CO"/>
                      </w:rPr>
                      <m:t>i,t</m:t>
                    </m:r>
                  </m:sub>
                </m:sSub>
              </m:oMath>
            </m:oMathPara>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A813E2" w:rsidRPr="007A4361" w:rsidRDefault="00A813E2" w:rsidP="00A737F3">
            <w:pPr>
              <w:ind w:left="67"/>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2</m:t>
                    </m:r>
                  </m:e>
                  <m:sub>
                    <m:r>
                      <m:rPr>
                        <m:sty m:val="bi"/>
                      </m:rPr>
                      <w:rPr>
                        <w:rFonts w:ascii="Cambria Math" w:hAnsi="Cambria Math"/>
                        <w:color w:val="000000"/>
                        <w:sz w:val="20"/>
                        <w:szCs w:val="20"/>
                        <w:lang w:eastAsia="es-CO"/>
                      </w:rPr>
                      <m:t>i,t</m:t>
                    </m:r>
                  </m:sub>
                </m:sSub>
              </m:oMath>
            </m:oMathPara>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A813E2" w:rsidRPr="007A4361" w:rsidRDefault="00A813E2" w:rsidP="00A737F3">
            <w:pPr>
              <w:ind w:left="67"/>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r>
      <w:tr w:rsidR="00A813E2" w:rsidRPr="00074962" w:rsidTr="001064A0">
        <w:trPr>
          <w:trHeight w:val="311"/>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3E2" w:rsidRPr="0093479E" w:rsidRDefault="00A813E2" w:rsidP="007023F4">
            <w:pPr>
              <w:ind w:left="67"/>
              <w:jc w:val="center"/>
              <w:rPr>
                <w:rFonts w:ascii="Bookman Old Style" w:hAnsi="Bookman Old Style"/>
                <w:color w:val="000000"/>
                <w:sz w:val="18"/>
                <w:szCs w:val="20"/>
              </w:rPr>
            </w:pPr>
            <w:r>
              <w:rPr>
                <w:rFonts w:ascii="Bookman Old Style" w:hAnsi="Bookman Old Style"/>
                <w:color w:val="000000"/>
                <w:sz w:val="18"/>
                <w:szCs w:val="20"/>
              </w:rPr>
              <w:t>26219</w:t>
            </w:r>
          </w:p>
        </w:tc>
        <w:tc>
          <w:tcPr>
            <w:tcW w:w="1660" w:type="dxa"/>
            <w:tcBorders>
              <w:top w:val="single" w:sz="4" w:space="0" w:color="auto"/>
              <w:left w:val="nil"/>
              <w:bottom w:val="single" w:sz="4" w:space="0" w:color="auto"/>
              <w:right w:val="single" w:sz="4" w:space="0" w:color="auto"/>
            </w:tcBorders>
            <w:shd w:val="clear" w:color="auto" w:fill="auto"/>
            <w:noWrap/>
          </w:tcPr>
          <w:p w:rsidR="00A813E2" w:rsidRDefault="00A813E2" w:rsidP="00A813E2">
            <w:r w:rsidRPr="007D26B0">
              <w:rPr>
                <w:rFonts w:ascii="Bookman Old Style" w:hAnsi="Bookman Old Style"/>
                <w:color w:val="000000"/>
                <w:sz w:val="18"/>
                <w:szCs w:val="18"/>
              </w:rPr>
              <w:t>NR*</w:t>
            </w:r>
          </w:p>
        </w:tc>
        <w:tc>
          <w:tcPr>
            <w:tcW w:w="1360" w:type="dxa"/>
            <w:tcBorders>
              <w:top w:val="single" w:sz="4" w:space="0" w:color="auto"/>
              <w:left w:val="nil"/>
              <w:bottom w:val="single" w:sz="4" w:space="0" w:color="auto"/>
              <w:right w:val="single" w:sz="4" w:space="0" w:color="auto"/>
            </w:tcBorders>
            <w:shd w:val="clear" w:color="auto" w:fill="auto"/>
            <w:noWrap/>
          </w:tcPr>
          <w:p w:rsidR="00A813E2" w:rsidRDefault="00A813E2" w:rsidP="00A813E2">
            <w:r w:rsidRPr="007D26B0">
              <w:rPr>
                <w:rFonts w:ascii="Bookman Old Style" w:hAnsi="Bookman Old Style"/>
                <w:color w:val="000000"/>
                <w:sz w:val="18"/>
                <w:szCs w:val="18"/>
              </w:rPr>
              <w:t>NR*</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A813E2" w:rsidRDefault="00A813E2" w:rsidP="00A813E2">
            <w:pPr>
              <w:ind w:left="67"/>
              <w:jc w:val="center"/>
              <w:rPr>
                <w:rFonts w:ascii="Bookman Old Style" w:hAnsi="Bookman Old Style"/>
                <w:color w:val="000000"/>
                <w:sz w:val="20"/>
                <w:szCs w:val="20"/>
              </w:rPr>
            </w:pPr>
            <w:r w:rsidRPr="00211461">
              <w:rPr>
                <w:rFonts w:ascii="Bookman Old Style" w:hAnsi="Bookman Old Style"/>
                <w:color w:val="000000"/>
                <w:sz w:val="18"/>
                <w:szCs w:val="18"/>
              </w:rPr>
              <w:t>NR*</w:t>
            </w:r>
          </w:p>
        </w:tc>
      </w:tr>
    </w:tbl>
    <w:p w:rsidR="00A813E2" w:rsidRPr="00074962" w:rsidRDefault="00A813E2" w:rsidP="00A813E2">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A813E2" w:rsidRDefault="00A813E2" w:rsidP="00A813E2">
      <w:pPr>
        <w:rPr>
          <w:rFonts w:ascii="Bookman Old Style" w:hAnsi="Bookman Old Style"/>
        </w:rPr>
      </w:pPr>
    </w:p>
    <w:p w:rsidR="00A813E2" w:rsidRPr="004443F3" w:rsidRDefault="00A813E2" w:rsidP="00A813E2">
      <w:pPr>
        <w:pStyle w:val="Prrafodelista"/>
        <w:numPr>
          <w:ilvl w:val="0"/>
          <w:numId w:val="36"/>
        </w:numPr>
        <w:contextualSpacing/>
        <w:jc w:val="both"/>
        <w:rPr>
          <w:rFonts w:ascii="Bookman Old Style" w:hAnsi="Bookman Old Style"/>
          <w:sz w:val="24"/>
          <w:szCs w:val="24"/>
        </w:rPr>
      </w:pPr>
      <w:r w:rsidRPr="004443F3">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CB0253">
        <w:rPr>
          <w:rFonts w:ascii="Bookman Old Style" w:hAnsi="Bookman Old Style"/>
          <w:iCs/>
          <w:sz w:val="24"/>
          <w:szCs w:val="24"/>
        </w:rPr>
        <w:t xml:space="preserve">, a continuación se muestra el conteo de cilindros por código de presentación para cada uno de los códigos SUI de las empresas. </w:t>
      </w:r>
    </w:p>
    <w:tbl>
      <w:tblPr>
        <w:tblW w:w="6492" w:type="dxa"/>
        <w:jc w:val="center"/>
        <w:tblCellMar>
          <w:left w:w="70" w:type="dxa"/>
          <w:right w:w="70" w:type="dxa"/>
        </w:tblCellMar>
        <w:tblLook w:val="04A0" w:firstRow="1" w:lastRow="0" w:firstColumn="1" w:lastColumn="0" w:noHBand="0" w:noVBand="1"/>
      </w:tblPr>
      <w:tblGrid>
        <w:gridCol w:w="1266"/>
        <w:gridCol w:w="1640"/>
        <w:gridCol w:w="1882"/>
        <w:gridCol w:w="1704"/>
      </w:tblGrid>
      <w:tr w:rsidR="00A813E2" w:rsidRPr="0056639C" w:rsidTr="00A737F3">
        <w:trPr>
          <w:trHeight w:val="791"/>
          <w:jc w:val="center"/>
        </w:trPr>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13E2" w:rsidRPr="0056639C" w:rsidRDefault="00A813E2" w:rsidP="00A737F3">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Código SUI</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813E2" w:rsidRPr="0056639C" w:rsidRDefault="00A813E2" w:rsidP="00A737F3">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Capacidad total (gl)</w:t>
            </w:r>
            <w:r>
              <w:rPr>
                <w:rFonts w:ascii="Bookman Old Style" w:hAnsi="Bookman Old Style"/>
                <w:b/>
                <w:bCs/>
                <w:color w:val="000000"/>
                <w:sz w:val="20"/>
                <w:szCs w:val="20"/>
                <w:lang w:eastAsia="es-CO"/>
              </w:rPr>
              <w:t xml:space="preserve"> (</w:t>
            </w:r>
            <m:oMath>
              <m:nary>
                <m:naryPr>
                  <m:chr m:val="∑"/>
                  <m:limLoc m:val="undOvr"/>
                  <m:subHide m:val="1"/>
                  <m:supHide m:val="1"/>
                  <m:ctrlPr>
                    <w:rPr>
                      <w:rFonts w:ascii="Cambria Math" w:hAnsi="Cambria Math"/>
                      <w:b/>
                      <w:bCs/>
                      <w:i/>
                      <w:color w:val="000000"/>
                      <w:sz w:val="20"/>
                      <w:szCs w:val="20"/>
                      <w:lang w:eastAsia="es-CO"/>
                    </w:rPr>
                  </m:ctrlPr>
                </m:naryPr>
                <m:sub/>
                <m:sup/>
                <m:e>
                  <m:r>
                    <m:rPr>
                      <m:sty m:val="bi"/>
                    </m:rPr>
                    <w:rPr>
                      <w:rFonts w:ascii="Cambria Math" w:hAnsi="Cambria Math"/>
                      <w:color w:val="000000"/>
                      <w:sz w:val="20"/>
                      <w:szCs w:val="20"/>
                      <w:lang w:eastAsia="es-CO"/>
                    </w:rPr>
                    <m:t>CV*NT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e>
              </m:nary>
            </m:oMath>
            <w:r>
              <w:rPr>
                <w:rFonts w:ascii="Bookman Old Style" w:hAnsi="Bookman Old Style"/>
                <w:b/>
                <w:bCs/>
                <w:color w:val="000000"/>
                <w:sz w:val="20"/>
                <w:szCs w:val="20"/>
                <w:lang w:eastAsia="es-CO"/>
              </w:rPr>
              <w:t>)</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A813E2" w:rsidRPr="0056639C" w:rsidRDefault="00A813E2" w:rsidP="00A737F3">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Número tanques estacionarios</w:t>
            </w:r>
            <w:r>
              <w:rPr>
                <w:rFonts w:ascii="Bookman Old Style" w:hAnsi="Bookman Old Style"/>
                <w:b/>
                <w:bCs/>
                <w:color w:val="000000"/>
                <w:sz w:val="20"/>
                <w:szCs w:val="20"/>
                <w:lang w:eastAsia="es-CO"/>
              </w:rPr>
              <w:t xml:space="preserve"> (</w:t>
            </w:r>
            <m:oMath>
              <m:r>
                <m:rPr>
                  <m:sty m:val="bi"/>
                </m:rPr>
                <w:rPr>
                  <w:rFonts w:ascii="Cambria Math" w:hAnsi="Cambria Math"/>
                  <w:color w:val="000000"/>
                  <w:sz w:val="20"/>
                  <w:szCs w:val="20"/>
                  <w:lang w:eastAsia="es-CO"/>
                </w:rPr>
                <m:t>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oMath>
            <w:r>
              <w:rPr>
                <w:rFonts w:ascii="Bookman Old Style" w:hAnsi="Bookman Old Style"/>
                <w:b/>
                <w:bCs/>
                <w:color w:val="000000"/>
                <w:sz w:val="20"/>
                <w:szCs w:val="20"/>
                <w:lang w:eastAsia="es-CO"/>
              </w:rPr>
              <w:t>)</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A813E2" w:rsidRPr="0056639C" w:rsidRDefault="00A813E2" w:rsidP="00A737F3">
            <w:pPr>
              <w:ind w:left="67"/>
              <w:jc w:val="center"/>
              <w:rPr>
                <w:rFonts w:ascii="Bookman Old Style" w:hAnsi="Bookman Old Style"/>
                <w:b/>
                <w:bCs/>
                <w:color w:val="000000"/>
                <w:sz w:val="20"/>
                <w:szCs w:val="20"/>
                <w:lang w:eastAsia="es-CO"/>
              </w:rPr>
            </w:pPr>
            <m:oMath>
              <m:r>
                <m:rPr>
                  <m:sty m:val="bi"/>
                </m:rPr>
                <w:rPr>
                  <w:rFonts w:ascii="Cambria Math" w:hAnsi="Cambria Math"/>
                </w:rPr>
                <m:t>Cap.</m:t>
              </m:r>
              <m:sSub>
                <m:sSubPr>
                  <m:ctrlPr>
                    <w:rPr>
                      <w:rFonts w:ascii="Cambria Math" w:hAnsi="Cambria Math"/>
                      <w:b/>
                      <w:i/>
                      <w:iCs/>
                    </w:rPr>
                  </m:ctrlPr>
                </m:sSubPr>
                <m:e>
                  <m:r>
                    <m:rPr>
                      <m:sty m:val="bi"/>
                    </m:rPr>
                    <w:rPr>
                      <w:rFonts w:ascii="Cambria Math" w:hAnsi="Cambria Math"/>
                    </w:rPr>
                    <m:t>TE</m:t>
                  </m:r>
                </m:e>
                <m:sub>
                  <m:r>
                    <m:rPr>
                      <m:sty m:val="bi"/>
                    </m:rPr>
                    <w:rPr>
                      <w:rFonts w:ascii="Cambria Math" w:hAnsi="Cambria Math"/>
                    </w:rPr>
                    <m:t>i,t</m:t>
                  </m:r>
                </m:sub>
              </m:sSub>
            </m:oMath>
            <w:r w:rsidRPr="0056639C">
              <w:rPr>
                <w:rFonts w:ascii="Bookman Old Style" w:hAnsi="Bookman Old Style"/>
                <w:b/>
                <w:bCs/>
                <w:color w:val="000000"/>
                <w:sz w:val="20"/>
                <w:szCs w:val="20"/>
                <w:lang w:eastAsia="es-CO"/>
              </w:rPr>
              <w:t> </w:t>
            </w:r>
          </w:p>
        </w:tc>
      </w:tr>
      <w:tr w:rsidR="00A813E2" w:rsidRPr="0056639C" w:rsidTr="00A737F3">
        <w:trPr>
          <w:trHeight w:val="300"/>
          <w:jc w:val="center"/>
        </w:trPr>
        <w:tc>
          <w:tcPr>
            <w:tcW w:w="1266" w:type="dxa"/>
            <w:tcBorders>
              <w:top w:val="nil"/>
              <w:left w:val="single" w:sz="4" w:space="0" w:color="auto"/>
              <w:bottom w:val="single" w:sz="4" w:space="0" w:color="auto"/>
              <w:right w:val="single" w:sz="4" w:space="0" w:color="auto"/>
            </w:tcBorders>
            <w:shd w:val="clear" w:color="auto" w:fill="auto"/>
            <w:noWrap/>
            <w:vAlign w:val="center"/>
          </w:tcPr>
          <w:p w:rsidR="00A813E2" w:rsidRPr="00A813E2" w:rsidRDefault="00A813E2" w:rsidP="00A813E2">
            <w:pPr>
              <w:ind w:left="0"/>
              <w:jc w:val="center"/>
              <w:rPr>
                <w:rFonts w:ascii="Bookman Old Style" w:hAnsi="Bookman Old Style"/>
                <w:sz w:val="18"/>
                <w:szCs w:val="20"/>
                <w:lang w:val="es-CO" w:eastAsia="es-CO"/>
              </w:rPr>
            </w:pPr>
            <w:r w:rsidRPr="00A813E2">
              <w:rPr>
                <w:rFonts w:ascii="Bookman Old Style" w:hAnsi="Bookman Old Style"/>
                <w:sz w:val="18"/>
                <w:szCs w:val="20"/>
              </w:rPr>
              <w:t>26219</w:t>
            </w:r>
          </w:p>
        </w:tc>
        <w:tc>
          <w:tcPr>
            <w:tcW w:w="1640" w:type="dxa"/>
            <w:tcBorders>
              <w:top w:val="nil"/>
              <w:left w:val="nil"/>
              <w:bottom w:val="single" w:sz="4" w:space="0" w:color="auto"/>
              <w:right w:val="single" w:sz="4" w:space="0" w:color="auto"/>
            </w:tcBorders>
            <w:shd w:val="clear" w:color="auto" w:fill="auto"/>
            <w:noWrap/>
            <w:vAlign w:val="center"/>
          </w:tcPr>
          <w:p w:rsidR="00A813E2" w:rsidRPr="00A813E2" w:rsidRDefault="00A813E2" w:rsidP="00A813E2">
            <w:pPr>
              <w:rPr>
                <w:rFonts w:ascii="Bookman Old Style" w:hAnsi="Bookman Old Style"/>
                <w:sz w:val="18"/>
                <w:szCs w:val="20"/>
              </w:rPr>
            </w:pPr>
            <w:r w:rsidRPr="00A813E2">
              <w:rPr>
                <w:rFonts w:ascii="Bookman Old Style" w:hAnsi="Bookman Old Style"/>
                <w:sz w:val="18"/>
                <w:szCs w:val="20"/>
              </w:rPr>
              <w:t>3.000</w:t>
            </w:r>
          </w:p>
        </w:tc>
        <w:tc>
          <w:tcPr>
            <w:tcW w:w="1882" w:type="dxa"/>
            <w:tcBorders>
              <w:top w:val="nil"/>
              <w:left w:val="nil"/>
              <w:bottom w:val="single" w:sz="4" w:space="0" w:color="auto"/>
              <w:right w:val="single" w:sz="4" w:space="0" w:color="auto"/>
            </w:tcBorders>
            <w:shd w:val="clear" w:color="auto" w:fill="auto"/>
            <w:noWrap/>
            <w:vAlign w:val="center"/>
          </w:tcPr>
          <w:p w:rsidR="00A813E2" w:rsidRPr="00A813E2" w:rsidRDefault="00A813E2" w:rsidP="00A813E2">
            <w:pPr>
              <w:rPr>
                <w:rFonts w:ascii="Bookman Old Style" w:hAnsi="Bookman Old Style"/>
                <w:sz w:val="18"/>
                <w:szCs w:val="20"/>
              </w:rPr>
            </w:pPr>
            <w:r w:rsidRPr="00A813E2">
              <w:rPr>
                <w:rFonts w:ascii="Bookman Old Style" w:hAnsi="Bookman Old Style"/>
                <w:sz w:val="18"/>
                <w:szCs w:val="20"/>
              </w:rPr>
              <w:t>13</w:t>
            </w:r>
          </w:p>
        </w:tc>
        <w:tc>
          <w:tcPr>
            <w:tcW w:w="1704" w:type="dxa"/>
            <w:tcBorders>
              <w:top w:val="nil"/>
              <w:left w:val="nil"/>
              <w:bottom w:val="single" w:sz="4" w:space="0" w:color="auto"/>
              <w:right w:val="single" w:sz="4" w:space="0" w:color="auto"/>
            </w:tcBorders>
            <w:shd w:val="clear" w:color="auto" w:fill="auto"/>
            <w:noWrap/>
            <w:vAlign w:val="center"/>
          </w:tcPr>
          <w:p w:rsidR="00A813E2" w:rsidRPr="00A813E2" w:rsidRDefault="00A813E2" w:rsidP="00A813E2">
            <w:pPr>
              <w:rPr>
                <w:rFonts w:ascii="Bookman Old Style" w:hAnsi="Bookman Old Style"/>
                <w:sz w:val="18"/>
                <w:szCs w:val="20"/>
              </w:rPr>
            </w:pPr>
            <w:r w:rsidRPr="00A813E2">
              <w:rPr>
                <w:rFonts w:ascii="Bookman Old Style" w:hAnsi="Bookman Old Style"/>
                <w:sz w:val="18"/>
                <w:szCs w:val="20"/>
              </w:rPr>
              <w:t>37.800</w:t>
            </w:r>
          </w:p>
        </w:tc>
      </w:tr>
    </w:tbl>
    <w:p w:rsidR="00A813E2" w:rsidRDefault="00A813E2" w:rsidP="00A813E2">
      <w:pPr>
        <w:pStyle w:val="Prrafodelista"/>
        <w:jc w:val="both"/>
        <w:rPr>
          <w:rFonts w:ascii="Bookman Old Style" w:hAnsi="Bookman Old Style"/>
          <w:sz w:val="24"/>
          <w:szCs w:val="24"/>
        </w:rPr>
      </w:pPr>
    </w:p>
    <w:p w:rsidR="00A813E2" w:rsidRPr="004443F3" w:rsidRDefault="00A813E2" w:rsidP="00A813E2">
      <w:pPr>
        <w:pStyle w:val="Prrafodelista"/>
        <w:numPr>
          <w:ilvl w:val="0"/>
          <w:numId w:val="36"/>
        </w:numPr>
        <w:spacing w:after="200" w:line="276" w:lineRule="auto"/>
        <w:contextualSpacing/>
        <w:rPr>
          <w:rFonts w:ascii="Bookman Old Style" w:hAnsi="Bookman Old Style"/>
          <w:sz w:val="24"/>
          <w:szCs w:val="24"/>
        </w:rPr>
      </w:pPr>
      <w:r w:rsidRPr="004443F3">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CB0253">
        <w:rPr>
          <w:rFonts w:ascii="Bookman Old Style" w:hAnsi="Bookman Old Style"/>
          <w:iCs/>
          <w:sz w:val="24"/>
          <w:szCs w:val="24"/>
        </w:rPr>
        <w:t xml:space="preserve">, a continuación se muestra el conteo de cilindros por código de presentación para cada uno de los códigos SUI de las empresas. </w:t>
      </w:r>
    </w:p>
    <w:p w:rsidR="00A813E2" w:rsidRDefault="00A813E2" w:rsidP="00A813E2">
      <w:pPr>
        <w:pStyle w:val="Prrafodelista"/>
        <w:ind w:left="0"/>
        <w:jc w:val="center"/>
        <w:rPr>
          <w:rFonts w:ascii="Bookman Old Style" w:hAnsi="Bookman Old Style"/>
          <w:sz w:val="18"/>
          <w:szCs w:val="24"/>
        </w:rPr>
      </w:pPr>
    </w:p>
    <w:tbl>
      <w:tblPr>
        <w:tblW w:w="6340" w:type="dxa"/>
        <w:jc w:val="center"/>
        <w:tblCellMar>
          <w:left w:w="70" w:type="dxa"/>
          <w:right w:w="70" w:type="dxa"/>
        </w:tblCellMar>
        <w:tblLook w:val="04A0" w:firstRow="1" w:lastRow="0" w:firstColumn="1" w:lastColumn="0" w:noHBand="0" w:noVBand="1"/>
      </w:tblPr>
      <w:tblGrid>
        <w:gridCol w:w="1420"/>
        <w:gridCol w:w="1700"/>
        <w:gridCol w:w="1704"/>
        <w:gridCol w:w="1516"/>
      </w:tblGrid>
      <w:tr w:rsidR="00A813E2" w:rsidRPr="000768E2" w:rsidTr="00A737F3">
        <w:trPr>
          <w:trHeight w:val="570"/>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3E2" w:rsidRPr="000768E2" w:rsidRDefault="00A813E2" w:rsidP="00A737F3">
            <w:pPr>
              <w:ind w:left="67"/>
              <w:jc w:val="center"/>
              <w:rPr>
                <w:rFonts w:ascii="Bookman Old Style" w:hAnsi="Bookman Old Style"/>
                <w:b/>
                <w:bCs/>
                <w:color w:val="000000"/>
                <w:sz w:val="20"/>
                <w:szCs w:val="20"/>
                <w:lang w:eastAsia="es-CO"/>
              </w:rPr>
            </w:pPr>
            <w:r w:rsidRPr="000768E2">
              <w:rPr>
                <w:rFonts w:ascii="Bookman Old Style" w:hAnsi="Bookman Old Style"/>
                <w:b/>
                <w:bCs/>
                <w:color w:val="000000"/>
                <w:sz w:val="20"/>
                <w:szCs w:val="20"/>
                <w:lang w:eastAsia="es-CO"/>
              </w:rPr>
              <w:t>Código SUI</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A813E2" w:rsidRPr="007A4361" w:rsidRDefault="00A813E2" w:rsidP="00A737F3">
            <w:pPr>
              <w:ind w:left="67"/>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A813E2" w:rsidRPr="007A4361" w:rsidRDefault="00A813E2" w:rsidP="00A737F3">
            <w:pPr>
              <w:ind w:left="67"/>
              <w:rPr>
                <w:rFonts w:ascii="Bookman Old Style" w:hAnsi="Bookman Old Style"/>
                <w:b/>
                <w:bCs/>
                <w:color w:val="000000"/>
                <w:sz w:val="20"/>
                <w:szCs w:val="20"/>
                <w:lang w:eastAsia="es-CO"/>
              </w:rPr>
            </w:pPr>
            <m:oMathPara>
              <m:oMath>
                <m:r>
                  <m:rPr>
                    <m:sty m:val="bi"/>
                  </m:rPr>
                  <w:rPr>
                    <w:rFonts w:ascii="Cambria Math" w:hAnsi="Cambria Math"/>
                    <w:sz w:val="20"/>
                    <w:szCs w:val="20"/>
                  </w:rPr>
                  <m:t>Cap.</m:t>
                </m:r>
                <m:sSub>
                  <m:sSubPr>
                    <m:ctrlPr>
                      <w:rPr>
                        <w:rFonts w:ascii="Cambria Math" w:hAnsi="Cambria Math"/>
                        <w:b/>
                        <w:i/>
                        <w:iCs/>
                        <w:sz w:val="20"/>
                        <w:szCs w:val="20"/>
                      </w:rPr>
                    </m:ctrlPr>
                  </m:sSubPr>
                  <m:e>
                    <m:r>
                      <m:rPr>
                        <m:sty m:val="bi"/>
                      </m:rPr>
                      <w:rPr>
                        <w:rFonts w:ascii="Cambria Math" w:hAnsi="Cambria Math"/>
                        <w:sz w:val="20"/>
                        <w:szCs w:val="20"/>
                      </w:rPr>
                      <m:t>TE</m:t>
                    </m:r>
                  </m:e>
                  <m:sub>
                    <m:r>
                      <m:rPr>
                        <m:sty m:val="bi"/>
                      </m:rPr>
                      <w:rPr>
                        <w:rFonts w:ascii="Cambria Math" w:hAnsi="Cambria Math"/>
                        <w:sz w:val="20"/>
                        <w:szCs w:val="20"/>
                      </w:rPr>
                      <m:t>i,t</m:t>
                    </m:r>
                  </m:sub>
                </m:sSub>
              </m:oMath>
            </m:oMathPara>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rsidR="00A813E2" w:rsidRPr="007A4361" w:rsidRDefault="00A813E2" w:rsidP="00A737F3">
            <w:pPr>
              <w:ind w:left="67"/>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m:oMathPara>
          </w:p>
        </w:tc>
      </w:tr>
      <w:tr w:rsidR="00A813E2" w:rsidRPr="000768E2" w:rsidTr="00A737F3">
        <w:trPr>
          <w:trHeight w:val="22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A813E2" w:rsidRPr="0093479E" w:rsidRDefault="00A813E2" w:rsidP="00A737F3">
            <w:pPr>
              <w:ind w:left="67"/>
              <w:jc w:val="center"/>
              <w:rPr>
                <w:rFonts w:ascii="Bookman Old Style" w:hAnsi="Bookman Old Style"/>
                <w:color w:val="000000"/>
                <w:sz w:val="18"/>
                <w:szCs w:val="20"/>
              </w:rPr>
            </w:pPr>
            <w:r>
              <w:rPr>
                <w:rFonts w:ascii="Bookman Old Style" w:hAnsi="Bookman Old Style"/>
                <w:color w:val="000000"/>
                <w:sz w:val="18"/>
                <w:szCs w:val="20"/>
              </w:rPr>
              <w:t>26219</w:t>
            </w:r>
          </w:p>
        </w:tc>
        <w:tc>
          <w:tcPr>
            <w:tcW w:w="1700" w:type="dxa"/>
            <w:tcBorders>
              <w:top w:val="nil"/>
              <w:left w:val="nil"/>
              <w:bottom w:val="single" w:sz="4" w:space="0" w:color="auto"/>
              <w:right w:val="single" w:sz="4" w:space="0" w:color="auto"/>
            </w:tcBorders>
            <w:shd w:val="clear" w:color="auto" w:fill="auto"/>
            <w:noWrap/>
            <w:vAlign w:val="center"/>
          </w:tcPr>
          <w:p w:rsidR="00A813E2" w:rsidRPr="003B3A39" w:rsidRDefault="00A813E2" w:rsidP="00A813E2">
            <w:pPr>
              <w:ind w:left="0"/>
              <w:jc w:val="center"/>
              <w:rPr>
                <w:rFonts w:ascii="Bookman Old Style" w:hAnsi="Bookman Old Style"/>
                <w:color w:val="000000"/>
                <w:sz w:val="18"/>
                <w:szCs w:val="18"/>
                <w:lang w:val="es-CO" w:eastAsia="es-CO"/>
              </w:rPr>
            </w:pPr>
            <w:r>
              <w:rPr>
                <w:rFonts w:ascii="Bookman Old Style" w:hAnsi="Bookman Old Style"/>
                <w:color w:val="000000"/>
                <w:sz w:val="18"/>
                <w:szCs w:val="18"/>
              </w:rPr>
              <w:t>NR*</w:t>
            </w:r>
          </w:p>
        </w:tc>
        <w:tc>
          <w:tcPr>
            <w:tcW w:w="1704" w:type="dxa"/>
            <w:tcBorders>
              <w:top w:val="nil"/>
              <w:left w:val="nil"/>
              <w:bottom w:val="single" w:sz="4" w:space="0" w:color="auto"/>
              <w:right w:val="single" w:sz="4" w:space="0" w:color="auto"/>
            </w:tcBorders>
            <w:shd w:val="clear" w:color="auto" w:fill="auto"/>
            <w:noWrap/>
            <w:vAlign w:val="center"/>
          </w:tcPr>
          <w:p w:rsidR="00A813E2" w:rsidRPr="003B3A39" w:rsidRDefault="00A813E2" w:rsidP="00A813E2">
            <w:pPr>
              <w:ind w:left="66"/>
              <w:jc w:val="center"/>
              <w:rPr>
                <w:rFonts w:ascii="Bookman Old Style" w:hAnsi="Bookman Old Style"/>
                <w:color w:val="000000"/>
                <w:sz w:val="18"/>
                <w:szCs w:val="18"/>
              </w:rPr>
            </w:pPr>
            <w:r>
              <w:rPr>
                <w:rFonts w:ascii="Bookman Old Style" w:hAnsi="Bookman Old Style"/>
                <w:color w:val="000000"/>
                <w:sz w:val="18"/>
                <w:szCs w:val="18"/>
              </w:rPr>
              <w:t>37.800</w:t>
            </w:r>
          </w:p>
        </w:tc>
        <w:tc>
          <w:tcPr>
            <w:tcW w:w="1516" w:type="dxa"/>
            <w:tcBorders>
              <w:top w:val="nil"/>
              <w:left w:val="nil"/>
              <w:bottom w:val="single" w:sz="4" w:space="0" w:color="auto"/>
              <w:right w:val="single" w:sz="4" w:space="0" w:color="auto"/>
            </w:tcBorders>
            <w:shd w:val="clear" w:color="auto" w:fill="auto"/>
            <w:noWrap/>
            <w:vAlign w:val="center"/>
          </w:tcPr>
          <w:p w:rsidR="00A813E2" w:rsidRPr="003B3A39" w:rsidRDefault="00A813E2" w:rsidP="00A813E2">
            <w:pPr>
              <w:ind w:left="0"/>
              <w:jc w:val="center"/>
              <w:rPr>
                <w:rFonts w:ascii="Bookman Old Style" w:hAnsi="Bookman Old Style"/>
                <w:color w:val="000000"/>
                <w:sz w:val="18"/>
                <w:szCs w:val="18"/>
              </w:rPr>
            </w:pPr>
            <w:r>
              <w:rPr>
                <w:rFonts w:ascii="Bookman Old Style" w:hAnsi="Bookman Old Style"/>
                <w:color w:val="000000"/>
                <w:sz w:val="18"/>
                <w:szCs w:val="18"/>
              </w:rPr>
              <w:t>9.960</w:t>
            </w:r>
          </w:p>
        </w:tc>
      </w:tr>
    </w:tbl>
    <w:p w:rsidR="002508FB" w:rsidRPr="00A813E2" w:rsidRDefault="00A813E2" w:rsidP="00A813E2">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0C6283" w:rsidRDefault="000C6283" w:rsidP="000C6283">
      <w:pPr>
        <w:pStyle w:val="Textoindependiente2"/>
        <w:spacing w:after="0" w:line="240" w:lineRule="auto"/>
        <w:ind w:left="0" w:right="-142"/>
        <w:jc w:val="both"/>
        <w:rPr>
          <w:rFonts w:ascii="Bookman Old Style" w:hAnsi="Bookman Old Style"/>
          <w:szCs w:val="27"/>
        </w:rPr>
      </w:pPr>
    </w:p>
    <w:p w:rsidR="000C6283" w:rsidRDefault="002508FB" w:rsidP="000C6283">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Artículo 5</w:t>
      </w:r>
      <w:r w:rsidR="000C6283" w:rsidRPr="00272992">
        <w:rPr>
          <w:rFonts w:ascii="Bookman Old Style" w:hAnsi="Bookman Old Style"/>
          <w:b/>
          <w:szCs w:val="27"/>
        </w:rPr>
        <w:t>.</w:t>
      </w:r>
      <w:r w:rsidR="000C6283">
        <w:rPr>
          <w:rFonts w:ascii="Bookman Old Style" w:hAnsi="Bookman Old Style"/>
          <w:szCs w:val="27"/>
        </w:rPr>
        <w:t xml:space="preserve"> La presente r</w:t>
      </w:r>
      <w:r w:rsidR="000C6283" w:rsidRPr="003E59E7">
        <w:rPr>
          <w:rFonts w:ascii="Bookman Old Style" w:hAnsi="Bookman Old Style"/>
          <w:szCs w:val="27"/>
        </w:rPr>
        <w:t xml:space="preserve">esolución deberá notificarse a la empresa </w:t>
      </w:r>
      <w:r w:rsidR="000C6283">
        <w:rPr>
          <w:rFonts w:ascii="Bookman Old Style" w:hAnsi="Bookman Old Style"/>
          <w:szCs w:val="27"/>
        </w:rPr>
        <w:t xml:space="preserve">Gas Express de Colombia S.A. E.S.P. </w:t>
      </w:r>
      <w:r w:rsidR="000C6283" w:rsidRPr="00067308">
        <w:rPr>
          <w:rFonts w:ascii="Bookman Old Style" w:hAnsi="Bookman Old Style"/>
          <w:szCs w:val="27"/>
        </w:rPr>
        <w:t>Contra lo aquí dispuesto no procede recurso alguno por haber finalizado la actuación administrativa correspondiente a la presentación de recursos previsto en la Ley.</w:t>
      </w:r>
    </w:p>
    <w:p w:rsidR="000C6283" w:rsidRDefault="000C6283" w:rsidP="000C6283">
      <w:pPr>
        <w:pStyle w:val="Textoindependiente2"/>
        <w:spacing w:after="0" w:line="240" w:lineRule="auto"/>
        <w:ind w:left="-142" w:right="-142"/>
        <w:jc w:val="both"/>
        <w:rPr>
          <w:rFonts w:ascii="Bookman Old Style" w:hAnsi="Bookman Old Style"/>
          <w:szCs w:val="27"/>
        </w:rPr>
      </w:pPr>
    </w:p>
    <w:p w:rsidR="000C6283" w:rsidRPr="003234E2" w:rsidRDefault="000C6283" w:rsidP="000C6283">
      <w:pPr>
        <w:tabs>
          <w:tab w:val="right" w:pos="9498"/>
        </w:tabs>
        <w:ind w:left="0" w:right="-142"/>
        <w:rPr>
          <w:rFonts w:ascii="Bookman Old Style" w:hAnsi="Bookman Old Style" w:cs="Arial"/>
          <w:sz w:val="22"/>
        </w:rPr>
      </w:pPr>
    </w:p>
    <w:p w:rsidR="000C6283" w:rsidRPr="005023D3" w:rsidRDefault="000C6283" w:rsidP="000C6283">
      <w:pPr>
        <w:ind w:left="-181"/>
        <w:jc w:val="center"/>
        <w:rPr>
          <w:rFonts w:ascii="Bookman Old Style" w:hAnsi="Bookman Old Style" w:cs="Arial"/>
          <w:b/>
        </w:rPr>
      </w:pPr>
      <w:r>
        <w:rPr>
          <w:rFonts w:ascii="Bookman Old Style" w:hAnsi="Bookman Old Style" w:cs="Arial"/>
          <w:b/>
        </w:rPr>
        <w:t xml:space="preserve">     NOTIFÍQUESE </w:t>
      </w:r>
      <w:r w:rsidR="00AF64D4">
        <w:rPr>
          <w:rFonts w:ascii="Bookman Old Style" w:hAnsi="Bookman Old Style" w:cs="Arial"/>
          <w:b/>
        </w:rPr>
        <w:t>Y CÚMPLASE</w:t>
      </w:r>
    </w:p>
    <w:p w:rsidR="000C6283" w:rsidRPr="003234E2" w:rsidRDefault="000C6283" w:rsidP="000C6283">
      <w:pPr>
        <w:ind w:left="0"/>
        <w:rPr>
          <w:rFonts w:ascii="Bookman Old Style" w:hAnsi="Bookman Old Style" w:cs="Arial"/>
          <w:sz w:val="20"/>
          <w:szCs w:val="20"/>
        </w:rPr>
      </w:pPr>
    </w:p>
    <w:p w:rsidR="00AF64D4" w:rsidRDefault="000C6283" w:rsidP="00AF64D4">
      <w:pPr>
        <w:ind w:left="0"/>
        <w:rPr>
          <w:rFonts w:ascii="Bookman Old Style" w:hAnsi="Bookman Old Style" w:cs="Arial"/>
          <w:szCs w:val="20"/>
        </w:rPr>
      </w:pPr>
      <w:r w:rsidRPr="005023D3">
        <w:rPr>
          <w:rFonts w:ascii="Bookman Old Style" w:hAnsi="Bookman Old Style" w:cs="Arial"/>
          <w:szCs w:val="20"/>
        </w:rPr>
        <w:t>Dada en Bogotá, D.C.</w:t>
      </w:r>
    </w:p>
    <w:p w:rsidR="00AF64D4" w:rsidRPr="00AF64D4" w:rsidRDefault="00AF64D4" w:rsidP="00AF64D4">
      <w:pPr>
        <w:ind w:left="0"/>
        <w:rPr>
          <w:rFonts w:ascii="Bookman Old Style" w:hAnsi="Bookman Old Style" w:cs="Arial"/>
          <w:szCs w:val="20"/>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AF64D4" w:rsidRPr="00A14C71" w:rsidTr="005D266B">
        <w:trPr>
          <w:tblCellSpacing w:w="0" w:type="dxa"/>
          <w:jc w:val="center"/>
        </w:trPr>
        <w:tc>
          <w:tcPr>
            <w:tcW w:w="5529" w:type="dxa"/>
            <w:hideMark/>
          </w:tcPr>
          <w:p w:rsidR="00AF64D4" w:rsidRPr="00A14C71" w:rsidRDefault="00AF64D4" w:rsidP="005D266B">
            <w:pPr>
              <w:ind w:left="0"/>
              <w:rPr>
                <w:rFonts w:ascii="Bookman Old Style" w:hAnsi="Bookman Old Style" w:cs="Arial"/>
                <w:b/>
                <w:spacing w:val="-3"/>
              </w:rPr>
            </w:pPr>
          </w:p>
          <w:p w:rsidR="00AF64D4" w:rsidRPr="00A14C71" w:rsidRDefault="00AF64D4" w:rsidP="005D266B">
            <w:pPr>
              <w:ind w:left="0"/>
              <w:rPr>
                <w:rFonts w:ascii="Bookman Old Style" w:hAnsi="Bookman Old Style" w:cs="Arial"/>
                <w:b/>
                <w:spacing w:val="-3"/>
              </w:rPr>
            </w:pPr>
          </w:p>
          <w:p w:rsidR="00AF64D4" w:rsidRPr="00A14C71" w:rsidRDefault="00AF64D4" w:rsidP="005D266B">
            <w:pPr>
              <w:ind w:left="0"/>
              <w:rPr>
                <w:rFonts w:ascii="Bookman Old Style" w:hAnsi="Bookman Old Style" w:cs="Arial"/>
                <w:b/>
                <w:spacing w:val="-3"/>
              </w:rPr>
            </w:pPr>
          </w:p>
          <w:p w:rsidR="00AF64D4" w:rsidRPr="00A14C71" w:rsidRDefault="00AF64D4" w:rsidP="005D266B">
            <w:pPr>
              <w:ind w:left="66"/>
              <w:jc w:val="center"/>
              <w:rPr>
                <w:rFonts w:ascii="Bookman Old Style" w:hAnsi="Bookman Old Style" w:cs="Arial"/>
                <w:b/>
                <w:spacing w:val="-3"/>
              </w:rPr>
            </w:pPr>
          </w:p>
          <w:p w:rsidR="00AF64D4" w:rsidRPr="00A14C71" w:rsidRDefault="00AF64D4"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AF64D4" w:rsidRPr="00A14C71" w:rsidRDefault="00AF64D4" w:rsidP="005D266B">
            <w:pPr>
              <w:ind w:left="89"/>
              <w:jc w:val="center"/>
              <w:rPr>
                <w:rFonts w:ascii="Bookman Old Style" w:hAnsi="Bookman Old Style" w:cs="Arial"/>
                <w:b/>
                <w:spacing w:val="-3"/>
              </w:rPr>
            </w:pPr>
          </w:p>
          <w:p w:rsidR="00AF64D4" w:rsidRPr="00A14C71" w:rsidRDefault="00AF64D4" w:rsidP="005D266B">
            <w:pPr>
              <w:ind w:left="89"/>
              <w:jc w:val="center"/>
              <w:rPr>
                <w:rFonts w:ascii="Bookman Old Style" w:hAnsi="Bookman Old Style" w:cs="Arial"/>
                <w:b/>
                <w:spacing w:val="-3"/>
              </w:rPr>
            </w:pPr>
          </w:p>
          <w:p w:rsidR="00AF64D4" w:rsidRPr="00A14C71" w:rsidRDefault="00AF64D4" w:rsidP="005D266B">
            <w:pPr>
              <w:ind w:left="89"/>
              <w:jc w:val="center"/>
              <w:rPr>
                <w:rFonts w:ascii="Bookman Old Style" w:hAnsi="Bookman Old Style" w:cs="Arial"/>
                <w:b/>
                <w:spacing w:val="-3"/>
              </w:rPr>
            </w:pPr>
          </w:p>
          <w:p w:rsidR="00AF64D4" w:rsidRPr="00A14C71" w:rsidRDefault="00AF64D4" w:rsidP="005D266B">
            <w:pPr>
              <w:ind w:left="89"/>
              <w:jc w:val="center"/>
              <w:rPr>
                <w:rFonts w:ascii="Bookman Old Style" w:hAnsi="Bookman Old Style" w:cs="Arial"/>
                <w:b/>
                <w:spacing w:val="-3"/>
              </w:rPr>
            </w:pPr>
          </w:p>
          <w:p w:rsidR="00AF64D4" w:rsidRPr="00A14C71" w:rsidRDefault="00AF64D4"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AF64D4" w:rsidRPr="00A14C71" w:rsidTr="005D266B">
        <w:trPr>
          <w:tblCellSpacing w:w="0" w:type="dxa"/>
          <w:jc w:val="center"/>
        </w:trPr>
        <w:tc>
          <w:tcPr>
            <w:tcW w:w="5529" w:type="dxa"/>
            <w:hideMark/>
          </w:tcPr>
          <w:p w:rsidR="00AF64D4" w:rsidRDefault="00AF64D4"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40046C" w:rsidRPr="00A14C71" w:rsidRDefault="0040046C"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AF64D4" w:rsidRPr="00A14C71" w:rsidRDefault="00AF64D4"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AF64D4" w:rsidRPr="00A14C71" w:rsidTr="005D266B">
        <w:trPr>
          <w:tblCellSpacing w:w="0" w:type="dxa"/>
          <w:jc w:val="center"/>
        </w:trPr>
        <w:tc>
          <w:tcPr>
            <w:tcW w:w="5529" w:type="dxa"/>
            <w:hideMark/>
          </w:tcPr>
          <w:p w:rsidR="00AF64D4" w:rsidRPr="00A14C71" w:rsidRDefault="00AF64D4"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AF64D4" w:rsidRPr="00A14C71" w:rsidRDefault="00AF64D4" w:rsidP="005D266B">
            <w:pPr>
              <w:ind w:left="0"/>
              <w:jc w:val="center"/>
              <w:rPr>
                <w:rFonts w:ascii="Bookman Old Style" w:eastAsia="Arial Unicode MS" w:hAnsi="Bookman Old Style" w:cs="Arial"/>
                <w:color w:val="000000"/>
              </w:rPr>
            </w:pPr>
          </w:p>
        </w:tc>
      </w:tr>
    </w:tbl>
    <w:p w:rsidR="00AF64D4" w:rsidRDefault="00AF64D4" w:rsidP="00D82268">
      <w:pPr>
        <w:pStyle w:val="Textoindependiente2"/>
        <w:spacing w:after="0" w:line="240" w:lineRule="auto"/>
        <w:ind w:left="-142" w:right="-142"/>
        <w:jc w:val="both"/>
        <w:rPr>
          <w:rFonts w:ascii="Bookman Old Style" w:hAnsi="Bookman Old Style"/>
          <w:szCs w:val="27"/>
        </w:rPr>
      </w:pPr>
    </w:p>
    <w:p w:rsidR="000C6283" w:rsidRDefault="000C6283" w:rsidP="00D82268">
      <w:pPr>
        <w:pStyle w:val="Textoindependiente2"/>
        <w:spacing w:after="0" w:line="240" w:lineRule="auto"/>
        <w:ind w:left="-142" w:right="-142"/>
        <w:jc w:val="both"/>
        <w:rPr>
          <w:rFonts w:ascii="Bookman Old Style" w:hAnsi="Bookman Old Style"/>
          <w:szCs w:val="27"/>
        </w:rPr>
      </w:pPr>
    </w:p>
    <w:p w:rsidR="000C6283" w:rsidRDefault="000C6283" w:rsidP="00D82268">
      <w:pPr>
        <w:pStyle w:val="Textoindependiente2"/>
        <w:spacing w:after="0" w:line="240" w:lineRule="auto"/>
        <w:ind w:left="-142" w:right="-142"/>
        <w:jc w:val="both"/>
        <w:rPr>
          <w:rFonts w:ascii="Bookman Old Style" w:hAnsi="Bookman Old Style"/>
          <w:szCs w:val="27"/>
        </w:rPr>
      </w:pPr>
    </w:p>
    <w:p w:rsidR="000C6283" w:rsidRDefault="000C6283" w:rsidP="00D82268">
      <w:pPr>
        <w:pStyle w:val="Textoindependiente2"/>
        <w:spacing w:after="0" w:line="240" w:lineRule="auto"/>
        <w:ind w:left="-142" w:right="-142"/>
        <w:jc w:val="both"/>
        <w:rPr>
          <w:rFonts w:ascii="Bookman Old Style" w:hAnsi="Bookman Old Style"/>
          <w:szCs w:val="27"/>
        </w:rPr>
      </w:pPr>
    </w:p>
    <w:p w:rsidR="000C6283" w:rsidRDefault="000C6283" w:rsidP="00D82268">
      <w:pPr>
        <w:pStyle w:val="Textoindependiente2"/>
        <w:spacing w:after="0" w:line="240" w:lineRule="auto"/>
        <w:ind w:left="-142" w:right="-142"/>
        <w:jc w:val="both"/>
        <w:rPr>
          <w:rFonts w:ascii="Bookman Old Style" w:hAnsi="Bookman Old Style"/>
          <w:szCs w:val="27"/>
        </w:rPr>
      </w:pPr>
    </w:p>
    <w:sectPr w:rsidR="000C6283" w:rsidSect="00D549B1">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30B" w:rsidRDefault="002D330B">
      <w:r>
        <w:separator/>
      </w:r>
    </w:p>
  </w:endnote>
  <w:endnote w:type="continuationSeparator" w:id="0">
    <w:p w:rsidR="002D330B" w:rsidRDefault="002D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30B" w:rsidRDefault="002D330B">
      <w:r>
        <w:separator/>
      </w:r>
    </w:p>
  </w:footnote>
  <w:footnote w:type="continuationSeparator" w:id="0">
    <w:p w:rsidR="002D330B" w:rsidRDefault="002D330B">
      <w:r>
        <w:continuationSeparator/>
      </w:r>
    </w:p>
  </w:footnote>
  <w:footnote w:id="1">
    <w:p w:rsidR="00967468" w:rsidRPr="00EC3BB2" w:rsidRDefault="00967468"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967468" w:rsidRPr="00BD1622" w:rsidRDefault="00967468"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2C5546" w:rsidRPr="00FC2C01" w:rsidRDefault="002C5546" w:rsidP="002C5546">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sidRPr="00FC2C01">
        <w:rPr>
          <w:rFonts w:ascii="Bookman Old Style" w:hAnsi="Bookman Old Style" w:cs="Arial"/>
          <w:sz w:val="16"/>
          <w:szCs w:val="16"/>
        </w:rPr>
        <w:t>Artículo  67. Notificación personal. Las decisiones que pongan término a una actuación administrativa se notificarán personalmente al interesado, a su representante o apoderado, o a la persona debidamente autorizada por el interesado para notificarse.</w:t>
      </w:r>
    </w:p>
    <w:p w:rsidR="002C5546" w:rsidRPr="00FC2C01" w:rsidRDefault="002C5546" w:rsidP="002C5546">
      <w:pPr>
        <w:pStyle w:val="Textonotapie"/>
        <w:jc w:val="both"/>
        <w:rPr>
          <w:rFonts w:ascii="Bookman Old Style" w:hAnsi="Bookman Old Style" w:cs="Arial"/>
          <w:sz w:val="16"/>
          <w:szCs w:val="16"/>
        </w:rPr>
      </w:pPr>
    </w:p>
    <w:p w:rsidR="002C5546" w:rsidRPr="00CD67E2" w:rsidRDefault="002C5546" w:rsidP="002C5546">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footnote>
  <w:footnote w:id="4">
    <w:p w:rsidR="00CD67E2" w:rsidRPr="00FA7CDB" w:rsidRDefault="00CD67E2" w:rsidP="00CD67E2">
      <w:pPr>
        <w:pStyle w:val="Textonotapie"/>
        <w:jc w:val="both"/>
        <w:rPr>
          <w:rFonts w:ascii="Bookman Old Style" w:hAnsi="Bookman Old Style" w:cs="Arial"/>
          <w:sz w:val="16"/>
          <w:szCs w:val="16"/>
        </w:rPr>
      </w:pPr>
    </w:p>
    <w:p w:rsidR="00CD67E2" w:rsidRPr="00FA7CDB" w:rsidRDefault="00CD67E2"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CD67E2" w:rsidRDefault="00CD67E2"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4A77F0" w:rsidRPr="008E378C" w:rsidRDefault="004A77F0" w:rsidP="004A77F0">
      <w:pPr>
        <w:pStyle w:val="Textonotapie"/>
        <w:jc w:val="both"/>
        <w:rPr>
          <w:rFonts w:ascii="Bookman Old Style" w:hAnsi="Bookman Old Style"/>
          <w:sz w:val="16"/>
          <w:szCs w:val="16"/>
        </w:rPr>
      </w:pPr>
      <w:r w:rsidRPr="008E378C">
        <w:rPr>
          <w:rStyle w:val="Refdenotaalpie"/>
          <w:rFonts w:ascii="Bookman Old Style" w:hAnsi="Bookman Old Style"/>
          <w:sz w:val="16"/>
          <w:szCs w:val="16"/>
        </w:rPr>
        <w:footnoteRef/>
      </w:r>
      <w:r w:rsidRPr="008E378C">
        <w:rPr>
          <w:rFonts w:ascii="Bookman Old Style" w:hAnsi="Bookman Old Style"/>
          <w:sz w:val="16"/>
          <w:szCs w:val="16"/>
        </w:rPr>
        <w:t xml:space="preserve"> Esta información fue remitida por parte de la Superintendencia de Servicios Públicos Domiciliarios y reposa en esta Comisión con el número de radicado CREG E-2016-005769 de 18 de mayo de 2016</w:t>
      </w:r>
    </w:p>
  </w:footnote>
  <w:footnote w:id="6">
    <w:p w:rsidR="002508FB" w:rsidRPr="004E1287" w:rsidRDefault="002508FB" w:rsidP="002508FB">
      <w:pPr>
        <w:pStyle w:val="Textonotapie"/>
        <w:jc w:val="both"/>
        <w:rPr>
          <w:rFonts w:ascii="Bookman Old Style" w:hAnsi="Bookman Old Style" w:cs="Arial"/>
          <w:sz w:val="16"/>
          <w:szCs w:val="16"/>
        </w:rPr>
      </w:pPr>
      <w:r w:rsidRPr="004E1287">
        <w:rPr>
          <w:rStyle w:val="Refdenotaalpie"/>
          <w:rFonts w:ascii="Bookman Old Style" w:hAnsi="Bookman Old Style" w:cs="Arial"/>
          <w:sz w:val="16"/>
          <w:szCs w:val="16"/>
        </w:rPr>
        <w:footnoteRef/>
      </w:r>
      <w:r w:rsidRPr="004E1287">
        <w:rPr>
          <w:rFonts w:ascii="Bookman Old Style" w:hAnsi="Bookman Old Style" w:cs="Arial"/>
          <w:sz w:val="16"/>
          <w:szCs w:val="16"/>
        </w:rPr>
        <w:t xml:space="preserve"> Artículo 80. Decisión de los recursos. Vencido el período probatorio, si a ello hubiere lugar, y sin necesidad de acto que así lo declare, deberá proferirse la decisión motivada que resuelva el recurso.</w:t>
      </w:r>
    </w:p>
    <w:p w:rsidR="002508FB" w:rsidRPr="004E1287" w:rsidRDefault="002508FB" w:rsidP="002508FB">
      <w:pPr>
        <w:pStyle w:val="Textonotapie"/>
        <w:jc w:val="both"/>
        <w:rPr>
          <w:rFonts w:ascii="Bookman Old Style" w:hAnsi="Bookman Old Style" w:cs="Arial"/>
          <w:sz w:val="16"/>
          <w:szCs w:val="16"/>
        </w:rPr>
      </w:pPr>
    </w:p>
    <w:p w:rsidR="002508FB" w:rsidRPr="00321EAE" w:rsidRDefault="002508FB" w:rsidP="002508FB">
      <w:pPr>
        <w:pStyle w:val="Textonotapie"/>
        <w:jc w:val="both"/>
        <w:rPr>
          <w:rFonts w:ascii="Arial" w:hAnsi="Arial" w:cs="Arial"/>
          <w:sz w:val="16"/>
          <w:szCs w:val="16"/>
        </w:rPr>
      </w:pPr>
      <w:r w:rsidRPr="004E1287">
        <w:rPr>
          <w:rFonts w:ascii="Bookman Old Style" w:hAnsi="Bookman Old Style" w:cs="Arial"/>
          <w:sz w:val="16"/>
          <w:szCs w:val="16"/>
        </w:rPr>
        <w:t>La decisión resolverá todas las peticiones que hayan sido oportunamente planteadas y las que surjan con motivo del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68" w:rsidRDefault="00967468" w:rsidP="00951F79">
    <w:pPr>
      <w:pStyle w:val="Ttulo1"/>
      <w:ind w:right="6"/>
      <w:jc w:val="left"/>
      <w:rPr>
        <w:rFonts w:ascii="Bookman Old Style" w:hAnsi="Bookman Old Style" w:cs="Arial"/>
        <w:b w:val="0"/>
        <w:sz w:val="22"/>
        <w:szCs w:val="22"/>
      </w:rPr>
    </w:pPr>
  </w:p>
  <w:p w:rsidR="00967468" w:rsidRPr="00951F79" w:rsidRDefault="0096746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313BC">
      <w:rPr>
        <w:rFonts w:ascii="Bookman Old Style" w:hAnsi="Bookman Old Style" w:cs="Arial"/>
        <w:b w:val="0"/>
        <w:noProof/>
        <w:sz w:val="22"/>
        <w:szCs w:val="22"/>
      </w:rPr>
      <w:t>15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313BC" w:rsidRPr="00F313BC">
        <w:rPr>
          <w:rFonts w:ascii="Bookman Old Style" w:hAnsi="Bookman Old Style" w:cs="Arial"/>
          <w:b w:val="0"/>
          <w:noProof/>
          <w:sz w:val="22"/>
          <w:szCs w:val="22"/>
        </w:rPr>
        <w:t>15</w:t>
      </w:r>
    </w:fldSimple>
  </w:p>
  <w:p w:rsidR="00967468" w:rsidRDefault="002C02EC"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6E0B1"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81562F" w:rsidRPr="00616D65" w:rsidRDefault="00967468"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sidR="00DD30B2" w:rsidRPr="00DD30B2">
      <w:rPr>
        <w:rFonts w:ascii="Bookman Old Style" w:hAnsi="Bookman Old Style" w:cs="Arial"/>
        <w:sz w:val="22"/>
        <w:szCs w:val="22"/>
      </w:rPr>
      <w:t xml:space="preserve">Gas Express Colombia S.A. E.S.P. </w:t>
    </w:r>
    <w:r w:rsidR="0081562F" w:rsidRPr="0081562F">
      <w:rPr>
        <w:rFonts w:ascii="Bookman Old Style" w:hAnsi="Bookman Old Style" w:cs="Arial"/>
        <w:sz w:val="22"/>
        <w:szCs w:val="22"/>
      </w:rPr>
      <w:t>contra</w:t>
    </w:r>
    <w:r w:rsidR="0040046C">
      <w:rPr>
        <w:rFonts w:ascii="Bookman Old Style" w:hAnsi="Bookman Old Style" w:cs="Arial"/>
        <w:sz w:val="22"/>
        <w:szCs w:val="22"/>
      </w:rPr>
      <w:t xml:space="preserve"> la Resolución CREG 089 de 2016</w:t>
    </w:r>
  </w:p>
  <w:p w:rsidR="00967468" w:rsidRPr="00730C9E" w:rsidRDefault="002C02EC"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3CE34E"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68" w:rsidRDefault="0096746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967468" w:rsidRDefault="00967468">
    <w:pPr>
      <w:pStyle w:val="Encabezado"/>
      <w:jc w:val="center"/>
      <w:rPr>
        <w:rFonts w:ascii="Arial" w:hAnsi="Arial" w:cs="Arial"/>
        <w:spacing w:val="20"/>
        <w:sz w:val="20"/>
      </w:rPr>
    </w:pPr>
  </w:p>
  <w:p w:rsidR="00967468" w:rsidRDefault="002C02EC"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6FB64"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6" w15:restartNumberingAfterBreak="0">
    <w:nsid w:val="45FC18E6"/>
    <w:multiLevelType w:val="hybridMultilevel"/>
    <w:tmpl w:val="E7509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8"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0"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8"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33"/>
  </w:num>
  <w:num w:numId="4">
    <w:abstractNumId w:val="12"/>
  </w:num>
  <w:num w:numId="5">
    <w:abstractNumId w:val="23"/>
  </w:num>
  <w:num w:numId="6">
    <w:abstractNumId w:val="3"/>
  </w:num>
  <w:num w:numId="7">
    <w:abstractNumId w:val="2"/>
  </w:num>
  <w:num w:numId="8">
    <w:abstractNumId w:val="26"/>
  </w:num>
  <w:num w:numId="9">
    <w:abstractNumId w:val="24"/>
  </w:num>
  <w:num w:numId="10">
    <w:abstractNumId w:val="18"/>
  </w:num>
  <w:num w:numId="11">
    <w:abstractNumId w:val="34"/>
  </w:num>
  <w:num w:numId="12">
    <w:abstractNumId w:val="31"/>
  </w:num>
  <w:num w:numId="13">
    <w:abstractNumId w:val="14"/>
  </w:num>
  <w:num w:numId="14">
    <w:abstractNumId w:val="1"/>
  </w:num>
  <w:num w:numId="15">
    <w:abstractNumId w:val="19"/>
  </w:num>
  <w:num w:numId="16">
    <w:abstractNumId w:val="0"/>
  </w:num>
  <w:num w:numId="17">
    <w:abstractNumId w:val="32"/>
  </w:num>
  <w:num w:numId="18">
    <w:abstractNumId w:val="8"/>
  </w:num>
  <w:num w:numId="19">
    <w:abstractNumId w:val="20"/>
  </w:num>
  <w:num w:numId="20">
    <w:abstractNumId w:val="21"/>
  </w:num>
  <w:num w:numId="21">
    <w:abstractNumId w:val="30"/>
  </w:num>
  <w:num w:numId="22">
    <w:abstractNumId w:val="25"/>
  </w:num>
  <w:num w:numId="23">
    <w:abstractNumId w:val="29"/>
  </w:num>
  <w:num w:numId="24">
    <w:abstractNumId w:val="11"/>
  </w:num>
  <w:num w:numId="25">
    <w:abstractNumId w:val="9"/>
  </w:num>
  <w:num w:numId="26">
    <w:abstractNumId w:val="22"/>
  </w:num>
  <w:num w:numId="27">
    <w:abstractNumId w:val="6"/>
  </w:num>
  <w:num w:numId="28">
    <w:abstractNumId w:val="7"/>
  </w:num>
  <w:num w:numId="29">
    <w:abstractNumId w:val="13"/>
  </w:num>
  <w:num w:numId="30">
    <w:abstractNumId w:val="28"/>
  </w:num>
  <w:num w:numId="31">
    <w:abstractNumId w:val="10"/>
  </w:num>
  <w:num w:numId="32">
    <w:abstractNumId w:val="15"/>
  </w:num>
  <w:num w:numId="33">
    <w:abstractNumId w:val="27"/>
  </w:num>
  <w:num w:numId="34">
    <w:abstractNumId w:val="35"/>
  </w:num>
  <w:num w:numId="35">
    <w:abstractNumId w:val="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337A6"/>
    <w:rsid w:val="00034816"/>
    <w:rsid w:val="00034F40"/>
    <w:rsid w:val="000432F7"/>
    <w:rsid w:val="0004674A"/>
    <w:rsid w:val="00050346"/>
    <w:rsid w:val="000537E8"/>
    <w:rsid w:val="00060D57"/>
    <w:rsid w:val="000623A6"/>
    <w:rsid w:val="00063657"/>
    <w:rsid w:val="00065504"/>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1CDB"/>
    <w:rsid w:val="00092215"/>
    <w:rsid w:val="00096E1F"/>
    <w:rsid w:val="00097013"/>
    <w:rsid w:val="000A061F"/>
    <w:rsid w:val="000A19AC"/>
    <w:rsid w:val="000B03C2"/>
    <w:rsid w:val="000B20EA"/>
    <w:rsid w:val="000B27E6"/>
    <w:rsid w:val="000B48BF"/>
    <w:rsid w:val="000B4B19"/>
    <w:rsid w:val="000B52EA"/>
    <w:rsid w:val="000B667A"/>
    <w:rsid w:val="000C27EB"/>
    <w:rsid w:val="000C2BE6"/>
    <w:rsid w:val="000C6283"/>
    <w:rsid w:val="000C6FE5"/>
    <w:rsid w:val="000D22D4"/>
    <w:rsid w:val="000D26F8"/>
    <w:rsid w:val="000E01B8"/>
    <w:rsid w:val="000F1132"/>
    <w:rsid w:val="000F410B"/>
    <w:rsid w:val="000F5617"/>
    <w:rsid w:val="000F5641"/>
    <w:rsid w:val="00100A80"/>
    <w:rsid w:val="00100EBA"/>
    <w:rsid w:val="0010707E"/>
    <w:rsid w:val="00111AE3"/>
    <w:rsid w:val="00112FAE"/>
    <w:rsid w:val="00113128"/>
    <w:rsid w:val="0011359D"/>
    <w:rsid w:val="00115E75"/>
    <w:rsid w:val="0011665A"/>
    <w:rsid w:val="00116953"/>
    <w:rsid w:val="001206A0"/>
    <w:rsid w:val="0012200E"/>
    <w:rsid w:val="00122C3D"/>
    <w:rsid w:val="00130821"/>
    <w:rsid w:val="0014017F"/>
    <w:rsid w:val="001405C6"/>
    <w:rsid w:val="00141013"/>
    <w:rsid w:val="00142085"/>
    <w:rsid w:val="00142711"/>
    <w:rsid w:val="00143C0C"/>
    <w:rsid w:val="0014428A"/>
    <w:rsid w:val="00144441"/>
    <w:rsid w:val="00151E8C"/>
    <w:rsid w:val="001635F2"/>
    <w:rsid w:val="0016590D"/>
    <w:rsid w:val="001670CB"/>
    <w:rsid w:val="001779AB"/>
    <w:rsid w:val="00177FE3"/>
    <w:rsid w:val="00182917"/>
    <w:rsid w:val="0018547A"/>
    <w:rsid w:val="00192CBF"/>
    <w:rsid w:val="00192FF1"/>
    <w:rsid w:val="001946B2"/>
    <w:rsid w:val="00195B37"/>
    <w:rsid w:val="00195E5B"/>
    <w:rsid w:val="001A4274"/>
    <w:rsid w:val="001A43F3"/>
    <w:rsid w:val="001A59B6"/>
    <w:rsid w:val="001A5A68"/>
    <w:rsid w:val="001A5F1B"/>
    <w:rsid w:val="001B1780"/>
    <w:rsid w:val="001B1C22"/>
    <w:rsid w:val="001B34C6"/>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4F04"/>
    <w:rsid w:val="00215B3E"/>
    <w:rsid w:val="00217BEC"/>
    <w:rsid w:val="002205E2"/>
    <w:rsid w:val="00221498"/>
    <w:rsid w:val="00223B98"/>
    <w:rsid w:val="00226B1A"/>
    <w:rsid w:val="00233E7D"/>
    <w:rsid w:val="00240455"/>
    <w:rsid w:val="00241399"/>
    <w:rsid w:val="00241733"/>
    <w:rsid w:val="00241898"/>
    <w:rsid w:val="00241F57"/>
    <w:rsid w:val="00244C3F"/>
    <w:rsid w:val="00246AA1"/>
    <w:rsid w:val="00246C1A"/>
    <w:rsid w:val="002508FB"/>
    <w:rsid w:val="002528AF"/>
    <w:rsid w:val="00253E07"/>
    <w:rsid w:val="002606C2"/>
    <w:rsid w:val="002606F0"/>
    <w:rsid w:val="00260CE3"/>
    <w:rsid w:val="00266CD6"/>
    <w:rsid w:val="002709FC"/>
    <w:rsid w:val="00273C18"/>
    <w:rsid w:val="00275DAB"/>
    <w:rsid w:val="002817D6"/>
    <w:rsid w:val="002870E7"/>
    <w:rsid w:val="0029597D"/>
    <w:rsid w:val="00295B70"/>
    <w:rsid w:val="00297D3E"/>
    <w:rsid w:val="002A01F2"/>
    <w:rsid w:val="002A452D"/>
    <w:rsid w:val="002A4E70"/>
    <w:rsid w:val="002A579E"/>
    <w:rsid w:val="002A782A"/>
    <w:rsid w:val="002A7F80"/>
    <w:rsid w:val="002B11E2"/>
    <w:rsid w:val="002B24B8"/>
    <w:rsid w:val="002B3063"/>
    <w:rsid w:val="002B38EF"/>
    <w:rsid w:val="002B3CF4"/>
    <w:rsid w:val="002B43F8"/>
    <w:rsid w:val="002C02EC"/>
    <w:rsid w:val="002C5546"/>
    <w:rsid w:val="002D330B"/>
    <w:rsid w:val="002D3AE9"/>
    <w:rsid w:val="002D4510"/>
    <w:rsid w:val="002D656D"/>
    <w:rsid w:val="002D6B5D"/>
    <w:rsid w:val="002D7D3D"/>
    <w:rsid w:val="002E06B1"/>
    <w:rsid w:val="002E3349"/>
    <w:rsid w:val="002F0734"/>
    <w:rsid w:val="002F32A4"/>
    <w:rsid w:val="002F46E7"/>
    <w:rsid w:val="002F5A0E"/>
    <w:rsid w:val="00304121"/>
    <w:rsid w:val="00306779"/>
    <w:rsid w:val="003101DA"/>
    <w:rsid w:val="00314757"/>
    <w:rsid w:val="00314DE9"/>
    <w:rsid w:val="00316A9A"/>
    <w:rsid w:val="00317791"/>
    <w:rsid w:val="003211CE"/>
    <w:rsid w:val="003234E2"/>
    <w:rsid w:val="0032669A"/>
    <w:rsid w:val="00332B81"/>
    <w:rsid w:val="00332BE1"/>
    <w:rsid w:val="00333DFB"/>
    <w:rsid w:val="00335916"/>
    <w:rsid w:val="00341341"/>
    <w:rsid w:val="00346E50"/>
    <w:rsid w:val="00350660"/>
    <w:rsid w:val="0035403A"/>
    <w:rsid w:val="003638D6"/>
    <w:rsid w:val="0036394B"/>
    <w:rsid w:val="00366D5C"/>
    <w:rsid w:val="0036751E"/>
    <w:rsid w:val="003709B5"/>
    <w:rsid w:val="00373D56"/>
    <w:rsid w:val="00374471"/>
    <w:rsid w:val="003759C2"/>
    <w:rsid w:val="00376A8A"/>
    <w:rsid w:val="00380F4F"/>
    <w:rsid w:val="00381139"/>
    <w:rsid w:val="0038380F"/>
    <w:rsid w:val="003846C6"/>
    <w:rsid w:val="0038623A"/>
    <w:rsid w:val="0039315E"/>
    <w:rsid w:val="00393F0D"/>
    <w:rsid w:val="003943C4"/>
    <w:rsid w:val="00397365"/>
    <w:rsid w:val="003A31F6"/>
    <w:rsid w:val="003A3AAF"/>
    <w:rsid w:val="003B10B0"/>
    <w:rsid w:val="003B10B9"/>
    <w:rsid w:val="003B17FC"/>
    <w:rsid w:val="003B4844"/>
    <w:rsid w:val="003B6A60"/>
    <w:rsid w:val="003B769B"/>
    <w:rsid w:val="003C157F"/>
    <w:rsid w:val="003C1AEF"/>
    <w:rsid w:val="003C3447"/>
    <w:rsid w:val="003C35A2"/>
    <w:rsid w:val="003C5787"/>
    <w:rsid w:val="003D076C"/>
    <w:rsid w:val="003D2A46"/>
    <w:rsid w:val="003D47BD"/>
    <w:rsid w:val="003D5E91"/>
    <w:rsid w:val="003E26E3"/>
    <w:rsid w:val="003E3304"/>
    <w:rsid w:val="003E4875"/>
    <w:rsid w:val="003E59E7"/>
    <w:rsid w:val="003E628D"/>
    <w:rsid w:val="003E78B5"/>
    <w:rsid w:val="003F023F"/>
    <w:rsid w:val="003F3E5B"/>
    <w:rsid w:val="003F6ACE"/>
    <w:rsid w:val="0040046C"/>
    <w:rsid w:val="00404DA1"/>
    <w:rsid w:val="00407E99"/>
    <w:rsid w:val="00412BB6"/>
    <w:rsid w:val="00415BAB"/>
    <w:rsid w:val="00415ED2"/>
    <w:rsid w:val="00417B3D"/>
    <w:rsid w:val="0042068C"/>
    <w:rsid w:val="00426523"/>
    <w:rsid w:val="00433128"/>
    <w:rsid w:val="00435119"/>
    <w:rsid w:val="0044048C"/>
    <w:rsid w:val="00441C4E"/>
    <w:rsid w:val="00442915"/>
    <w:rsid w:val="00443C12"/>
    <w:rsid w:val="00443D9A"/>
    <w:rsid w:val="00444A03"/>
    <w:rsid w:val="00447C6D"/>
    <w:rsid w:val="00451434"/>
    <w:rsid w:val="004526E0"/>
    <w:rsid w:val="004532A9"/>
    <w:rsid w:val="00454019"/>
    <w:rsid w:val="004551B3"/>
    <w:rsid w:val="00456FE2"/>
    <w:rsid w:val="00457D70"/>
    <w:rsid w:val="0046024D"/>
    <w:rsid w:val="0046176B"/>
    <w:rsid w:val="00463F18"/>
    <w:rsid w:val="004708A3"/>
    <w:rsid w:val="0047122B"/>
    <w:rsid w:val="00473B7A"/>
    <w:rsid w:val="0047410D"/>
    <w:rsid w:val="00481A57"/>
    <w:rsid w:val="00483A01"/>
    <w:rsid w:val="00490647"/>
    <w:rsid w:val="00491E18"/>
    <w:rsid w:val="004926FE"/>
    <w:rsid w:val="00493726"/>
    <w:rsid w:val="00495A52"/>
    <w:rsid w:val="004960E9"/>
    <w:rsid w:val="004A2E88"/>
    <w:rsid w:val="004A5305"/>
    <w:rsid w:val="004A6EE1"/>
    <w:rsid w:val="004A77F0"/>
    <w:rsid w:val="004B0C00"/>
    <w:rsid w:val="004B78C1"/>
    <w:rsid w:val="004C0BFE"/>
    <w:rsid w:val="004C19C2"/>
    <w:rsid w:val="004C7BD8"/>
    <w:rsid w:val="004D19FA"/>
    <w:rsid w:val="004D1BE8"/>
    <w:rsid w:val="004D3045"/>
    <w:rsid w:val="004D7634"/>
    <w:rsid w:val="004E1536"/>
    <w:rsid w:val="004E33F2"/>
    <w:rsid w:val="004F32A4"/>
    <w:rsid w:val="004F3744"/>
    <w:rsid w:val="004F7D1F"/>
    <w:rsid w:val="0050015E"/>
    <w:rsid w:val="00503267"/>
    <w:rsid w:val="0050575D"/>
    <w:rsid w:val="0051257C"/>
    <w:rsid w:val="00513865"/>
    <w:rsid w:val="00515932"/>
    <w:rsid w:val="005217A1"/>
    <w:rsid w:val="0052214C"/>
    <w:rsid w:val="005300D3"/>
    <w:rsid w:val="00535B16"/>
    <w:rsid w:val="00536323"/>
    <w:rsid w:val="0054284F"/>
    <w:rsid w:val="00544F82"/>
    <w:rsid w:val="005457C2"/>
    <w:rsid w:val="00547183"/>
    <w:rsid w:val="005544E8"/>
    <w:rsid w:val="00554FFF"/>
    <w:rsid w:val="00557C22"/>
    <w:rsid w:val="00567915"/>
    <w:rsid w:val="00573970"/>
    <w:rsid w:val="00573C98"/>
    <w:rsid w:val="005750EF"/>
    <w:rsid w:val="00581094"/>
    <w:rsid w:val="0058201E"/>
    <w:rsid w:val="00593C4F"/>
    <w:rsid w:val="005946A8"/>
    <w:rsid w:val="00596B5A"/>
    <w:rsid w:val="00596EEA"/>
    <w:rsid w:val="00596EFA"/>
    <w:rsid w:val="005972F1"/>
    <w:rsid w:val="005A1309"/>
    <w:rsid w:val="005A4407"/>
    <w:rsid w:val="005A59EF"/>
    <w:rsid w:val="005A6E1A"/>
    <w:rsid w:val="005B1B14"/>
    <w:rsid w:val="005C41AF"/>
    <w:rsid w:val="005C568C"/>
    <w:rsid w:val="005C6BB2"/>
    <w:rsid w:val="005C6E8F"/>
    <w:rsid w:val="005D77A0"/>
    <w:rsid w:val="005E035F"/>
    <w:rsid w:val="005E253A"/>
    <w:rsid w:val="005E260A"/>
    <w:rsid w:val="005E42A6"/>
    <w:rsid w:val="005E44A9"/>
    <w:rsid w:val="005E7350"/>
    <w:rsid w:val="005F26E0"/>
    <w:rsid w:val="005F49DD"/>
    <w:rsid w:val="005F4BB9"/>
    <w:rsid w:val="005F5F07"/>
    <w:rsid w:val="005F6F41"/>
    <w:rsid w:val="005F7184"/>
    <w:rsid w:val="00606FD6"/>
    <w:rsid w:val="00612CEA"/>
    <w:rsid w:val="00616D65"/>
    <w:rsid w:val="0062102E"/>
    <w:rsid w:val="00621590"/>
    <w:rsid w:val="006234BC"/>
    <w:rsid w:val="00625DC6"/>
    <w:rsid w:val="00630F5A"/>
    <w:rsid w:val="00631E8F"/>
    <w:rsid w:val="00640301"/>
    <w:rsid w:val="00642281"/>
    <w:rsid w:val="0064391D"/>
    <w:rsid w:val="0064486D"/>
    <w:rsid w:val="00645549"/>
    <w:rsid w:val="00647A97"/>
    <w:rsid w:val="00651821"/>
    <w:rsid w:val="00654384"/>
    <w:rsid w:val="00654D63"/>
    <w:rsid w:val="00655884"/>
    <w:rsid w:val="00660346"/>
    <w:rsid w:val="006605EA"/>
    <w:rsid w:val="00663D4F"/>
    <w:rsid w:val="006670D1"/>
    <w:rsid w:val="006672F7"/>
    <w:rsid w:val="006674B6"/>
    <w:rsid w:val="006675CD"/>
    <w:rsid w:val="006701E6"/>
    <w:rsid w:val="00671A62"/>
    <w:rsid w:val="00671EB8"/>
    <w:rsid w:val="00673146"/>
    <w:rsid w:val="00675AF8"/>
    <w:rsid w:val="00682473"/>
    <w:rsid w:val="00684D9B"/>
    <w:rsid w:val="00686E48"/>
    <w:rsid w:val="00690C05"/>
    <w:rsid w:val="00693339"/>
    <w:rsid w:val="006965D3"/>
    <w:rsid w:val="00697556"/>
    <w:rsid w:val="006A01FE"/>
    <w:rsid w:val="006A4917"/>
    <w:rsid w:val="006A4D4F"/>
    <w:rsid w:val="006A5FD7"/>
    <w:rsid w:val="006B0FE8"/>
    <w:rsid w:val="006B1C64"/>
    <w:rsid w:val="006B4647"/>
    <w:rsid w:val="006B4C2B"/>
    <w:rsid w:val="006B6D47"/>
    <w:rsid w:val="006C2624"/>
    <w:rsid w:val="006C5AFE"/>
    <w:rsid w:val="006C709E"/>
    <w:rsid w:val="006D3C10"/>
    <w:rsid w:val="006D3E42"/>
    <w:rsid w:val="006D5418"/>
    <w:rsid w:val="006D6139"/>
    <w:rsid w:val="006D79D9"/>
    <w:rsid w:val="006E6198"/>
    <w:rsid w:val="006E73A5"/>
    <w:rsid w:val="006F193C"/>
    <w:rsid w:val="006F1D41"/>
    <w:rsid w:val="006F3BDC"/>
    <w:rsid w:val="006F586A"/>
    <w:rsid w:val="006F6D95"/>
    <w:rsid w:val="006F73FB"/>
    <w:rsid w:val="006F7765"/>
    <w:rsid w:val="007023F4"/>
    <w:rsid w:val="00703722"/>
    <w:rsid w:val="00705E2A"/>
    <w:rsid w:val="00706F13"/>
    <w:rsid w:val="007072E8"/>
    <w:rsid w:val="00710289"/>
    <w:rsid w:val="0071618D"/>
    <w:rsid w:val="00717187"/>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507BF"/>
    <w:rsid w:val="00751023"/>
    <w:rsid w:val="00755165"/>
    <w:rsid w:val="00755A34"/>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2D35"/>
    <w:rsid w:val="00793152"/>
    <w:rsid w:val="00795983"/>
    <w:rsid w:val="00795BFB"/>
    <w:rsid w:val="00796875"/>
    <w:rsid w:val="007974F9"/>
    <w:rsid w:val="007A0FE6"/>
    <w:rsid w:val="007A2F35"/>
    <w:rsid w:val="007B122F"/>
    <w:rsid w:val="007B1F48"/>
    <w:rsid w:val="007B2760"/>
    <w:rsid w:val="007B40C9"/>
    <w:rsid w:val="007B453E"/>
    <w:rsid w:val="007C56A8"/>
    <w:rsid w:val="007C6762"/>
    <w:rsid w:val="007D111E"/>
    <w:rsid w:val="007D195A"/>
    <w:rsid w:val="007D1EE9"/>
    <w:rsid w:val="007E1F80"/>
    <w:rsid w:val="007E3AB1"/>
    <w:rsid w:val="007F0732"/>
    <w:rsid w:val="008009C2"/>
    <w:rsid w:val="00802179"/>
    <w:rsid w:val="00802330"/>
    <w:rsid w:val="00804473"/>
    <w:rsid w:val="00804B35"/>
    <w:rsid w:val="00806C01"/>
    <w:rsid w:val="008074E7"/>
    <w:rsid w:val="00810E7F"/>
    <w:rsid w:val="008112E8"/>
    <w:rsid w:val="008136C3"/>
    <w:rsid w:val="008148CC"/>
    <w:rsid w:val="0081562F"/>
    <w:rsid w:val="00820A7B"/>
    <w:rsid w:val="008211A4"/>
    <w:rsid w:val="00823A07"/>
    <w:rsid w:val="00825B13"/>
    <w:rsid w:val="00832398"/>
    <w:rsid w:val="00833BEE"/>
    <w:rsid w:val="008348CB"/>
    <w:rsid w:val="00836006"/>
    <w:rsid w:val="00850F85"/>
    <w:rsid w:val="00854C37"/>
    <w:rsid w:val="0085598C"/>
    <w:rsid w:val="00862B36"/>
    <w:rsid w:val="00864289"/>
    <w:rsid w:val="00865BD4"/>
    <w:rsid w:val="008679A0"/>
    <w:rsid w:val="008704AB"/>
    <w:rsid w:val="00873150"/>
    <w:rsid w:val="0087657D"/>
    <w:rsid w:val="008807D5"/>
    <w:rsid w:val="00880832"/>
    <w:rsid w:val="00882263"/>
    <w:rsid w:val="00883C72"/>
    <w:rsid w:val="00885F45"/>
    <w:rsid w:val="00886EE1"/>
    <w:rsid w:val="0088727D"/>
    <w:rsid w:val="00895F71"/>
    <w:rsid w:val="0089643C"/>
    <w:rsid w:val="00897C75"/>
    <w:rsid w:val="008A0383"/>
    <w:rsid w:val="008A2456"/>
    <w:rsid w:val="008A4076"/>
    <w:rsid w:val="008A657A"/>
    <w:rsid w:val="008B413B"/>
    <w:rsid w:val="008C1130"/>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9011F4"/>
    <w:rsid w:val="00902D87"/>
    <w:rsid w:val="0090417A"/>
    <w:rsid w:val="0090775A"/>
    <w:rsid w:val="00913905"/>
    <w:rsid w:val="00916247"/>
    <w:rsid w:val="00917874"/>
    <w:rsid w:val="0092279E"/>
    <w:rsid w:val="00922CA7"/>
    <w:rsid w:val="009246BD"/>
    <w:rsid w:val="009269A7"/>
    <w:rsid w:val="009270E0"/>
    <w:rsid w:val="00927FA3"/>
    <w:rsid w:val="00931F7E"/>
    <w:rsid w:val="0093345C"/>
    <w:rsid w:val="00936888"/>
    <w:rsid w:val="00937565"/>
    <w:rsid w:val="009410CB"/>
    <w:rsid w:val="009438AD"/>
    <w:rsid w:val="00945A3C"/>
    <w:rsid w:val="00950E0A"/>
    <w:rsid w:val="00951F79"/>
    <w:rsid w:val="00952ADF"/>
    <w:rsid w:val="00952F4A"/>
    <w:rsid w:val="00960049"/>
    <w:rsid w:val="00960FB7"/>
    <w:rsid w:val="00962962"/>
    <w:rsid w:val="00967121"/>
    <w:rsid w:val="00967468"/>
    <w:rsid w:val="00971FF2"/>
    <w:rsid w:val="00973049"/>
    <w:rsid w:val="009742E8"/>
    <w:rsid w:val="00974AB5"/>
    <w:rsid w:val="00980704"/>
    <w:rsid w:val="0098213C"/>
    <w:rsid w:val="00985A22"/>
    <w:rsid w:val="00986161"/>
    <w:rsid w:val="0098706D"/>
    <w:rsid w:val="009935FB"/>
    <w:rsid w:val="0099379E"/>
    <w:rsid w:val="009955D1"/>
    <w:rsid w:val="0099780A"/>
    <w:rsid w:val="009A6E35"/>
    <w:rsid w:val="009B2AED"/>
    <w:rsid w:val="009B3501"/>
    <w:rsid w:val="009C0467"/>
    <w:rsid w:val="009C1F60"/>
    <w:rsid w:val="009C6488"/>
    <w:rsid w:val="009C7A49"/>
    <w:rsid w:val="009D15DF"/>
    <w:rsid w:val="009D262C"/>
    <w:rsid w:val="009D42C8"/>
    <w:rsid w:val="009D53A9"/>
    <w:rsid w:val="009D56A3"/>
    <w:rsid w:val="009E11C8"/>
    <w:rsid w:val="009E2F5E"/>
    <w:rsid w:val="009E7A7F"/>
    <w:rsid w:val="009F0D98"/>
    <w:rsid w:val="009F4A3B"/>
    <w:rsid w:val="009F4A54"/>
    <w:rsid w:val="009F4B06"/>
    <w:rsid w:val="009F4BEC"/>
    <w:rsid w:val="00A04C6F"/>
    <w:rsid w:val="00A10A0B"/>
    <w:rsid w:val="00A1296D"/>
    <w:rsid w:val="00A16385"/>
    <w:rsid w:val="00A21A33"/>
    <w:rsid w:val="00A22D58"/>
    <w:rsid w:val="00A23A1B"/>
    <w:rsid w:val="00A25FD7"/>
    <w:rsid w:val="00A30197"/>
    <w:rsid w:val="00A35FEF"/>
    <w:rsid w:val="00A40EC5"/>
    <w:rsid w:val="00A42FAB"/>
    <w:rsid w:val="00A433C5"/>
    <w:rsid w:val="00A43AFF"/>
    <w:rsid w:val="00A478A0"/>
    <w:rsid w:val="00A47F3A"/>
    <w:rsid w:val="00A5373F"/>
    <w:rsid w:val="00A54052"/>
    <w:rsid w:val="00A631A3"/>
    <w:rsid w:val="00A654DC"/>
    <w:rsid w:val="00A70F81"/>
    <w:rsid w:val="00A74AF2"/>
    <w:rsid w:val="00A7793A"/>
    <w:rsid w:val="00A813E2"/>
    <w:rsid w:val="00A87B7A"/>
    <w:rsid w:val="00AA4CC7"/>
    <w:rsid w:val="00AA4F68"/>
    <w:rsid w:val="00AA5E8E"/>
    <w:rsid w:val="00AB2A7D"/>
    <w:rsid w:val="00AB2ACC"/>
    <w:rsid w:val="00AB6CA7"/>
    <w:rsid w:val="00AB6CE2"/>
    <w:rsid w:val="00AC20F9"/>
    <w:rsid w:val="00AC453E"/>
    <w:rsid w:val="00AC7A58"/>
    <w:rsid w:val="00AD01E4"/>
    <w:rsid w:val="00AD0844"/>
    <w:rsid w:val="00AD0858"/>
    <w:rsid w:val="00AD1559"/>
    <w:rsid w:val="00AD4DB6"/>
    <w:rsid w:val="00AD5E02"/>
    <w:rsid w:val="00AE556C"/>
    <w:rsid w:val="00AE7340"/>
    <w:rsid w:val="00AE7DA4"/>
    <w:rsid w:val="00AF1558"/>
    <w:rsid w:val="00AF1BBD"/>
    <w:rsid w:val="00AF3B72"/>
    <w:rsid w:val="00AF64D4"/>
    <w:rsid w:val="00AF6DEF"/>
    <w:rsid w:val="00B01B73"/>
    <w:rsid w:val="00B04B81"/>
    <w:rsid w:val="00B05626"/>
    <w:rsid w:val="00B05914"/>
    <w:rsid w:val="00B10207"/>
    <w:rsid w:val="00B13E74"/>
    <w:rsid w:val="00B141E7"/>
    <w:rsid w:val="00B23A09"/>
    <w:rsid w:val="00B309B2"/>
    <w:rsid w:val="00B31959"/>
    <w:rsid w:val="00B351B4"/>
    <w:rsid w:val="00B36FE8"/>
    <w:rsid w:val="00B46BCA"/>
    <w:rsid w:val="00B4775D"/>
    <w:rsid w:val="00B526A3"/>
    <w:rsid w:val="00B54F3C"/>
    <w:rsid w:val="00B55F26"/>
    <w:rsid w:val="00B563ED"/>
    <w:rsid w:val="00B60A3F"/>
    <w:rsid w:val="00B60A77"/>
    <w:rsid w:val="00B63B12"/>
    <w:rsid w:val="00B74F1F"/>
    <w:rsid w:val="00B75ED9"/>
    <w:rsid w:val="00B7686B"/>
    <w:rsid w:val="00B825E3"/>
    <w:rsid w:val="00B8328F"/>
    <w:rsid w:val="00B83F3A"/>
    <w:rsid w:val="00B87806"/>
    <w:rsid w:val="00B87EC9"/>
    <w:rsid w:val="00B905E0"/>
    <w:rsid w:val="00B92BC9"/>
    <w:rsid w:val="00B92C55"/>
    <w:rsid w:val="00B92EAC"/>
    <w:rsid w:val="00BA3201"/>
    <w:rsid w:val="00BA3338"/>
    <w:rsid w:val="00BA67CD"/>
    <w:rsid w:val="00BB076C"/>
    <w:rsid w:val="00BC2BE8"/>
    <w:rsid w:val="00BC38FD"/>
    <w:rsid w:val="00BC4AE4"/>
    <w:rsid w:val="00BC794F"/>
    <w:rsid w:val="00BD0898"/>
    <w:rsid w:val="00BD1622"/>
    <w:rsid w:val="00BD3267"/>
    <w:rsid w:val="00BF35DB"/>
    <w:rsid w:val="00BF4008"/>
    <w:rsid w:val="00BF4A20"/>
    <w:rsid w:val="00C013F0"/>
    <w:rsid w:val="00C034CB"/>
    <w:rsid w:val="00C051A8"/>
    <w:rsid w:val="00C054BC"/>
    <w:rsid w:val="00C0554D"/>
    <w:rsid w:val="00C122C4"/>
    <w:rsid w:val="00C15604"/>
    <w:rsid w:val="00C15CDD"/>
    <w:rsid w:val="00C17897"/>
    <w:rsid w:val="00C17DB0"/>
    <w:rsid w:val="00C20BF7"/>
    <w:rsid w:val="00C22517"/>
    <w:rsid w:val="00C225E7"/>
    <w:rsid w:val="00C322F9"/>
    <w:rsid w:val="00C350E9"/>
    <w:rsid w:val="00C35B2B"/>
    <w:rsid w:val="00C3612F"/>
    <w:rsid w:val="00C400BD"/>
    <w:rsid w:val="00C409D5"/>
    <w:rsid w:val="00C4104C"/>
    <w:rsid w:val="00C435C3"/>
    <w:rsid w:val="00C46CFD"/>
    <w:rsid w:val="00C53E81"/>
    <w:rsid w:val="00C609F5"/>
    <w:rsid w:val="00C6234B"/>
    <w:rsid w:val="00C62D01"/>
    <w:rsid w:val="00C63EAE"/>
    <w:rsid w:val="00C64697"/>
    <w:rsid w:val="00C70A73"/>
    <w:rsid w:val="00C721CE"/>
    <w:rsid w:val="00C7430C"/>
    <w:rsid w:val="00C7629F"/>
    <w:rsid w:val="00C820DC"/>
    <w:rsid w:val="00C85364"/>
    <w:rsid w:val="00C8661B"/>
    <w:rsid w:val="00C9491C"/>
    <w:rsid w:val="00CA0CD3"/>
    <w:rsid w:val="00CA139A"/>
    <w:rsid w:val="00CA2899"/>
    <w:rsid w:val="00CA2B1D"/>
    <w:rsid w:val="00CA3A3D"/>
    <w:rsid w:val="00CA77FB"/>
    <w:rsid w:val="00CB379B"/>
    <w:rsid w:val="00CB3D87"/>
    <w:rsid w:val="00CB460F"/>
    <w:rsid w:val="00CB4ACB"/>
    <w:rsid w:val="00CB5DD0"/>
    <w:rsid w:val="00CB7F94"/>
    <w:rsid w:val="00CC0B0B"/>
    <w:rsid w:val="00CC51D4"/>
    <w:rsid w:val="00CC65DA"/>
    <w:rsid w:val="00CD0158"/>
    <w:rsid w:val="00CD3BBA"/>
    <w:rsid w:val="00CD56B1"/>
    <w:rsid w:val="00CD67E2"/>
    <w:rsid w:val="00CD75E7"/>
    <w:rsid w:val="00CE1EEF"/>
    <w:rsid w:val="00CE21E3"/>
    <w:rsid w:val="00CF21B9"/>
    <w:rsid w:val="00CF6BF9"/>
    <w:rsid w:val="00CF7CC6"/>
    <w:rsid w:val="00D0082F"/>
    <w:rsid w:val="00D01F0A"/>
    <w:rsid w:val="00D03800"/>
    <w:rsid w:val="00D03E47"/>
    <w:rsid w:val="00D065D3"/>
    <w:rsid w:val="00D11415"/>
    <w:rsid w:val="00D126E3"/>
    <w:rsid w:val="00D14C94"/>
    <w:rsid w:val="00D16F2E"/>
    <w:rsid w:val="00D20911"/>
    <w:rsid w:val="00D27114"/>
    <w:rsid w:val="00D313EC"/>
    <w:rsid w:val="00D32669"/>
    <w:rsid w:val="00D342A6"/>
    <w:rsid w:val="00D356D0"/>
    <w:rsid w:val="00D35AB2"/>
    <w:rsid w:val="00D36ABB"/>
    <w:rsid w:val="00D40598"/>
    <w:rsid w:val="00D42A15"/>
    <w:rsid w:val="00D460EB"/>
    <w:rsid w:val="00D464BF"/>
    <w:rsid w:val="00D47AB0"/>
    <w:rsid w:val="00D53E26"/>
    <w:rsid w:val="00D549B1"/>
    <w:rsid w:val="00D6036E"/>
    <w:rsid w:val="00D607B1"/>
    <w:rsid w:val="00D62044"/>
    <w:rsid w:val="00D639B7"/>
    <w:rsid w:val="00D7035A"/>
    <w:rsid w:val="00D74A42"/>
    <w:rsid w:val="00D74BAC"/>
    <w:rsid w:val="00D82268"/>
    <w:rsid w:val="00D83101"/>
    <w:rsid w:val="00D84F46"/>
    <w:rsid w:val="00D92EC6"/>
    <w:rsid w:val="00D95493"/>
    <w:rsid w:val="00D96E9A"/>
    <w:rsid w:val="00DA0D65"/>
    <w:rsid w:val="00DA3ED9"/>
    <w:rsid w:val="00DA4135"/>
    <w:rsid w:val="00DA4BB6"/>
    <w:rsid w:val="00DB122B"/>
    <w:rsid w:val="00DB7AC1"/>
    <w:rsid w:val="00DC2818"/>
    <w:rsid w:val="00DC2D17"/>
    <w:rsid w:val="00DC3340"/>
    <w:rsid w:val="00DD30B2"/>
    <w:rsid w:val="00DD3CE8"/>
    <w:rsid w:val="00DD4F0E"/>
    <w:rsid w:val="00DE4017"/>
    <w:rsid w:val="00DF070D"/>
    <w:rsid w:val="00DF0BF0"/>
    <w:rsid w:val="00DF465D"/>
    <w:rsid w:val="00DF4E15"/>
    <w:rsid w:val="00DF4F58"/>
    <w:rsid w:val="00DF7B9C"/>
    <w:rsid w:val="00E010B3"/>
    <w:rsid w:val="00E0158D"/>
    <w:rsid w:val="00E0456C"/>
    <w:rsid w:val="00E048D6"/>
    <w:rsid w:val="00E05E0A"/>
    <w:rsid w:val="00E06ECE"/>
    <w:rsid w:val="00E101ED"/>
    <w:rsid w:val="00E14E26"/>
    <w:rsid w:val="00E15D29"/>
    <w:rsid w:val="00E20A83"/>
    <w:rsid w:val="00E20AA8"/>
    <w:rsid w:val="00E21057"/>
    <w:rsid w:val="00E233B4"/>
    <w:rsid w:val="00E3198B"/>
    <w:rsid w:val="00E35D4F"/>
    <w:rsid w:val="00E37248"/>
    <w:rsid w:val="00E37400"/>
    <w:rsid w:val="00E41DFD"/>
    <w:rsid w:val="00E436A8"/>
    <w:rsid w:val="00E43916"/>
    <w:rsid w:val="00E534CF"/>
    <w:rsid w:val="00E56ED5"/>
    <w:rsid w:val="00E57338"/>
    <w:rsid w:val="00E61467"/>
    <w:rsid w:val="00E61DA0"/>
    <w:rsid w:val="00E7046A"/>
    <w:rsid w:val="00E72868"/>
    <w:rsid w:val="00E72C5E"/>
    <w:rsid w:val="00E81CB4"/>
    <w:rsid w:val="00E8585B"/>
    <w:rsid w:val="00E877F1"/>
    <w:rsid w:val="00E958BA"/>
    <w:rsid w:val="00EA1547"/>
    <w:rsid w:val="00EA20EE"/>
    <w:rsid w:val="00EA21AB"/>
    <w:rsid w:val="00EA3F15"/>
    <w:rsid w:val="00EA7847"/>
    <w:rsid w:val="00EB1916"/>
    <w:rsid w:val="00EB2614"/>
    <w:rsid w:val="00EB3344"/>
    <w:rsid w:val="00EB4BA1"/>
    <w:rsid w:val="00EB54E4"/>
    <w:rsid w:val="00EC28B2"/>
    <w:rsid w:val="00EC3BB2"/>
    <w:rsid w:val="00ED028D"/>
    <w:rsid w:val="00ED048C"/>
    <w:rsid w:val="00ED1F55"/>
    <w:rsid w:val="00ED5722"/>
    <w:rsid w:val="00EE25CE"/>
    <w:rsid w:val="00EE2E6E"/>
    <w:rsid w:val="00EF3822"/>
    <w:rsid w:val="00EF78A2"/>
    <w:rsid w:val="00F0000A"/>
    <w:rsid w:val="00F01F07"/>
    <w:rsid w:val="00F03154"/>
    <w:rsid w:val="00F0499E"/>
    <w:rsid w:val="00F06BB2"/>
    <w:rsid w:val="00F0759E"/>
    <w:rsid w:val="00F14B80"/>
    <w:rsid w:val="00F16F1A"/>
    <w:rsid w:val="00F205F5"/>
    <w:rsid w:val="00F22B1C"/>
    <w:rsid w:val="00F22E25"/>
    <w:rsid w:val="00F30C51"/>
    <w:rsid w:val="00F30F7F"/>
    <w:rsid w:val="00F313BC"/>
    <w:rsid w:val="00F31FCD"/>
    <w:rsid w:val="00F35523"/>
    <w:rsid w:val="00F369F8"/>
    <w:rsid w:val="00F37CD2"/>
    <w:rsid w:val="00F4350B"/>
    <w:rsid w:val="00F43F5B"/>
    <w:rsid w:val="00F452BE"/>
    <w:rsid w:val="00F471E0"/>
    <w:rsid w:val="00F509F9"/>
    <w:rsid w:val="00F50EDA"/>
    <w:rsid w:val="00F5143E"/>
    <w:rsid w:val="00F53BD8"/>
    <w:rsid w:val="00F57246"/>
    <w:rsid w:val="00F630ED"/>
    <w:rsid w:val="00F75127"/>
    <w:rsid w:val="00F75280"/>
    <w:rsid w:val="00F821A3"/>
    <w:rsid w:val="00F9314A"/>
    <w:rsid w:val="00F95C9F"/>
    <w:rsid w:val="00FA049B"/>
    <w:rsid w:val="00FA717D"/>
    <w:rsid w:val="00FA79AB"/>
    <w:rsid w:val="00FA7CDB"/>
    <w:rsid w:val="00FB5E09"/>
    <w:rsid w:val="00FB6E4D"/>
    <w:rsid w:val="00FC462E"/>
    <w:rsid w:val="00FC55EF"/>
    <w:rsid w:val="00FC58EF"/>
    <w:rsid w:val="00FD33DF"/>
    <w:rsid w:val="00FD6BF7"/>
    <w:rsid w:val="00FD7259"/>
    <w:rsid w:val="00FE01D4"/>
    <w:rsid w:val="00FE1FDD"/>
    <w:rsid w:val="00FE2D9D"/>
    <w:rsid w:val="00FE39D7"/>
    <w:rsid w:val="00FE3F15"/>
    <w:rsid w:val="00FE7D9E"/>
    <w:rsid w:val="00FF1CBF"/>
    <w:rsid w:val="00FF2AEA"/>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0ADF1C9-8237-4510-92BC-75E58ED7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
    <w:name w:val="Título"/>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CA553-BC06-4344-85B9-5ACF8FB1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15</Pages>
  <Words>6143</Words>
  <Characters>32150</Characters>
  <Application>Microsoft Office Word</Application>
  <DocSecurity>0</DocSecurity>
  <Lines>267</Lines>
  <Paragraphs>76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2015-01-14T20:44:00Z</cp:lastPrinted>
  <dcterms:created xsi:type="dcterms:W3CDTF">2016-12-07T17:16:00Z</dcterms:created>
  <dcterms:modified xsi:type="dcterms:W3CDTF">2016-12-07T17:16:00Z</dcterms:modified>
</cp:coreProperties>
</file>