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5DC6" w:rsidRPr="00E060BE" w:rsidRDefault="002F3937" w:rsidP="00012259">
      <w:pPr>
        <w:pStyle w:val="Encabezado"/>
        <w:tabs>
          <w:tab w:val="clear" w:pos="8504"/>
          <w:tab w:val="left" w:pos="0"/>
          <w:tab w:val="right" w:pos="9356"/>
        </w:tabs>
        <w:ind w:left="0"/>
        <w:jc w:val="both"/>
        <w:rPr>
          <w:rFonts w:ascii="Bookman Old Style" w:hAnsi="Bookman Old Style"/>
          <w:szCs w:val="24"/>
        </w:rPr>
      </w:pPr>
      <w:r>
        <w:rPr>
          <w:rFonts w:ascii="Bookman Old Style" w:hAnsi="Bookman Old Style"/>
          <w:noProof/>
          <w:szCs w:val="24"/>
        </w:rPr>
        <w:object w:dxaOrig="1440" w:dyaOrig="1440" w14:anchorId="44D5DB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32228286" r:id="rId9"/>
        </w:object>
      </w:r>
    </w:p>
    <w:p w:rsidR="00DF2CD7" w:rsidRPr="001A11B2" w:rsidRDefault="00DF2CD7" w:rsidP="00DF2CD7">
      <w:pPr>
        <w:pStyle w:val="Ttulo4"/>
        <w:tabs>
          <w:tab w:val="left" w:pos="0"/>
          <w:tab w:val="right" w:pos="9356"/>
        </w:tabs>
        <w:ind w:left="0"/>
        <w:rPr>
          <w:rFonts w:ascii="Bookman Old Style" w:hAnsi="Bookman Old Style"/>
          <w:b w:val="0"/>
          <w:bCs/>
          <w:noProof/>
          <w:sz w:val="24"/>
          <w:szCs w:val="24"/>
          <w:lang w:val="es-ES"/>
        </w:rPr>
      </w:pPr>
      <w:r w:rsidRPr="001A11B2">
        <w:rPr>
          <w:rFonts w:ascii="Bookman Old Style" w:hAnsi="Bookman Old Style"/>
          <w:b w:val="0"/>
          <w:bCs/>
          <w:sz w:val="24"/>
          <w:szCs w:val="24"/>
        </w:rPr>
        <w:t>Ministerio de Minas y Energía</w:t>
      </w:r>
    </w:p>
    <w:p w:rsidR="00DF2CD7" w:rsidRPr="001A11B2" w:rsidRDefault="00DF2CD7" w:rsidP="00DF2CD7">
      <w:pPr>
        <w:pStyle w:val="Ttulo4"/>
        <w:tabs>
          <w:tab w:val="left" w:pos="0"/>
          <w:tab w:val="right" w:pos="9356"/>
        </w:tabs>
        <w:ind w:left="0"/>
        <w:rPr>
          <w:rFonts w:ascii="Bookman Old Style" w:hAnsi="Bookman Old Style"/>
          <w:b w:val="0"/>
          <w:bCs/>
          <w:sz w:val="24"/>
          <w:szCs w:val="24"/>
        </w:rPr>
      </w:pPr>
    </w:p>
    <w:p w:rsidR="00DF2CD7" w:rsidRPr="001A11B2" w:rsidRDefault="00DF2CD7" w:rsidP="00DF2CD7">
      <w:pPr>
        <w:pStyle w:val="Ttulo3"/>
        <w:tabs>
          <w:tab w:val="left" w:pos="0"/>
          <w:tab w:val="right" w:pos="9356"/>
        </w:tabs>
        <w:ind w:left="0"/>
        <w:rPr>
          <w:rFonts w:ascii="Bookman Old Style" w:hAnsi="Bookman Old Style" w:cs="Arial"/>
          <w:spacing w:val="20"/>
          <w:szCs w:val="24"/>
        </w:rPr>
      </w:pPr>
    </w:p>
    <w:p w:rsidR="00DF2CD7" w:rsidRPr="001A11B2" w:rsidRDefault="00DF2CD7" w:rsidP="00DF2CD7">
      <w:pPr>
        <w:pStyle w:val="Ttulo3"/>
        <w:ind w:left="0"/>
        <w:rPr>
          <w:rFonts w:ascii="Bookman Old Style" w:hAnsi="Bookman Old Style"/>
        </w:rPr>
      </w:pPr>
      <w:r w:rsidRPr="001A11B2">
        <w:rPr>
          <w:rFonts w:ascii="Bookman Old Style" w:hAnsi="Bookman Old Style"/>
        </w:rPr>
        <w:t>COMISIÓN DE REGULACIÓN DE ENERGÍA Y GAS</w:t>
      </w:r>
    </w:p>
    <w:p w:rsidR="00DF2CD7" w:rsidRPr="001A11B2" w:rsidRDefault="00DF2CD7" w:rsidP="00DF2CD7">
      <w:pPr>
        <w:pStyle w:val="Ttulo5"/>
        <w:tabs>
          <w:tab w:val="left" w:pos="0"/>
          <w:tab w:val="right" w:pos="9356"/>
        </w:tabs>
        <w:ind w:left="0"/>
        <w:rPr>
          <w:rFonts w:ascii="Bookman Old Style" w:hAnsi="Bookman Old Style"/>
          <w:sz w:val="24"/>
          <w:szCs w:val="24"/>
        </w:rPr>
      </w:pPr>
    </w:p>
    <w:p w:rsidR="00DF2CD7" w:rsidRPr="001A11B2" w:rsidRDefault="00DF2CD7" w:rsidP="00DF2CD7">
      <w:pPr>
        <w:pStyle w:val="Ttulo5"/>
        <w:tabs>
          <w:tab w:val="left" w:pos="0"/>
          <w:tab w:val="right" w:pos="9356"/>
        </w:tabs>
        <w:ind w:left="0"/>
        <w:rPr>
          <w:rFonts w:ascii="Bookman Old Style" w:hAnsi="Bookman Old Style"/>
          <w:sz w:val="24"/>
          <w:szCs w:val="24"/>
        </w:rPr>
      </w:pPr>
    </w:p>
    <w:p w:rsidR="00DF2CD7" w:rsidRPr="001A11B2" w:rsidRDefault="00DF2CD7" w:rsidP="00DF2CD7">
      <w:pPr>
        <w:pStyle w:val="Ttulo5"/>
        <w:tabs>
          <w:tab w:val="left" w:pos="0"/>
          <w:tab w:val="right" w:pos="9356"/>
        </w:tabs>
        <w:ind w:left="0"/>
        <w:rPr>
          <w:rFonts w:ascii="Bookman Old Style" w:hAnsi="Bookman Old Style"/>
          <w:sz w:val="24"/>
          <w:szCs w:val="24"/>
        </w:rPr>
      </w:pPr>
      <w:r w:rsidRPr="001A11B2">
        <w:rPr>
          <w:rFonts w:ascii="Bookman Old Style" w:hAnsi="Bookman Old Style"/>
          <w:sz w:val="24"/>
          <w:szCs w:val="24"/>
        </w:rPr>
        <w:t>RESOLUCIÓ</w:t>
      </w:r>
      <w:r w:rsidR="00D53D9C">
        <w:rPr>
          <w:rFonts w:ascii="Bookman Old Style" w:hAnsi="Bookman Old Style"/>
          <w:sz w:val="24"/>
          <w:szCs w:val="24"/>
        </w:rPr>
        <w:t>N No.                    DE 2019</w:t>
      </w:r>
    </w:p>
    <w:p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rsidR="00DF2CD7" w:rsidRPr="001A11B2" w:rsidRDefault="00DF2CD7" w:rsidP="00DF2CD7">
      <w:pPr>
        <w:tabs>
          <w:tab w:val="left" w:pos="0"/>
          <w:tab w:val="right" w:pos="9356"/>
        </w:tabs>
        <w:ind w:left="0"/>
        <w:jc w:val="center"/>
        <w:rPr>
          <w:rFonts w:ascii="Bookman Old Style" w:hAnsi="Bookman Old Style" w:cs="Arial"/>
          <w:b/>
          <w:snapToGrid w:val="0"/>
          <w:color w:val="000000"/>
          <w:lang w:val="es-ES_tradnl"/>
        </w:rPr>
      </w:pPr>
    </w:p>
    <w:p w:rsidR="00DF2CD7" w:rsidRPr="001A11B2" w:rsidRDefault="00DF2CD7" w:rsidP="00DF2CD7">
      <w:pPr>
        <w:pStyle w:val="Ttulo3"/>
        <w:ind w:left="0"/>
      </w:pPr>
      <w:r w:rsidRPr="001A11B2">
        <w:t>(                                           )</w:t>
      </w:r>
    </w:p>
    <w:p w:rsidR="00DF2CD7" w:rsidRPr="001A11B2" w:rsidRDefault="00DF2CD7" w:rsidP="00DF2CD7">
      <w:pPr>
        <w:tabs>
          <w:tab w:val="left" w:pos="0"/>
          <w:tab w:val="right" w:pos="9356"/>
        </w:tabs>
        <w:ind w:left="0"/>
        <w:jc w:val="center"/>
        <w:rPr>
          <w:rFonts w:ascii="Bookman Old Style" w:hAnsi="Bookman Old Style"/>
          <w:lang w:val="es-ES_tradnl"/>
        </w:rPr>
      </w:pPr>
    </w:p>
    <w:p w:rsidR="006B2722" w:rsidRDefault="006B2722" w:rsidP="006B2722">
      <w:pPr>
        <w:pStyle w:val="Prrafodelista"/>
        <w:tabs>
          <w:tab w:val="left" w:pos="0"/>
        </w:tabs>
        <w:ind w:left="0" w:right="47"/>
        <w:jc w:val="both"/>
        <w:rPr>
          <w:rFonts w:ascii="Bookman Old Style" w:hAnsi="Bookman Old Style" w:cs="Arial"/>
          <w:i/>
          <w:sz w:val="24"/>
          <w:szCs w:val="24"/>
        </w:rPr>
      </w:pPr>
      <w:bookmarkStart w:id="0" w:name="_GoBack"/>
      <w:bookmarkEnd w:id="0"/>
    </w:p>
    <w:p w:rsidR="00045D3D" w:rsidRPr="00C435C3" w:rsidRDefault="00411E78" w:rsidP="00045D3D">
      <w:pPr>
        <w:ind w:left="0"/>
        <w:jc w:val="center"/>
        <w:rPr>
          <w:rFonts w:ascii="Bookman Old Style" w:hAnsi="Bookman Old Style"/>
        </w:rPr>
      </w:pPr>
      <w:r>
        <w:rPr>
          <w:rFonts w:ascii="Bookman Old Style" w:hAnsi="Bookman Old Style"/>
        </w:rPr>
        <w:t>F</w:t>
      </w:r>
      <w:r w:rsidRPr="002E036E">
        <w:rPr>
          <w:rFonts w:ascii="Bookman Old Style" w:hAnsi="Bookman Old Style"/>
        </w:rPr>
        <w:t xml:space="preserve">órmula </w:t>
      </w:r>
      <w:r w:rsidR="002B70E4" w:rsidRPr="002E036E">
        <w:rPr>
          <w:rFonts w:ascii="Bookman Old Style" w:hAnsi="Bookman Old Style"/>
        </w:rPr>
        <w:t xml:space="preserve">de traslado </w:t>
      </w:r>
      <w:r w:rsidR="00A45BEA" w:rsidRPr="002E036E">
        <w:rPr>
          <w:rFonts w:ascii="Bookman Old Style" w:hAnsi="Bookman Old Style"/>
        </w:rPr>
        <w:t xml:space="preserve">en el componente de compras de energía al usuario regulado </w:t>
      </w:r>
      <w:r w:rsidR="002B70E4" w:rsidRPr="002E036E">
        <w:rPr>
          <w:rFonts w:ascii="Bookman Old Style" w:hAnsi="Bookman Old Style"/>
        </w:rPr>
        <w:t>de los precios de</w:t>
      </w:r>
      <w:r>
        <w:rPr>
          <w:rFonts w:ascii="Bookman Old Style" w:hAnsi="Bookman Old Style"/>
        </w:rPr>
        <w:t>l</w:t>
      </w:r>
      <w:r w:rsidR="002B70E4" w:rsidRPr="002E036E">
        <w:rPr>
          <w:rFonts w:ascii="Bookman Old Style" w:hAnsi="Bookman Old Style"/>
        </w:rPr>
        <w:t xml:space="preserve"> mecanismo </w:t>
      </w:r>
      <w:r w:rsidRPr="002E036E">
        <w:rPr>
          <w:rFonts w:ascii="Bookman Old Style" w:hAnsi="Bookman Old Style"/>
        </w:rPr>
        <w:t>de contratación establecido en la Resolución 40</w:t>
      </w:r>
      <w:r>
        <w:rPr>
          <w:rFonts w:ascii="Bookman Old Style" w:hAnsi="Bookman Old Style"/>
        </w:rPr>
        <w:t xml:space="preserve">590 </w:t>
      </w:r>
      <w:r w:rsidRPr="002E036E">
        <w:rPr>
          <w:rFonts w:ascii="Bookman Old Style" w:hAnsi="Bookman Old Style"/>
        </w:rPr>
        <w:t>de 201</w:t>
      </w:r>
      <w:r>
        <w:rPr>
          <w:rFonts w:ascii="Bookman Old Style" w:hAnsi="Bookman Old Style"/>
        </w:rPr>
        <w:t>9</w:t>
      </w:r>
      <w:r w:rsidRPr="002E036E">
        <w:rPr>
          <w:rFonts w:ascii="Bookman Old Style" w:hAnsi="Bookman Old Style"/>
        </w:rPr>
        <w:t xml:space="preserve"> del Ministerio de Minas y Energía </w:t>
      </w:r>
    </w:p>
    <w:p w:rsidR="00722E22" w:rsidRDefault="00722E22" w:rsidP="00045D3D">
      <w:pPr>
        <w:ind w:right="51"/>
        <w:jc w:val="center"/>
        <w:rPr>
          <w:rFonts w:ascii="Bookman Old Style" w:hAnsi="Bookman Old Style"/>
          <w:b/>
        </w:rPr>
      </w:pPr>
    </w:p>
    <w:p w:rsidR="00045D3D" w:rsidRPr="00C435C3" w:rsidRDefault="00045D3D" w:rsidP="00045D3D">
      <w:pPr>
        <w:ind w:right="51"/>
        <w:jc w:val="center"/>
        <w:rPr>
          <w:rFonts w:ascii="Bookman Old Style" w:hAnsi="Bookman Old Style"/>
          <w:b/>
        </w:rPr>
      </w:pPr>
      <w:r w:rsidRPr="00C435C3">
        <w:rPr>
          <w:rFonts w:ascii="Bookman Old Style" w:hAnsi="Bookman Old Style"/>
          <w:b/>
        </w:rPr>
        <w:t>LA COMISIÓN DE REGULACIÓN DE ENERGÍA Y GAS</w:t>
      </w:r>
    </w:p>
    <w:p w:rsidR="00045D3D" w:rsidRPr="00C435C3" w:rsidRDefault="00045D3D" w:rsidP="00045D3D">
      <w:pPr>
        <w:ind w:left="0" w:right="51"/>
        <w:rPr>
          <w:rFonts w:ascii="Bookman Old Style" w:hAnsi="Bookman Old Style"/>
        </w:rPr>
      </w:pPr>
    </w:p>
    <w:p w:rsidR="00045D3D" w:rsidRPr="00C435C3" w:rsidRDefault="00045D3D" w:rsidP="00045D3D">
      <w:pPr>
        <w:ind w:left="0" w:right="51"/>
        <w:rPr>
          <w:rFonts w:ascii="Bookman Old Style" w:hAnsi="Bookman Old Style"/>
        </w:rPr>
      </w:pPr>
    </w:p>
    <w:p w:rsidR="00045D3D" w:rsidRPr="00C435C3" w:rsidRDefault="00045D3D" w:rsidP="00045D3D">
      <w:pPr>
        <w:pStyle w:val="Textoindependiente3"/>
        <w:ind w:left="0"/>
        <w:rPr>
          <w:rFonts w:ascii="Bookman Old Style" w:hAnsi="Bookman Old Style"/>
          <w:b w:val="0"/>
        </w:rPr>
      </w:pPr>
      <w:r w:rsidRPr="00C435C3">
        <w:rPr>
          <w:rFonts w:ascii="Bookman Old Style" w:hAnsi="Bookman Old Style"/>
          <w:b w:val="0"/>
        </w:rPr>
        <w:t xml:space="preserve">En ejercicio de sus atribuciones constitucionales y legales, en especial las conferidas por las </w:t>
      </w:r>
      <w:r w:rsidR="002352B9">
        <w:rPr>
          <w:rFonts w:ascii="Bookman Old Style" w:hAnsi="Bookman Old Style"/>
          <w:b w:val="0"/>
        </w:rPr>
        <w:t>l</w:t>
      </w:r>
      <w:r w:rsidRPr="00C435C3">
        <w:rPr>
          <w:rFonts w:ascii="Bookman Old Style" w:hAnsi="Bookman Old Style"/>
          <w:b w:val="0"/>
        </w:rPr>
        <w:t>eyes 142 y 143 de 1994, y en desarrollo del</w:t>
      </w:r>
      <w:r w:rsidR="00B66FB7">
        <w:rPr>
          <w:rFonts w:ascii="Bookman Old Style" w:hAnsi="Bookman Old Style"/>
          <w:b w:val="0"/>
        </w:rPr>
        <w:t xml:space="preserve"> D</w:t>
      </w:r>
      <w:r w:rsidRPr="00C435C3">
        <w:rPr>
          <w:rFonts w:ascii="Bookman Old Style" w:hAnsi="Bookman Old Style"/>
          <w:b w:val="0"/>
        </w:rPr>
        <w:t xml:space="preserve">ecreto 1524 </w:t>
      </w:r>
      <w:r w:rsidR="00785E91" w:rsidRPr="00785E91">
        <w:rPr>
          <w:rFonts w:ascii="Bookman Old Style" w:hAnsi="Bookman Old Style"/>
          <w:b w:val="0"/>
        </w:rPr>
        <w:t>y 2253 de 1994, el Decreto 1260 de 2013</w:t>
      </w:r>
      <w:r w:rsidR="00A45BEA">
        <w:rPr>
          <w:rFonts w:ascii="Bookman Old Style" w:hAnsi="Bookman Old Style"/>
          <w:b w:val="0"/>
        </w:rPr>
        <w:t>,</w:t>
      </w:r>
      <w:r w:rsidR="00B66FB7">
        <w:rPr>
          <w:rFonts w:ascii="Bookman Old Style" w:hAnsi="Bookman Old Style"/>
          <w:b w:val="0"/>
        </w:rPr>
        <w:t xml:space="preserve"> el Decreto 0570 de 2018</w:t>
      </w:r>
      <w:r w:rsidR="00A45BEA">
        <w:rPr>
          <w:rFonts w:ascii="Bookman Old Style" w:hAnsi="Bookman Old Style"/>
          <w:b w:val="0"/>
        </w:rPr>
        <w:t xml:space="preserve"> y la Resolución 40590 de 2019 del Ministerio de Minas y Energía</w:t>
      </w:r>
      <w:r w:rsidR="00B66FB7">
        <w:rPr>
          <w:rFonts w:ascii="Bookman Old Style" w:hAnsi="Bookman Old Style"/>
          <w:b w:val="0"/>
        </w:rPr>
        <w:t>.</w:t>
      </w:r>
    </w:p>
    <w:p w:rsidR="00045D3D" w:rsidRDefault="00045D3D" w:rsidP="00045D3D">
      <w:pPr>
        <w:ind w:right="51"/>
        <w:rPr>
          <w:rFonts w:ascii="Bookman Old Style" w:hAnsi="Bookman Old Style"/>
        </w:rPr>
      </w:pPr>
    </w:p>
    <w:p w:rsidR="00045D3D" w:rsidRDefault="00045D3D" w:rsidP="00045D3D">
      <w:pPr>
        <w:ind w:right="51"/>
        <w:rPr>
          <w:rFonts w:ascii="Bookman Old Style" w:hAnsi="Bookman Old Style"/>
        </w:rPr>
      </w:pPr>
    </w:p>
    <w:p w:rsidR="00045D3D" w:rsidRPr="00C435C3" w:rsidRDefault="00045D3D" w:rsidP="00045D3D">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w:t>
      </w:r>
      <w:r w:rsidR="00785E91">
        <w:rPr>
          <w:rFonts w:ascii="Bookman Old Style" w:hAnsi="Bookman Old Style"/>
          <w:b/>
        </w:rPr>
        <w:t xml:space="preserve"> </w:t>
      </w:r>
      <w:r>
        <w:rPr>
          <w:rFonts w:ascii="Bookman Old Style" w:hAnsi="Bookman Old Style"/>
          <w:b/>
        </w:rPr>
        <w:t xml:space="preserve"> Q U E</w:t>
      </w:r>
      <w:r w:rsidRPr="00C435C3">
        <w:rPr>
          <w:rFonts w:ascii="Bookman Old Style" w:hAnsi="Bookman Old Style"/>
          <w:b/>
        </w:rPr>
        <w:t>:</w:t>
      </w:r>
    </w:p>
    <w:p w:rsidR="00045D3D" w:rsidRPr="00C435C3" w:rsidRDefault="00045D3D" w:rsidP="00045D3D">
      <w:pPr>
        <w:ind w:right="51"/>
        <w:jc w:val="center"/>
        <w:rPr>
          <w:rFonts w:ascii="Bookman Old Style" w:hAnsi="Bookman Old Style"/>
          <w:b/>
        </w:rPr>
      </w:pPr>
    </w:p>
    <w:p w:rsidR="00785E91" w:rsidRPr="000B73A9" w:rsidRDefault="007A4A18" w:rsidP="00785E91">
      <w:pPr>
        <w:ind w:left="0"/>
        <w:jc w:val="both"/>
        <w:rPr>
          <w:rFonts w:ascii="Bookman Old Style" w:hAnsi="Bookman Old Style" w:cs="Arial"/>
          <w:szCs w:val="20"/>
          <w:lang w:val="es-CO"/>
        </w:rPr>
      </w:pPr>
      <w:r>
        <w:rPr>
          <w:rFonts w:ascii="Bookman Old Style" w:hAnsi="Bookman Old Style" w:cs="Arial"/>
          <w:szCs w:val="20"/>
          <w:lang w:val="es-CO"/>
        </w:rPr>
        <w:t>E</w:t>
      </w:r>
      <w:r w:rsidR="00785E91" w:rsidRPr="000B73A9">
        <w:rPr>
          <w:rFonts w:ascii="Bookman Old Style" w:hAnsi="Bookman Old Style" w:cs="Arial"/>
          <w:szCs w:val="20"/>
          <w:lang w:val="es-CO"/>
        </w:rPr>
        <w:t xml:space="preserve">l artículo 365 de la </w:t>
      </w:r>
      <w:r>
        <w:rPr>
          <w:rFonts w:ascii="Bookman Old Style" w:hAnsi="Bookman Old Style" w:cs="Arial"/>
          <w:szCs w:val="20"/>
          <w:lang w:val="es-CO"/>
        </w:rPr>
        <w:t xml:space="preserve">Constitución </w:t>
      </w:r>
      <w:r w:rsidR="00785E91" w:rsidRPr="000B73A9">
        <w:rPr>
          <w:rFonts w:ascii="Bookman Old Style" w:hAnsi="Bookman Old Style" w:cs="Arial"/>
          <w:szCs w:val="20"/>
          <w:lang w:val="es-CO"/>
        </w:rPr>
        <w:t>Política</w:t>
      </w:r>
      <w:r w:rsidR="00B66FB7">
        <w:rPr>
          <w:rFonts w:ascii="Bookman Old Style" w:hAnsi="Bookman Old Style" w:cs="Arial"/>
          <w:szCs w:val="20"/>
          <w:lang w:val="es-CO"/>
        </w:rPr>
        <w:t xml:space="preserve"> establece que</w:t>
      </w:r>
      <w:r w:rsidR="00785E91" w:rsidRPr="000B73A9">
        <w:rPr>
          <w:rFonts w:ascii="Bookman Old Style" w:hAnsi="Bookman Old Style" w:cs="Arial"/>
          <w:szCs w:val="20"/>
          <w:lang w:val="es-CO"/>
        </w:rPr>
        <w:t xml:space="preserve"> los servicios públicos son inherentes a la finalidad s</w:t>
      </w:r>
      <w:r w:rsidR="00D36951">
        <w:rPr>
          <w:rFonts w:ascii="Bookman Old Style" w:hAnsi="Bookman Old Style" w:cs="Arial"/>
          <w:szCs w:val="20"/>
          <w:lang w:val="es-CO"/>
        </w:rPr>
        <w:t>ocial del Estado y es deber de e</w:t>
      </w:r>
      <w:r w:rsidR="00785E91" w:rsidRPr="000B73A9">
        <w:rPr>
          <w:rFonts w:ascii="Bookman Old Style" w:hAnsi="Bookman Old Style" w:cs="Arial"/>
          <w:szCs w:val="20"/>
          <w:lang w:val="es-CO"/>
        </w:rPr>
        <w:t xml:space="preserve">ste asegurar su prestación eficiente a todos los habitantes del territorio nacional. </w:t>
      </w:r>
    </w:p>
    <w:p w:rsidR="00785E91" w:rsidRPr="000B73A9" w:rsidRDefault="00785E91" w:rsidP="00785E91">
      <w:pPr>
        <w:ind w:left="0"/>
        <w:jc w:val="both"/>
        <w:rPr>
          <w:rFonts w:ascii="Bookman Old Style" w:hAnsi="Bookman Old Style" w:cs="Arial"/>
          <w:szCs w:val="20"/>
          <w:lang w:val="es-CO"/>
        </w:rPr>
      </w:pPr>
    </w:p>
    <w:p w:rsidR="00785E91" w:rsidRDefault="00CE4A26" w:rsidP="00785E91">
      <w:pPr>
        <w:ind w:left="0"/>
        <w:jc w:val="both"/>
        <w:rPr>
          <w:rFonts w:ascii="Bookman Old Style" w:hAnsi="Bookman Old Style" w:cs="Arial"/>
          <w:szCs w:val="20"/>
          <w:lang w:val="es-CO"/>
        </w:rPr>
      </w:pPr>
      <w:r w:rsidRPr="006D0F6D">
        <w:rPr>
          <w:rFonts w:ascii="Bookman Old Style" w:hAnsi="Bookman Old Style" w:cs="Arial"/>
          <w:szCs w:val="20"/>
          <w:lang w:val="es-CO"/>
        </w:rPr>
        <w:t>El</w:t>
      </w:r>
      <w:r w:rsidR="00B66FB7" w:rsidRPr="006D0F6D">
        <w:rPr>
          <w:rFonts w:ascii="Bookman Old Style" w:hAnsi="Bookman Old Style" w:cs="Arial"/>
          <w:szCs w:val="20"/>
          <w:lang w:val="es-CO"/>
        </w:rPr>
        <w:t xml:space="preserve"> artículo 3 de </w:t>
      </w:r>
      <w:r w:rsidR="00785E91" w:rsidRPr="006D0F6D">
        <w:rPr>
          <w:rFonts w:ascii="Bookman Old Style" w:hAnsi="Bookman Old Style" w:cs="Arial"/>
          <w:szCs w:val="20"/>
          <w:lang w:val="es-CO"/>
        </w:rPr>
        <w:t>la </w:t>
      </w:r>
      <w:hyperlink r:id="rId10" w:tooltip="Haga clic para abrir TODA la Ley 142 de 1994" w:history="1">
        <w:r w:rsidR="00785E91" w:rsidRPr="006D0F6D">
          <w:rPr>
            <w:rFonts w:ascii="Bookman Old Style" w:hAnsi="Bookman Old Style" w:cs="Arial"/>
            <w:szCs w:val="20"/>
            <w:lang w:val="es-CO"/>
          </w:rPr>
          <w:t>Ley 142 de 1994</w:t>
        </w:r>
      </w:hyperlink>
      <w:r w:rsidR="00785E91" w:rsidRPr="006D0F6D">
        <w:rPr>
          <w:rFonts w:ascii="Bookman Old Style" w:hAnsi="Bookman Old Style" w:cs="Arial"/>
          <w:szCs w:val="20"/>
          <w:lang w:val="es-CO"/>
        </w:rPr>
        <w:t xml:space="preserve"> </w:t>
      </w:r>
      <w:r w:rsidR="00837EBB" w:rsidRPr="006D0F6D">
        <w:rPr>
          <w:rFonts w:ascii="Bookman Old Style" w:hAnsi="Bookman Old Style" w:cs="Arial"/>
          <w:szCs w:val="20"/>
          <w:lang w:val="es-CO"/>
        </w:rPr>
        <w:t xml:space="preserve">establece que </w:t>
      </w:r>
      <w:r w:rsidR="00785E91" w:rsidRPr="006D0F6D">
        <w:rPr>
          <w:rFonts w:ascii="Bookman Old Style" w:hAnsi="Bookman Old Style" w:cs="Arial"/>
          <w:szCs w:val="20"/>
          <w:lang w:val="es-CO"/>
        </w:rPr>
        <w:t>la regulación de los servicios públicos es una forma de intervención del Estado en la economía. La</w:t>
      </w:r>
      <w:r w:rsidR="00785E91" w:rsidRPr="000B73A9">
        <w:rPr>
          <w:rFonts w:ascii="Bookman Old Style" w:hAnsi="Bookman Old Style" w:cs="Arial"/>
          <w:szCs w:val="20"/>
          <w:lang w:val="es-CO"/>
        </w:rPr>
        <w:t xml:space="preserve"> función de regulación está orientada no solo a corregir fallas del mercado sino a desarrollar los fines esenciales de los servicios públicos.</w:t>
      </w:r>
      <w:r w:rsidR="00B66FB7">
        <w:rPr>
          <w:rFonts w:ascii="Bookman Old Style" w:hAnsi="Bookman Old Style" w:cs="Arial"/>
          <w:szCs w:val="20"/>
          <w:lang w:val="es-CO"/>
        </w:rPr>
        <w:t xml:space="preserve"> De igual forma</w:t>
      </w:r>
      <w:r>
        <w:rPr>
          <w:rFonts w:ascii="Bookman Old Style" w:hAnsi="Bookman Old Style" w:cs="Arial"/>
          <w:szCs w:val="20"/>
          <w:lang w:val="es-CO"/>
        </w:rPr>
        <w:t>,</w:t>
      </w:r>
      <w:r w:rsidR="00B66FB7">
        <w:rPr>
          <w:rFonts w:ascii="Bookman Old Style" w:hAnsi="Bookman Old Style" w:cs="Arial"/>
          <w:szCs w:val="20"/>
          <w:lang w:val="es-CO"/>
        </w:rPr>
        <w:t xml:space="preserve"> señala que </w:t>
      </w:r>
      <w:r w:rsidR="00785E91" w:rsidRPr="000B73A9">
        <w:rPr>
          <w:rFonts w:ascii="Bookman Old Style" w:hAnsi="Bookman Old Style" w:cs="Arial"/>
          <w:szCs w:val="20"/>
          <w:lang w:val="es-CO"/>
        </w:rPr>
        <w:t>dentro de los fines que persigue la intervención del Estado en la prestación de los servicios públicos domiciliarios se encuentra</w:t>
      </w:r>
      <w:r w:rsidR="007A4A18">
        <w:rPr>
          <w:rFonts w:ascii="Bookman Old Style" w:hAnsi="Bookman Old Style" w:cs="Arial"/>
          <w:szCs w:val="20"/>
          <w:lang w:val="es-CO"/>
        </w:rPr>
        <w:t>n:</w:t>
      </w:r>
      <w:r>
        <w:rPr>
          <w:rFonts w:ascii="Bookman Old Style" w:hAnsi="Bookman Old Style" w:cs="Arial"/>
          <w:szCs w:val="20"/>
          <w:lang w:val="es-CO"/>
        </w:rPr>
        <w:t xml:space="preserve"> </w:t>
      </w:r>
      <w:r w:rsidR="00785E91" w:rsidRPr="000B73A9">
        <w:rPr>
          <w:rFonts w:ascii="Bookman Old Style" w:hAnsi="Bookman Old Style" w:cs="Arial"/>
          <w:szCs w:val="20"/>
          <w:lang w:val="es-CO"/>
        </w:rPr>
        <w:t>la prestación eficiente, continua e ininterrumpida, la libre competencia</w:t>
      </w:r>
      <w:r>
        <w:rPr>
          <w:rFonts w:ascii="Bookman Old Style" w:hAnsi="Bookman Old Style" w:cs="Arial"/>
          <w:szCs w:val="20"/>
          <w:lang w:val="es-CO"/>
        </w:rPr>
        <w:t xml:space="preserve"> y</w:t>
      </w:r>
      <w:r w:rsidR="00785E91" w:rsidRPr="000B73A9">
        <w:rPr>
          <w:rFonts w:ascii="Bookman Old Style" w:hAnsi="Bookman Old Style" w:cs="Arial"/>
          <w:szCs w:val="20"/>
          <w:lang w:val="es-CO"/>
        </w:rPr>
        <w:t xml:space="preserve"> la no utilización abusiva de la posición dominante. </w:t>
      </w:r>
    </w:p>
    <w:p w:rsidR="00B66FB7" w:rsidRDefault="00B66FB7" w:rsidP="00785E91">
      <w:pPr>
        <w:ind w:left="0"/>
        <w:jc w:val="both"/>
        <w:rPr>
          <w:rFonts w:ascii="Bookman Old Style" w:hAnsi="Bookman Old Style" w:cs="Arial"/>
          <w:szCs w:val="20"/>
          <w:lang w:val="es-CO"/>
        </w:rPr>
      </w:pPr>
    </w:p>
    <w:p w:rsidR="00B66FB7" w:rsidRDefault="00B66FB7" w:rsidP="00B66FB7">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El </w:t>
      </w:r>
      <w:r w:rsidR="00CE4A26">
        <w:rPr>
          <w:rFonts w:ascii="Bookman Old Style" w:hAnsi="Bookman Old Style" w:cs="Arial"/>
          <w:szCs w:val="20"/>
          <w:lang w:val="es-CO"/>
        </w:rPr>
        <w:t>a</w:t>
      </w:r>
      <w:r w:rsidRPr="000B73A9">
        <w:rPr>
          <w:rFonts w:ascii="Bookman Old Style" w:hAnsi="Bookman Old Style" w:cs="Arial"/>
          <w:szCs w:val="20"/>
          <w:lang w:val="es-CO"/>
        </w:rPr>
        <w:t>rtículo 73.11 de la Ley 142 de 1994 atribuyó a la Comisión de Regulación de Energía y Gas</w:t>
      </w:r>
      <w:r w:rsidR="00CE4A26">
        <w:rPr>
          <w:rFonts w:ascii="Bookman Old Style" w:hAnsi="Bookman Old Style" w:cs="Arial"/>
          <w:szCs w:val="20"/>
          <w:lang w:val="es-CO"/>
        </w:rPr>
        <w:t xml:space="preserve"> (CREG)</w:t>
      </w:r>
      <w:r w:rsidRPr="000B73A9">
        <w:rPr>
          <w:rFonts w:ascii="Bookman Old Style" w:hAnsi="Bookman Old Style" w:cs="Arial"/>
          <w:szCs w:val="20"/>
          <w:lang w:val="es-CO"/>
        </w:rPr>
        <w:t xml:space="preserve"> la facultad de establecer las fórmulas para la fijación de las tarifas del servicio público domiciliario de energía eléctrica</w:t>
      </w:r>
      <w:r>
        <w:rPr>
          <w:rFonts w:ascii="Bookman Old Style" w:hAnsi="Bookman Old Style" w:cs="Arial"/>
          <w:szCs w:val="20"/>
          <w:lang w:val="es-CO"/>
        </w:rPr>
        <w:t>. Con respecto al régimen tarifario, esta misma Ley faculta a la CREG para</w:t>
      </w:r>
      <w:r w:rsidRPr="000B73A9">
        <w:rPr>
          <w:rFonts w:ascii="Bookman Old Style" w:hAnsi="Bookman Old Style" w:cs="Arial"/>
          <w:szCs w:val="20"/>
          <w:lang w:val="es-CO"/>
        </w:rPr>
        <w:t xml:space="preserve"> establecer las reglas relativas a procedimientos, metodologías, formulas, estructuras, facturación, opciones, valores y, en general, todos los aspectos que determinan el cobro de las tarifas.</w:t>
      </w:r>
    </w:p>
    <w:p w:rsidR="00B66FB7" w:rsidRDefault="00B66FB7" w:rsidP="00785E91">
      <w:pPr>
        <w:ind w:left="0"/>
        <w:jc w:val="both"/>
        <w:rPr>
          <w:rFonts w:ascii="Bookman Old Style" w:hAnsi="Bookman Old Style" w:cs="Arial"/>
          <w:szCs w:val="20"/>
          <w:lang w:val="es-CO"/>
        </w:rPr>
      </w:pPr>
    </w:p>
    <w:p w:rsidR="00785E91"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 xml:space="preserve">La Ley 142 de 1994 en su artículo 74.1 establece que es función de la </w:t>
      </w:r>
      <w:r w:rsidR="00410E0C">
        <w:rPr>
          <w:rFonts w:ascii="Bookman Old Style" w:hAnsi="Bookman Old Style" w:cs="Arial"/>
          <w:szCs w:val="20"/>
          <w:lang w:val="es-CO"/>
        </w:rPr>
        <w:t>C</w:t>
      </w:r>
      <w:r w:rsidRPr="000B73A9">
        <w:rPr>
          <w:rFonts w:ascii="Bookman Old Style" w:hAnsi="Bookman Old Style" w:cs="Arial"/>
          <w:szCs w:val="20"/>
          <w:lang w:val="es-CO"/>
        </w:rPr>
        <w:t xml:space="preserve">REG regular el ejercicio de las actividades del sector de energía para asegurar la </w:t>
      </w:r>
      <w:r w:rsidR="00722E22">
        <w:rPr>
          <w:rFonts w:ascii="Bookman Old Style" w:hAnsi="Bookman Old Style" w:cs="Arial"/>
          <w:szCs w:val="20"/>
          <w:lang w:val="es-CO"/>
        </w:rPr>
        <w:lastRenderedPageBreak/>
        <w:t>d</w:t>
      </w:r>
      <w:r w:rsidRPr="000B73A9">
        <w:rPr>
          <w:rFonts w:ascii="Bookman Old Style" w:hAnsi="Bookman Old Style" w:cs="Arial"/>
          <w:szCs w:val="20"/>
          <w:lang w:val="es-CO"/>
        </w:rPr>
        <w:t xml:space="preserve">isponibilidad de una oferta energética eficiente, propiciar la competencia, adoptar medidas para impedir abusos de posición dominante y buscar la liberación gradual de los mercados hacia la libre competencia. </w:t>
      </w:r>
    </w:p>
    <w:p w:rsidR="003D4B0F" w:rsidRDefault="003D4B0F" w:rsidP="00785E91">
      <w:pPr>
        <w:ind w:left="0"/>
        <w:jc w:val="both"/>
        <w:rPr>
          <w:rFonts w:ascii="Bookman Old Style" w:hAnsi="Bookman Old Style" w:cs="Arial"/>
          <w:szCs w:val="20"/>
          <w:lang w:val="es-CO"/>
        </w:rPr>
      </w:pPr>
    </w:p>
    <w:p w:rsidR="00785E91" w:rsidRPr="000B73A9" w:rsidRDefault="00785E91" w:rsidP="00785E91">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 xml:space="preserve">Según lo definido en el artículo 87.1 de la Ley 142 de 1994, la eficiencia económica es uno de los criterios necesarios para definir un régimen tarifario. Según este numeral, la eficiencia permite que las fórmulas tarifarias tengan en cuenta los costos y los aumentos de productividad para luego ser distribuidos entre la empresa y los usuarios, tal y como ocurre en un mercado </w:t>
      </w:r>
      <w:r w:rsidR="0023420A">
        <w:rPr>
          <w:rFonts w:ascii="Bookman Old Style" w:hAnsi="Bookman Old Style" w:cs="Arial"/>
          <w:szCs w:val="20"/>
          <w:lang w:val="es-CO"/>
        </w:rPr>
        <w:t xml:space="preserve">en competencia. </w:t>
      </w:r>
      <w:r w:rsidRPr="000B73A9">
        <w:rPr>
          <w:rFonts w:ascii="Bookman Old Style" w:hAnsi="Bookman Old Style" w:cs="Arial"/>
          <w:szCs w:val="20"/>
          <w:lang w:val="es-CO"/>
        </w:rPr>
        <w:t xml:space="preserve">El mismo criterio exige, además, que no se trasladen a los usuarios los costos de una gestión ineficiente. </w:t>
      </w:r>
    </w:p>
    <w:p w:rsidR="00785E91" w:rsidRPr="000B73A9" w:rsidRDefault="00785E91" w:rsidP="00785E91">
      <w:pPr>
        <w:tabs>
          <w:tab w:val="left" w:pos="-284"/>
        </w:tabs>
        <w:ind w:left="0"/>
        <w:jc w:val="both"/>
        <w:rPr>
          <w:rFonts w:ascii="Bookman Old Style" w:hAnsi="Bookman Old Style" w:cs="Arial"/>
          <w:szCs w:val="20"/>
          <w:lang w:val="es-CO"/>
        </w:rPr>
      </w:pPr>
    </w:p>
    <w:p w:rsidR="00785E91" w:rsidRPr="000B73A9" w:rsidRDefault="00785E91" w:rsidP="00785E91">
      <w:pPr>
        <w:ind w:left="0" w:right="-93"/>
        <w:jc w:val="both"/>
        <w:rPr>
          <w:rFonts w:ascii="Bookman Old Style" w:eastAsia="Calibri" w:hAnsi="Bookman Old Style" w:cs="Arial"/>
          <w:lang w:val="es-ES_tradnl" w:eastAsia="en-US"/>
        </w:rPr>
      </w:pPr>
      <w:r w:rsidRPr="000B73A9">
        <w:rPr>
          <w:rFonts w:ascii="Bookman Old Style" w:eastAsia="Calibri" w:hAnsi="Bookman Old Style" w:cs="Arial"/>
          <w:lang w:val="es-ES_tradnl" w:eastAsia="en-US"/>
        </w:rPr>
        <w:t>En relación con este criterio y su relación con la prestación eficiente del servicio la H. Corte Constitucional ha precisado lo siguiente:</w:t>
      </w:r>
    </w:p>
    <w:p w:rsidR="00785E91" w:rsidRPr="000B73A9" w:rsidRDefault="00785E91" w:rsidP="00785E91">
      <w:pPr>
        <w:ind w:left="0" w:right="-93"/>
        <w:jc w:val="both"/>
        <w:rPr>
          <w:rFonts w:ascii="Bookman Old Style" w:eastAsia="Calibri" w:hAnsi="Bookman Old Style" w:cs="Arial"/>
          <w:i/>
          <w:lang w:val="es-ES_tradnl" w:eastAsia="en-US"/>
        </w:rPr>
      </w:pPr>
    </w:p>
    <w:p w:rsidR="00785E91" w:rsidRPr="000B73A9" w:rsidRDefault="00785E91" w:rsidP="00785E91">
      <w:pPr>
        <w:ind w:left="284" w:right="284"/>
        <w:jc w:val="both"/>
        <w:rPr>
          <w:rFonts w:ascii="Bookman Old Style" w:eastAsia="Calibri" w:hAnsi="Bookman Old Style" w:cs="Arial"/>
          <w:b/>
          <w:i/>
          <w:sz w:val="22"/>
          <w:szCs w:val="22"/>
          <w:u w:val="single"/>
          <w:lang w:val="es-ES_tradnl" w:eastAsia="en-US"/>
        </w:rPr>
      </w:pPr>
      <w:r w:rsidRPr="000B73A9">
        <w:rPr>
          <w:rFonts w:ascii="Bookman Old Style" w:eastAsia="Calibri" w:hAnsi="Bookman Old Style" w:cs="Arial"/>
          <w:i/>
          <w:sz w:val="22"/>
          <w:szCs w:val="22"/>
          <w:lang w:val="es-ES_tradnl" w:eastAsia="en-US"/>
        </w:rPr>
        <w:t xml:space="preserve">“4.5.2.2.4. En un mercado competitivo el incremento del precio como resultado de la ineficiencia, conlleva un riesgo, a saber, que el productor pierda participación en el mercado debido a que sus precios serán </w:t>
      </w:r>
      <w:r w:rsidRPr="00EA7481">
        <w:rPr>
          <w:rFonts w:ascii="Bookman Old Style" w:eastAsia="Calibri" w:hAnsi="Bookman Old Style" w:cs="Arial"/>
          <w:i/>
          <w:sz w:val="22"/>
          <w:szCs w:val="22"/>
          <w:lang w:val="es-ES_tradnl" w:eastAsia="en-US"/>
        </w:rPr>
        <w:t xml:space="preserve">superiores a los de sus competidores. </w:t>
      </w:r>
      <w:r w:rsidRPr="00EA7481">
        <w:rPr>
          <w:rFonts w:ascii="Bookman Old Style" w:eastAsia="Calibri" w:hAnsi="Bookman Old Style" w:cs="Arial"/>
          <w:i/>
          <w:sz w:val="22"/>
          <w:szCs w:val="22"/>
          <w:u w:val="single"/>
          <w:lang w:val="es-ES_tradnl" w:eastAsia="en-US"/>
        </w:rPr>
        <w:t>En este orden de ideas, la disposición según la cual ‘las fórmulas tarifarias no pueden trasladar a los usuarios los costos de una gestión ineficiente’ pretende que los usuarios no paguen el costo de las ineficiencias de las empresas, tal como no lo harían en un mercado competitivo.</w:t>
      </w:r>
      <w:r w:rsidR="00EA7481" w:rsidRPr="00EA7481">
        <w:rPr>
          <w:rFonts w:ascii="Bookman Old Style" w:eastAsia="Calibri" w:hAnsi="Bookman Old Style" w:cs="Arial"/>
          <w:i/>
          <w:sz w:val="22"/>
          <w:szCs w:val="22"/>
          <w:u w:val="single"/>
          <w:lang w:val="es-ES_tradnl" w:eastAsia="en-US"/>
        </w:rPr>
        <w:t>( Subrayado fuera del texto)</w:t>
      </w:r>
      <w:r w:rsidR="00EA7481">
        <w:rPr>
          <w:rFonts w:ascii="Bookman Old Style" w:eastAsia="Calibri" w:hAnsi="Bookman Old Style" w:cs="Arial"/>
          <w:b/>
          <w:i/>
          <w:sz w:val="22"/>
          <w:szCs w:val="22"/>
          <w:u w:val="single"/>
          <w:lang w:val="es-ES_tradnl" w:eastAsia="en-US"/>
        </w:rPr>
        <w:t>”</w:t>
      </w:r>
    </w:p>
    <w:p w:rsidR="00785E91" w:rsidRPr="000B73A9" w:rsidRDefault="00785E91" w:rsidP="00785E91">
      <w:pPr>
        <w:ind w:left="284" w:right="284"/>
        <w:jc w:val="both"/>
        <w:rPr>
          <w:rFonts w:ascii="Bookman Old Style" w:eastAsia="Calibri" w:hAnsi="Bookman Old Style" w:cs="Arial"/>
          <w:i/>
          <w:sz w:val="22"/>
          <w:szCs w:val="22"/>
          <w:lang w:val="es-ES_tradnl" w:eastAsia="en-US"/>
        </w:rPr>
      </w:pPr>
    </w:p>
    <w:p w:rsidR="00EA7481" w:rsidRPr="000B73A9" w:rsidRDefault="00EA7481" w:rsidP="00EA7481">
      <w:pPr>
        <w:tabs>
          <w:tab w:val="left" w:pos="-284"/>
        </w:tabs>
        <w:ind w:left="0"/>
        <w:jc w:val="both"/>
        <w:rPr>
          <w:rFonts w:ascii="Bookman Old Style" w:hAnsi="Bookman Old Style" w:cs="Arial"/>
          <w:szCs w:val="20"/>
          <w:lang w:val="es-CO"/>
        </w:rPr>
      </w:pPr>
      <w:r w:rsidRPr="000B73A9">
        <w:rPr>
          <w:rFonts w:ascii="Bookman Old Style" w:hAnsi="Bookman Old Style" w:cs="Arial"/>
          <w:szCs w:val="20"/>
          <w:lang w:val="es-CO"/>
        </w:rPr>
        <w:t>De acuerdo con el artículo 90 de la Ley 142, la CREG tiene competencia para incluir elementos en las fórmulas tarifarias. Todos los elementos deben observar entre otros, los criterios tarifarios previstos en el artículo 87 de la Ley 142 de 1994.</w:t>
      </w:r>
    </w:p>
    <w:p w:rsidR="00785E91" w:rsidRPr="003D4B0F" w:rsidRDefault="00785E91" w:rsidP="00785E91">
      <w:pPr>
        <w:tabs>
          <w:tab w:val="left" w:pos="-284"/>
        </w:tabs>
        <w:ind w:left="0"/>
        <w:jc w:val="both"/>
        <w:rPr>
          <w:rFonts w:ascii="Bookman Old Style" w:hAnsi="Bookman Old Style" w:cs="Arial"/>
          <w:lang w:val="es-CO"/>
        </w:rPr>
      </w:pPr>
    </w:p>
    <w:p w:rsidR="00785E91" w:rsidRPr="000B73A9" w:rsidRDefault="00785E91" w:rsidP="00785E91">
      <w:pPr>
        <w:ind w:left="0"/>
        <w:jc w:val="both"/>
        <w:rPr>
          <w:rFonts w:ascii="Bookman Old Style" w:hAnsi="Bookman Old Style" w:cs="Arial"/>
          <w:szCs w:val="20"/>
          <w:lang w:val="es-CO"/>
        </w:rPr>
      </w:pPr>
      <w:r w:rsidRPr="000B73A9">
        <w:rPr>
          <w:rFonts w:ascii="Bookman Old Style" w:hAnsi="Bookman Old Style" w:cs="Arial"/>
          <w:szCs w:val="20"/>
          <w:lang w:val="es-CO"/>
        </w:rPr>
        <w:t>El artículo 6 de la Ley 143 de 1994 señaló que las actividades relacionadas con el servicio de electricidad se regirían entre otros principios, por el de adaptabilidad. Este principio conduce a la incorporación de los avances de la ciencia y de la tecnología que aporten mayor calidad y eficiencia en la prestación del servicio al menor costo económico.</w:t>
      </w:r>
    </w:p>
    <w:p w:rsidR="00785E91" w:rsidRPr="000B73A9" w:rsidRDefault="00785E91" w:rsidP="00785E91">
      <w:pPr>
        <w:ind w:left="0"/>
        <w:jc w:val="both"/>
        <w:rPr>
          <w:rFonts w:ascii="Bookman Old Style" w:hAnsi="Bookman Old Style" w:cs="Arial"/>
          <w:szCs w:val="20"/>
          <w:lang w:val="es-CO"/>
        </w:rPr>
      </w:pPr>
    </w:p>
    <w:p w:rsidR="00B66FB7" w:rsidRDefault="00B66FB7" w:rsidP="00B66FB7">
      <w:pPr>
        <w:ind w:left="0"/>
        <w:jc w:val="both"/>
        <w:rPr>
          <w:rFonts w:ascii="Bookman Old Style" w:hAnsi="Bookman Old Style" w:cs="Arial"/>
          <w:szCs w:val="20"/>
          <w:lang w:val="es-CO"/>
        </w:rPr>
      </w:pPr>
      <w:r>
        <w:rPr>
          <w:rFonts w:ascii="Bookman Old Style" w:hAnsi="Bookman Old Style" w:cs="Arial"/>
          <w:szCs w:val="20"/>
          <w:lang w:val="es-CO"/>
        </w:rPr>
        <w:t>E</w:t>
      </w:r>
      <w:r w:rsidRPr="000B73A9">
        <w:rPr>
          <w:rFonts w:ascii="Bookman Old Style" w:hAnsi="Bookman Old Style" w:cs="Arial"/>
          <w:szCs w:val="20"/>
          <w:lang w:val="es-CO"/>
        </w:rPr>
        <w:t>l artículo 23 de la Ley 143 de 1994 define dentro de las funciones de la CREG la de establecer condiciones para una oferta energética eficiente, capaz de abastecer la demanda bajo criterios sociales, económicos, ambientales y de viabilidad financiera, promover y preservar la competencia. Así mismo en el precitado artículo, se asignó a la Comisión la función de aprobar las fórmulas tarifarias y las metodologías para el cálculo de las tarifas aplicables a los usuarios regulados.</w:t>
      </w:r>
    </w:p>
    <w:p w:rsidR="005C7414" w:rsidRDefault="005C7414" w:rsidP="00B66FB7">
      <w:pPr>
        <w:ind w:left="0"/>
        <w:jc w:val="both"/>
        <w:rPr>
          <w:rFonts w:ascii="Bookman Old Style" w:hAnsi="Bookman Old Style" w:cs="Arial"/>
          <w:szCs w:val="20"/>
          <w:lang w:val="es-CO"/>
        </w:rPr>
      </w:pPr>
    </w:p>
    <w:p w:rsidR="00B66FB7" w:rsidRPr="003D4B0F" w:rsidRDefault="00B66FB7" w:rsidP="00B66FB7">
      <w:pPr>
        <w:tabs>
          <w:tab w:val="left" w:pos="-284"/>
        </w:tabs>
        <w:ind w:left="0"/>
        <w:jc w:val="both"/>
        <w:rPr>
          <w:rFonts w:ascii="Bookman Old Style" w:hAnsi="Bookman Old Style" w:cs="Arial"/>
          <w:i/>
          <w:lang w:val="es-CO"/>
        </w:rPr>
      </w:pPr>
      <w:r w:rsidRPr="003D4B0F">
        <w:rPr>
          <w:rFonts w:ascii="Bookman Old Style" w:hAnsi="Bookman Old Style" w:cs="Arial"/>
          <w:lang w:val="es-CO"/>
        </w:rPr>
        <w:t xml:space="preserve">Según el </w:t>
      </w:r>
      <w:r w:rsidR="00B03A23">
        <w:rPr>
          <w:rFonts w:ascii="Bookman Old Style" w:hAnsi="Bookman Old Style" w:cs="Arial"/>
          <w:lang w:val="es-CO"/>
        </w:rPr>
        <w:t>a</w:t>
      </w:r>
      <w:r w:rsidRPr="003D4B0F">
        <w:rPr>
          <w:rFonts w:ascii="Bookman Old Style" w:hAnsi="Bookman Old Style" w:cs="Arial"/>
          <w:lang w:val="es-CO"/>
        </w:rPr>
        <w:t>rtículo 42 de la Ley 143 de 1994</w:t>
      </w:r>
      <w:r w:rsidR="005C7414">
        <w:rPr>
          <w:rFonts w:ascii="Bookman Old Style" w:hAnsi="Bookman Old Style" w:cs="Arial"/>
          <w:lang w:val="es-CO"/>
        </w:rPr>
        <w:t>,</w:t>
      </w:r>
      <w:r w:rsidRPr="003D4B0F">
        <w:rPr>
          <w:rFonts w:ascii="Bookman Old Style" w:hAnsi="Bookman Old Style" w:cs="Arial"/>
          <w:lang w:val="es-CO"/>
        </w:rPr>
        <w:t xml:space="preserve"> </w:t>
      </w:r>
      <w:r w:rsidRPr="005C7414">
        <w:rPr>
          <w:rFonts w:ascii="Bookman Old Style" w:hAnsi="Bookman Old Style" w:cs="Arial"/>
          <w:lang w:val="es-CO"/>
        </w:rPr>
        <w:t xml:space="preserve">las ventas de electricidad a usuarios finales regulados serán retribuidas, sin excepción, por medio </w:t>
      </w:r>
      <w:r w:rsidR="005C7414" w:rsidRPr="005C7414">
        <w:rPr>
          <w:rFonts w:ascii="Bookman Old Style" w:hAnsi="Bookman Old Style" w:cs="Arial"/>
          <w:lang w:val="es-CO"/>
        </w:rPr>
        <w:t>de tarifas sujetas a regulación</w:t>
      </w:r>
      <w:r w:rsidRPr="005C7414">
        <w:rPr>
          <w:rFonts w:ascii="Bookman Old Style" w:hAnsi="Bookman Old Style" w:cs="Arial"/>
          <w:lang w:val="es-CO"/>
        </w:rPr>
        <w:t>.</w:t>
      </w:r>
    </w:p>
    <w:p w:rsidR="00B66FB7" w:rsidRDefault="00B66FB7" w:rsidP="00785E91">
      <w:pPr>
        <w:ind w:left="0"/>
        <w:jc w:val="both"/>
        <w:rPr>
          <w:rFonts w:ascii="Bookman Old Style" w:hAnsi="Bookman Old Style" w:cs="Arial"/>
        </w:rPr>
      </w:pPr>
    </w:p>
    <w:p w:rsidR="00B66FB7" w:rsidRPr="00766E80" w:rsidRDefault="00B66FB7" w:rsidP="00B66FB7">
      <w:pPr>
        <w:ind w:left="0"/>
        <w:jc w:val="both"/>
        <w:rPr>
          <w:rFonts w:ascii="Bookman Old Style" w:hAnsi="Bookman Old Style" w:cs="Arial"/>
        </w:rPr>
      </w:pPr>
      <w:r w:rsidRPr="00766E80">
        <w:rPr>
          <w:rFonts w:ascii="Bookman Old Style" w:hAnsi="Bookman Old Style" w:cs="Arial"/>
        </w:rPr>
        <w:t xml:space="preserve">Con la Resolución CREG 119 de 2007 la Comisión aprobó la fórmula tarifaria general que </w:t>
      </w:r>
      <w:r w:rsidR="00D34116">
        <w:rPr>
          <w:rFonts w:ascii="Bookman Old Style" w:hAnsi="Bookman Old Style" w:cs="Arial"/>
        </w:rPr>
        <w:t>permite a los comercializadores</w:t>
      </w:r>
      <w:r w:rsidRPr="00766E80">
        <w:rPr>
          <w:rFonts w:ascii="Bookman Old Style" w:hAnsi="Bookman Old Style" w:cs="Arial"/>
        </w:rPr>
        <w:t xml:space="preserve"> de electricidad establecer los costos de prestación del servicio a usuarios regulados en el sistema interconectado nacional.</w:t>
      </w:r>
    </w:p>
    <w:p w:rsidR="00B66FB7" w:rsidRPr="008A5268" w:rsidRDefault="00B66FB7" w:rsidP="00B66FB7">
      <w:pPr>
        <w:ind w:left="0"/>
        <w:jc w:val="both"/>
        <w:rPr>
          <w:rFonts w:ascii="Bookman Old Style" w:hAnsi="Bookman Old Style" w:cs="Arial"/>
          <w:sz w:val="32"/>
        </w:rPr>
      </w:pPr>
    </w:p>
    <w:p w:rsidR="00722E22" w:rsidRDefault="00722E22" w:rsidP="00B66FB7">
      <w:pPr>
        <w:ind w:left="0"/>
        <w:jc w:val="both"/>
        <w:rPr>
          <w:rFonts w:ascii="Bookman Old Style" w:hAnsi="Bookman Old Style" w:cs="Arial"/>
        </w:rPr>
      </w:pPr>
    </w:p>
    <w:p w:rsidR="00B66FB7" w:rsidRDefault="00B66FB7" w:rsidP="00B66FB7">
      <w:pPr>
        <w:ind w:left="0"/>
        <w:jc w:val="both"/>
        <w:rPr>
          <w:rFonts w:ascii="Bookman Old Style" w:hAnsi="Bookman Old Style" w:cs="Arial"/>
        </w:rPr>
      </w:pPr>
      <w:r w:rsidRPr="00766E80">
        <w:rPr>
          <w:rFonts w:ascii="Bookman Old Style" w:hAnsi="Bookman Old Style" w:cs="Arial"/>
        </w:rPr>
        <w:t xml:space="preserve">La Resolución CREG 030 de 2018 reguló autogeneración a pequeña escala y definió traslado de las compras de energía en la tarifa del usuario final en el componente G del CU, </w:t>
      </w:r>
      <w:r w:rsidR="00B03A23">
        <w:rPr>
          <w:rFonts w:ascii="Bookman Old Style" w:hAnsi="Bookman Old Style" w:cs="Arial"/>
        </w:rPr>
        <w:t xml:space="preserve">modificando el </w:t>
      </w:r>
      <w:r w:rsidRPr="00766E80">
        <w:rPr>
          <w:rFonts w:ascii="Bookman Old Style" w:hAnsi="Bookman Old Style" w:cs="Arial"/>
        </w:rPr>
        <w:t>artículo 6 de la Resolución CREG 119 de 2007.</w:t>
      </w:r>
    </w:p>
    <w:p w:rsidR="00415905" w:rsidRDefault="00415905" w:rsidP="00785E91">
      <w:pPr>
        <w:ind w:left="0"/>
        <w:jc w:val="both"/>
        <w:rPr>
          <w:rFonts w:ascii="Bookman Old Style" w:hAnsi="Bookman Old Style" w:cs="Arial"/>
        </w:rPr>
      </w:pPr>
    </w:p>
    <w:p w:rsidR="005C7414" w:rsidRDefault="005C7414" w:rsidP="005C7414">
      <w:pPr>
        <w:ind w:left="0"/>
        <w:jc w:val="both"/>
        <w:rPr>
          <w:rFonts w:ascii="Bookman Old Style" w:hAnsi="Bookman Old Style" w:cs="Arial"/>
          <w:lang w:val="es-ES_tradnl"/>
        </w:rPr>
      </w:pPr>
      <w:r w:rsidRPr="005C7414">
        <w:rPr>
          <w:rFonts w:ascii="Bookman Old Style" w:hAnsi="Bookman Old Style" w:cs="Arial"/>
          <w:lang w:val="es-ES_tradnl"/>
        </w:rPr>
        <w:t>El Gobierno Nacional expidió el Decreto 0570 de 2018</w:t>
      </w:r>
      <w:r>
        <w:rPr>
          <w:rFonts w:ascii="Bookman Old Style" w:hAnsi="Bookman Old Style" w:cs="Arial"/>
          <w:lang w:val="es-ES_tradnl"/>
        </w:rPr>
        <w:t>, en donde se establecen los lineamientos de política pública para la contratación a largo plazo de proyectos de generación de energía eléctrica. En el mencionado decreto se delega a la CREG como la entidad encargada de definir el esquema para trasladar los costos eficientes de compra resultantes de la aplicación del mecanismo.</w:t>
      </w:r>
    </w:p>
    <w:p w:rsidR="005C7414" w:rsidRPr="00034B45" w:rsidRDefault="005C7414" w:rsidP="00785E91">
      <w:pPr>
        <w:ind w:left="0"/>
        <w:jc w:val="both"/>
        <w:rPr>
          <w:rFonts w:ascii="Bookman Old Style" w:hAnsi="Bookman Old Style" w:cs="Arial"/>
          <w:lang w:val="es-ES_tradnl"/>
        </w:rPr>
      </w:pPr>
    </w:p>
    <w:p w:rsidR="00785E91" w:rsidRPr="00034B45" w:rsidRDefault="00410E0C" w:rsidP="00785E91">
      <w:pPr>
        <w:ind w:left="0"/>
        <w:jc w:val="both"/>
        <w:rPr>
          <w:rFonts w:ascii="Bookman Old Style" w:hAnsi="Bookman Old Style" w:cs="Arial"/>
          <w:lang w:val="es-ES_tradnl"/>
        </w:rPr>
      </w:pPr>
      <w:r w:rsidRPr="00034B45">
        <w:rPr>
          <w:rFonts w:ascii="Bookman Old Style" w:hAnsi="Bookman Old Style" w:cs="Arial"/>
          <w:lang w:val="es-ES_tradnl"/>
        </w:rPr>
        <w:t>El Ministerio de Minas y Energía (MME) expidió la Resolución 40</w:t>
      </w:r>
      <w:r w:rsidR="00D05EE0" w:rsidRPr="00034B45">
        <w:rPr>
          <w:rFonts w:ascii="Bookman Old Style" w:hAnsi="Bookman Old Style" w:cs="Arial"/>
          <w:lang w:val="es-ES_tradnl"/>
        </w:rPr>
        <w:t>791 de 2018 por la que se definió e implementó</w:t>
      </w:r>
      <w:r w:rsidRPr="00034B45">
        <w:rPr>
          <w:rFonts w:ascii="Bookman Old Style" w:hAnsi="Bookman Old Style" w:cs="Arial"/>
          <w:lang w:val="es-ES_tradnl"/>
        </w:rPr>
        <w:t xml:space="preserve"> un mecanismo </w:t>
      </w:r>
      <w:r w:rsidR="00D05EE0" w:rsidRPr="00034B45">
        <w:rPr>
          <w:rFonts w:ascii="Bookman Old Style" w:hAnsi="Bookman Old Style" w:cs="Arial"/>
          <w:lang w:val="es-ES_tradnl"/>
        </w:rPr>
        <w:t>para promover</w:t>
      </w:r>
      <w:r w:rsidRPr="00034B45">
        <w:rPr>
          <w:rFonts w:ascii="Bookman Old Style" w:hAnsi="Bookman Old Style" w:cs="Arial"/>
          <w:lang w:val="es-ES_tradnl"/>
        </w:rPr>
        <w:t xml:space="preserve"> la contratación de largo plazo para proyectos de generación de energía eléctrica complementario a los mecanismos existentes en el Mercado de Energía Mayorista. En esta resolución se determin</w:t>
      </w:r>
      <w:r w:rsidR="00D05EE0" w:rsidRPr="00034B45">
        <w:rPr>
          <w:rFonts w:ascii="Bookman Old Style" w:hAnsi="Bookman Old Style" w:cs="Arial"/>
          <w:lang w:val="es-ES_tradnl"/>
        </w:rPr>
        <w:t>ó que la CREG debía</w:t>
      </w:r>
      <w:r w:rsidRPr="00034B45">
        <w:rPr>
          <w:rFonts w:ascii="Bookman Old Style" w:hAnsi="Bookman Old Style" w:cs="Arial"/>
          <w:lang w:val="es-ES_tradnl"/>
        </w:rPr>
        <w:t xml:space="preserve"> definir las condiciones de competencia </w:t>
      </w:r>
      <w:r w:rsidR="00D05EE0" w:rsidRPr="00034B45">
        <w:rPr>
          <w:rFonts w:ascii="Bookman Old Style" w:hAnsi="Bookman Old Style" w:cs="Arial"/>
          <w:lang w:val="es-ES_tradnl"/>
        </w:rPr>
        <w:t>a validar en el proceso de subasta</w:t>
      </w:r>
      <w:r w:rsidRPr="00034B45">
        <w:rPr>
          <w:rFonts w:ascii="Bookman Old Style" w:hAnsi="Bookman Old Style" w:cs="Arial"/>
          <w:lang w:val="es-ES_tradnl"/>
        </w:rPr>
        <w:t xml:space="preserve"> para garantizar un proceso de interacción eficiente entre compradores y vendedores.</w:t>
      </w:r>
    </w:p>
    <w:p w:rsidR="00410E0C" w:rsidRPr="00034B45" w:rsidRDefault="00410E0C" w:rsidP="00785E91">
      <w:pPr>
        <w:ind w:left="0"/>
        <w:jc w:val="both"/>
        <w:rPr>
          <w:rFonts w:ascii="Bookman Old Style" w:hAnsi="Bookman Old Style" w:cs="Arial"/>
          <w:lang w:val="es-ES_tradnl"/>
        </w:rPr>
      </w:pPr>
    </w:p>
    <w:p w:rsidR="00410E0C" w:rsidRPr="005C7414" w:rsidRDefault="00415905" w:rsidP="00785E91">
      <w:pPr>
        <w:ind w:left="0"/>
        <w:jc w:val="both"/>
        <w:rPr>
          <w:rFonts w:ascii="Bookman Old Style" w:hAnsi="Bookman Old Style" w:cs="Arial"/>
          <w:lang w:val="es-ES_tradnl"/>
        </w:rPr>
      </w:pPr>
      <w:r w:rsidRPr="00034B45">
        <w:rPr>
          <w:rFonts w:ascii="Bookman Old Style" w:hAnsi="Bookman Old Style" w:cs="Arial"/>
          <w:lang w:val="es-ES_tradnl"/>
        </w:rPr>
        <w:t>En cumplimiento de la Resolución 40791 de 2018, la CREG expidió la Resolución CREG 020 de 2019 en la cual se definió la forma de trasladar los precios resultantes de dicha subasta en el costo unitario de prestación del servicio</w:t>
      </w:r>
      <w:r w:rsidR="00117F4A" w:rsidRPr="00034B45">
        <w:rPr>
          <w:rFonts w:ascii="Bookman Old Style" w:hAnsi="Bookman Old Style" w:cs="Arial"/>
          <w:lang w:val="es-ES_tradnl"/>
        </w:rPr>
        <w:t>.</w:t>
      </w:r>
    </w:p>
    <w:p w:rsidR="00415905" w:rsidRPr="005C7414" w:rsidRDefault="00415905" w:rsidP="00785E91">
      <w:pPr>
        <w:ind w:left="0"/>
        <w:jc w:val="both"/>
        <w:rPr>
          <w:rFonts w:ascii="Bookman Old Style" w:hAnsi="Bookman Old Style" w:cs="Arial"/>
          <w:lang w:val="es-ES_tradnl"/>
        </w:rPr>
      </w:pPr>
    </w:p>
    <w:p w:rsidR="00E77C50" w:rsidRDefault="00117F4A" w:rsidP="00E74A13">
      <w:pPr>
        <w:ind w:left="0"/>
        <w:jc w:val="both"/>
        <w:rPr>
          <w:rFonts w:ascii="Bookman Old Style" w:hAnsi="Bookman Old Style" w:cs="Arial"/>
          <w:lang w:val="es-ES_tradnl"/>
        </w:rPr>
      </w:pPr>
      <w:r>
        <w:rPr>
          <w:rFonts w:ascii="Bookman Old Style" w:hAnsi="Bookman Old Style" w:cs="Arial"/>
          <w:lang w:val="es-ES_tradnl"/>
        </w:rPr>
        <w:t>E</w:t>
      </w:r>
      <w:r w:rsidR="00E77C50" w:rsidRPr="005C7414">
        <w:rPr>
          <w:rFonts w:ascii="Bookman Old Style" w:hAnsi="Bookman Old Style" w:cs="Arial"/>
          <w:lang w:val="es-ES_tradnl"/>
        </w:rPr>
        <w:t>l Ministerio de Minas y Energía expidió l</w:t>
      </w:r>
      <w:r w:rsidR="00415905" w:rsidRPr="005C7414">
        <w:rPr>
          <w:rFonts w:ascii="Bookman Old Style" w:hAnsi="Bookman Old Style" w:cs="Arial"/>
          <w:lang w:val="es-ES_tradnl"/>
        </w:rPr>
        <w:t xml:space="preserve">a Resolución </w:t>
      </w:r>
      <w:r w:rsidR="00E77C50" w:rsidRPr="005C7414">
        <w:rPr>
          <w:rFonts w:ascii="Bookman Old Style" w:hAnsi="Bookman Old Style" w:cs="Arial"/>
          <w:lang w:val="es-ES_tradnl"/>
        </w:rPr>
        <w:t xml:space="preserve">40590 </w:t>
      </w:r>
      <w:r w:rsidR="00415905" w:rsidRPr="005C7414">
        <w:rPr>
          <w:rFonts w:ascii="Bookman Old Style" w:hAnsi="Bookman Old Style" w:cs="Arial"/>
          <w:lang w:val="es-ES_tradnl"/>
        </w:rPr>
        <w:t xml:space="preserve">de 2019 </w:t>
      </w:r>
      <w:r w:rsidR="00E77C50" w:rsidRPr="005C7414">
        <w:rPr>
          <w:rFonts w:ascii="Bookman Old Style" w:hAnsi="Bookman Old Style" w:cs="Arial"/>
          <w:lang w:val="es-ES_tradnl"/>
        </w:rPr>
        <w:t xml:space="preserve">mediante la </w:t>
      </w:r>
      <w:r>
        <w:rPr>
          <w:rFonts w:ascii="Bookman Old Style" w:hAnsi="Bookman Old Style" w:cs="Arial"/>
          <w:lang w:val="es-ES_tradnl"/>
        </w:rPr>
        <w:t>cual</w:t>
      </w:r>
      <w:r w:rsidR="00E77C50" w:rsidRPr="005C7414">
        <w:rPr>
          <w:rFonts w:ascii="Bookman Old Style" w:hAnsi="Bookman Old Style" w:cs="Arial"/>
          <w:lang w:val="es-ES_tradnl"/>
        </w:rPr>
        <w:t xml:space="preserve"> </w:t>
      </w:r>
      <w:r w:rsidR="00D05EE0">
        <w:rPr>
          <w:rFonts w:ascii="Bookman Old Style" w:hAnsi="Bookman Old Style" w:cs="Arial"/>
          <w:lang w:val="es-ES_tradnl"/>
        </w:rPr>
        <w:t>estableció</w:t>
      </w:r>
      <w:r w:rsidR="00E74A13" w:rsidRPr="005C7414">
        <w:rPr>
          <w:rFonts w:ascii="Bookman Old Style" w:hAnsi="Bookman Old Style" w:cs="Arial"/>
          <w:lang w:val="es-ES_tradnl"/>
        </w:rPr>
        <w:t xml:space="preserve"> un nuevo mecanismo de subasta para la compra venta de contratos de energía de largo plazo</w:t>
      </w:r>
      <w:r>
        <w:rPr>
          <w:rFonts w:ascii="Bookman Old Style" w:hAnsi="Bookman Old Style" w:cs="Arial"/>
          <w:lang w:val="es-ES_tradnl"/>
        </w:rPr>
        <w:t xml:space="preserve"> y derogó la Resolución 40791 de 2018 y sus modificaciones</w:t>
      </w:r>
      <w:r w:rsidR="00E74A13" w:rsidRPr="005C7414">
        <w:rPr>
          <w:rFonts w:ascii="Bookman Old Style" w:hAnsi="Bookman Old Style" w:cs="Arial"/>
          <w:lang w:val="es-ES_tradnl"/>
        </w:rPr>
        <w:t>.</w:t>
      </w:r>
    </w:p>
    <w:p w:rsidR="00E77C50" w:rsidRDefault="00E77C50" w:rsidP="00E74A13">
      <w:pPr>
        <w:ind w:left="0"/>
        <w:jc w:val="both"/>
        <w:rPr>
          <w:rFonts w:ascii="Bookman Old Style" w:hAnsi="Bookman Old Style" w:cs="Arial"/>
          <w:lang w:val="es-ES_tradnl"/>
        </w:rPr>
      </w:pPr>
    </w:p>
    <w:p w:rsidR="00E77C50" w:rsidRDefault="00117F4A" w:rsidP="00E77C50">
      <w:pPr>
        <w:ind w:left="0"/>
        <w:jc w:val="both"/>
        <w:rPr>
          <w:rFonts w:ascii="Bookman Old Style" w:hAnsi="Bookman Old Style"/>
        </w:rPr>
      </w:pPr>
      <w:r>
        <w:rPr>
          <w:rFonts w:ascii="Bookman Old Style" w:hAnsi="Bookman Old Style" w:cs="Arial"/>
          <w:lang w:val="es-ES_tradnl"/>
        </w:rPr>
        <w:t>L</w:t>
      </w:r>
      <w:r w:rsidR="00E74A13">
        <w:rPr>
          <w:rFonts w:ascii="Bookman Old Style" w:hAnsi="Bookman Old Style" w:cs="Arial"/>
          <w:lang w:val="es-ES_tradnl"/>
        </w:rPr>
        <w:t xml:space="preserve">a Resolución </w:t>
      </w:r>
      <w:r w:rsidR="00E77C50">
        <w:rPr>
          <w:rFonts w:ascii="Bookman Old Style" w:hAnsi="Bookman Old Style" w:cs="Arial"/>
          <w:lang w:val="es-ES_tradnl"/>
        </w:rPr>
        <w:t xml:space="preserve">CREG 081 de 2019 </w:t>
      </w:r>
      <w:r w:rsidR="00E77C50" w:rsidRPr="001A11B2">
        <w:rPr>
          <w:rFonts w:ascii="Bookman Old Style" w:hAnsi="Bookman Old Style" w:cs="Arial"/>
        </w:rPr>
        <w:t>orden</w:t>
      </w:r>
      <w:r>
        <w:rPr>
          <w:rFonts w:ascii="Bookman Old Style" w:hAnsi="Bookman Old Style" w:cs="Arial"/>
        </w:rPr>
        <w:t>ó</w:t>
      </w:r>
      <w:r w:rsidR="00E77C50" w:rsidRPr="001A11B2">
        <w:rPr>
          <w:rFonts w:ascii="Bookman Old Style" w:hAnsi="Bookman Old Style" w:cs="Arial"/>
        </w:rPr>
        <w:t xml:space="preserve"> hacer público un proyecto de resolución</w:t>
      </w:r>
      <w:r>
        <w:rPr>
          <w:rFonts w:ascii="Bookman Old Style" w:hAnsi="Bookman Old Style" w:cs="Arial"/>
        </w:rPr>
        <w:t xml:space="preserve"> en do</w:t>
      </w:r>
      <w:r w:rsidR="00E77C50">
        <w:rPr>
          <w:rFonts w:ascii="Bookman Old Style" w:hAnsi="Bookman Old Style" w:cs="Arial"/>
        </w:rPr>
        <w:t xml:space="preserve">nde se establece un indicador de competencia para el nuevo mecanismo de subasta que implementaría la Resolución 40590 de 2019, así como el traslado </w:t>
      </w:r>
      <w:r w:rsidR="00E77C50" w:rsidRPr="00E77C50">
        <w:rPr>
          <w:rFonts w:ascii="Bookman Old Style" w:hAnsi="Bookman Old Style" w:cs="Arial"/>
          <w:szCs w:val="20"/>
          <w:lang w:val="es-CO"/>
        </w:rPr>
        <w:t>de los precios de dicho mecanismo en el componente de costos de compras de energía al usuario regulado.</w:t>
      </w:r>
    </w:p>
    <w:p w:rsidR="00E77C50" w:rsidRDefault="00E77C50" w:rsidP="00E77C50">
      <w:pPr>
        <w:ind w:left="0"/>
        <w:jc w:val="both"/>
        <w:rPr>
          <w:rFonts w:ascii="Bookman Old Style" w:hAnsi="Bookman Old Style"/>
        </w:rPr>
      </w:pPr>
    </w:p>
    <w:p w:rsidR="003B6055" w:rsidRDefault="00117F4A" w:rsidP="002E036E">
      <w:pPr>
        <w:ind w:left="0"/>
        <w:jc w:val="both"/>
        <w:rPr>
          <w:rFonts w:ascii="Bookman Old Style" w:hAnsi="Bookman Old Style"/>
        </w:rPr>
      </w:pPr>
      <w:r>
        <w:rPr>
          <w:rFonts w:ascii="Bookman Old Style" w:hAnsi="Bookman Old Style"/>
        </w:rPr>
        <w:t>Durante</w:t>
      </w:r>
      <w:r w:rsidR="00E77C50">
        <w:rPr>
          <w:rFonts w:ascii="Bookman Old Style" w:hAnsi="Bookman Old Style"/>
        </w:rPr>
        <w:t xml:space="preserve"> el periodo de consulta de la Resolución CREG 081 de 2019, se radicaron en la CREG los siguientes comentarios</w:t>
      </w:r>
      <w:r w:rsidR="002E036E" w:rsidRPr="003B6055">
        <w:rPr>
          <w:rFonts w:ascii="Bookman Old Style" w:hAnsi="Bookman Old Style"/>
        </w:rPr>
        <w:t>:</w:t>
      </w:r>
      <w:r w:rsidR="002E036E" w:rsidRPr="002E036E">
        <w:rPr>
          <w:rFonts w:ascii="Bookman Old Style" w:hAnsi="Bookman Old Style"/>
        </w:rPr>
        <w:t xml:space="preserve"> </w:t>
      </w:r>
      <w:r w:rsidR="003B6055" w:rsidRPr="003B6055">
        <w:rPr>
          <w:rFonts w:ascii="Bookman Old Style" w:hAnsi="Bookman Old Style"/>
        </w:rPr>
        <w:t xml:space="preserve">E-2019-007768 </w:t>
      </w:r>
      <w:proofErr w:type="spellStart"/>
      <w:r w:rsidR="003B6055" w:rsidRPr="003B6055">
        <w:rPr>
          <w:rFonts w:ascii="Bookman Old Style" w:hAnsi="Bookman Old Style"/>
        </w:rPr>
        <w:t>Arcenio</w:t>
      </w:r>
      <w:proofErr w:type="spellEnd"/>
      <w:r w:rsidR="003B6055" w:rsidRPr="003B6055">
        <w:rPr>
          <w:rFonts w:ascii="Bookman Old Style" w:hAnsi="Bookman Old Style"/>
        </w:rPr>
        <w:t xml:space="preserve"> Torres; E-2019-007917 </w:t>
      </w:r>
      <w:proofErr w:type="spellStart"/>
      <w:r w:rsidR="003B6055" w:rsidRPr="003B6055">
        <w:rPr>
          <w:rFonts w:ascii="Bookman Old Style" w:hAnsi="Bookman Old Style"/>
        </w:rPr>
        <w:t>Asocodis</w:t>
      </w:r>
      <w:proofErr w:type="spellEnd"/>
      <w:r w:rsidR="003B6055" w:rsidRPr="003B6055">
        <w:rPr>
          <w:rFonts w:ascii="Bookman Old Style" w:hAnsi="Bookman Old Style"/>
        </w:rPr>
        <w:t xml:space="preserve">; E-2019-007919 XM; E-2019-007920 EPM; E-2019-007921;   E-2019-007936;     E-2019-007938;    E-2019-007940 </w:t>
      </w:r>
      <w:proofErr w:type="spellStart"/>
      <w:r w:rsidR="003B6055" w:rsidRPr="003B6055">
        <w:rPr>
          <w:rFonts w:ascii="Bookman Old Style" w:hAnsi="Bookman Old Style"/>
        </w:rPr>
        <w:t>Enel</w:t>
      </w:r>
      <w:proofErr w:type="spellEnd"/>
      <w:r w:rsidR="003B6055" w:rsidRPr="003B6055">
        <w:rPr>
          <w:rFonts w:ascii="Bookman Old Style" w:hAnsi="Bookman Old Style"/>
        </w:rPr>
        <w:t xml:space="preserve">; E-2019-007922 </w:t>
      </w:r>
      <w:proofErr w:type="spellStart"/>
      <w:r w:rsidR="003B6055" w:rsidRPr="003B6055">
        <w:rPr>
          <w:rFonts w:ascii="Bookman Old Style" w:hAnsi="Bookman Old Style"/>
        </w:rPr>
        <w:t>Isagen</w:t>
      </w:r>
      <w:proofErr w:type="spellEnd"/>
      <w:r w:rsidR="003B6055" w:rsidRPr="003B6055">
        <w:rPr>
          <w:rFonts w:ascii="Bookman Old Style" w:hAnsi="Bookman Old Style"/>
        </w:rPr>
        <w:t xml:space="preserve">; E-2019-007923 SER; E-2019-007939 </w:t>
      </w:r>
      <w:proofErr w:type="spellStart"/>
      <w:r w:rsidR="003B6055" w:rsidRPr="003B6055">
        <w:rPr>
          <w:rFonts w:ascii="Bookman Old Style" w:hAnsi="Bookman Old Style"/>
        </w:rPr>
        <w:t>Andesco</w:t>
      </w:r>
      <w:proofErr w:type="spellEnd"/>
      <w:r w:rsidR="003B6055" w:rsidRPr="003B6055">
        <w:rPr>
          <w:rFonts w:ascii="Bookman Old Style" w:hAnsi="Bookman Old Style"/>
        </w:rPr>
        <w:t xml:space="preserve">; E-2019-007942 </w:t>
      </w:r>
      <w:proofErr w:type="spellStart"/>
      <w:r w:rsidR="003B6055" w:rsidRPr="003B6055">
        <w:rPr>
          <w:rFonts w:ascii="Bookman Old Style" w:hAnsi="Bookman Old Style"/>
        </w:rPr>
        <w:t>Andeg</w:t>
      </w:r>
      <w:proofErr w:type="spellEnd"/>
      <w:r w:rsidR="003B6055" w:rsidRPr="003B6055">
        <w:rPr>
          <w:rFonts w:ascii="Bookman Old Style" w:hAnsi="Bookman Old Style"/>
        </w:rPr>
        <w:t xml:space="preserve">; E-2019-007943 </w:t>
      </w:r>
      <w:proofErr w:type="spellStart"/>
      <w:r w:rsidR="003B6055" w:rsidRPr="003B6055">
        <w:rPr>
          <w:rFonts w:ascii="Bookman Old Style" w:hAnsi="Bookman Old Style"/>
        </w:rPr>
        <w:t>Electrohuila</w:t>
      </w:r>
      <w:proofErr w:type="spellEnd"/>
      <w:r w:rsidR="003B6055" w:rsidRPr="003B6055">
        <w:rPr>
          <w:rFonts w:ascii="Bookman Old Style" w:hAnsi="Bookman Old Style"/>
        </w:rPr>
        <w:t xml:space="preserve">; E-2019-007945 </w:t>
      </w:r>
      <w:proofErr w:type="spellStart"/>
      <w:r w:rsidR="003B6055" w:rsidRPr="003B6055">
        <w:rPr>
          <w:rFonts w:ascii="Bookman Old Style" w:hAnsi="Bookman Old Style"/>
        </w:rPr>
        <w:t>Acolgen</w:t>
      </w:r>
      <w:proofErr w:type="spellEnd"/>
      <w:r w:rsidR="003B6055" w:rsidRPr="003B6055">
        <w:rPr>
          <w:rFonts w:ascii="Bookman Old Style" w:hAnsi="Bookman Old Style"/>
        </w:rPr>
        <w:t xml:space="preserve">; E-2019-007957 CAC; E-2019-007960 </w:t>
      </w:r>
      <w:proofErr w:type="spellStart"/>
      <w:r w:rsidR="003B6055" w:rsidRPr="003B6055">
        <w:rPr>
          <w:rFonts w:ascii="Bookman Old Style" w:hAnsi="Bookman Old Style"/>
        </w:rPr>
        <w:t>Hembert</w:t>
      </w:r>
      <w:proofErr w:type="spellEnd"/>
      <w:r w:rsidR="003B6055" w:rsidRPr="003B6055">
        <w:rPr>
          <w:rFonts w:ascii="Bookman Old Style" w:hAnsi="Bookman Old Style"/>
        </w:rPr>
        <w:t xml:space="preserve"> Suarez; E-2019-007961 </w:t>
      </w:r>
      <w:proofErr w:type="spellStart"/>
      <w:r w:rsidR="003B6055" w:rsidRPr="003B6055">
        <w:rPr>
          <w:rFonts w:ascii="Bookman Old Style" w:hAnsi="Bookman Old Style"/>
        </w:rPr>
        <w:t>Celsia</w:t>
      </w:r>
      <w:proofErr w:type="spellEnd"/>
      <w:r w:rsidR="003B6055" w:rsidRPr="003B6055">
        <w:rPr>
          <w:rFonts w:ascii="Bookman Old Style" w:hAnsi="Bookman Old Style"/>
        </w:rPr>
        <w:t xml:space="preserve">. </w:t>
      </w:r>
    </w:p>
    <w:p w:rsidR="005C7414" w:rsidRDefault="002E036E" w:rsidP="002E036E">
      <w:pPr>
        <w:ind w:left="0"/>
        <w:jc w:val="both"/>
        <w:rPr>
          <w:rFonts w:ascii="Bookman Old Style" w:hAnsi="Bookman Old Style"/>
        </w:rPr>
      </w:pPr>
      <w:r w:rsidRPr="002E036E">
        <w:rPr>
          <w:rFonts w:ascii="Bookman Old Style" w:hAnsi="Bookman Old Style"/>
        </w:rPr>
        <w:br/>
        <w:t xml:space="preserve">La respuesta a los comentarios recibidos y los análisis de la CREG que sustentan las decisiones que aquí se adoptan, se presentan </w:t>
      </w:r>
      <w:r w:rsidRPr="00722E22">
        <w:rPr>
          <w:rFonts w:ascii="Bookman Old Style" w:hAnsi="Bookman Old Style"/>
        </w:rPr>
        <w:t>en el Documento CREG</w:t>
      </w:r>
      <w:r w:rsidRPr="005C7414">
        <w:rPr>
          <w:rFonts w:ascii="Bookman Old Style" w:hAnsi="Bookman Old Style"/>
        </w:rPr>
        <w:t xml:space="preserve"> </w:t>
      </w:r>
      <w:r w:rsidR="00722E22">
        <w:rPr>
          <w:rFonts w:ascii="Bookman Old Style" w:hAnsi="Bookman Old Style"/>
        </w:rPr>
        <w:t>087</w:t>
      </w:r>
      <w:r w:rsidRPr="005C7414">
        <w:rPr>
          <w:rFonts w:ascii="Bookman Old Style" w:hAnsi="Bookman Old Style"/>
        </w:rPr>
        <w:t xml:space="preserve"> de 2019</w:t>
      </w:r>
      <w:r w:rsidRPr="002E036E">
        <w:rPr>
          <w:rFonts w:ascii="Bookman Old Style" w:hAnsi="Bookman Old Style"/>
        </w:rPr>
        <w:t xml:space="preserve"> que acompaña esta resolución.</w:t>
      </w:r>
    </w:p>
    <w:p w:rsidR="002B70E4" w:rsidRDefault="002E036E" w:rsidP="002E036E">
      <w:pPr>
        <w:ind w:left="0"/>
        <w:jc w:val="both"/>
        <w:rPr>
          <w:rFonts w:ascii="Bookman Old Style" w:hAnsi="Bookman Old Style"/>
        </w:rPr>
      </w:pPr>
      <w:r w:rsidRPr="002E036E">
        <w:rPr>
          <w:rFonts w:ascii="Bookman Old Style" w:hAnsi="Bookman Old Style"/>
        </w:rPr>
        <w:br/>
      </w:r>
      <w:r w:rsidR="00A51FD9" w:rsidRPr="002E036E">
        <w:rPr>
          <w:rFonts w:ascii="Bookman Old Style" w:hAnsi="Bookman Old Style"/>
        </w:rPr>
        <w:t xml:space="preserve">Conforme al Decreto </w:t>
      </w:r>
      <w:r w:rsidR="00A51FD9">
        <w:rPr>
          <w:rFonts w:ascii="Bookman Old Style" w:hAnsi="Bookman Old Style"/>
        </w:rPr>
        <w:t>1074</w:t>
      </w:r>
      <w:r w:rsidR="00A51FD9" w:rsidRPr="002E036E">
        <w:rPr>
          <w:rFonts w:ascii="Bookman Old Style" w:hAnsi="Bookman Old Style"/>
        </w:rPr>
        <w:t xml:space="preserve"> de 201</w:t>
      </w:r>
      <w:r w:rsidR="00A51FD9">
        <w:rPr>
          <w:rFonts w:ascii="Bookman Old Style" w:hAnsi="Bookman Old Style"/>
        </w:rPr>
        <w:t>5</w:t>
      </w:r>
      <w:r w:rsidR="00A51FD9" w:rsidRPr="002E036E">
        <w:rPr>
          <w:rFonts w:ascii="Bookman Old Style" w:hAnsi="Bookman Old Style"/>
        </w:rPr>
        <w:t xml:space="preserve"> y la Resolución SIC 44649 de 2010, la CREG dio respuesta al cuestionario adoptado por la Superintendencia de Industria y Comercio para la evaluación de la incidencia sobre la libre competencia del </w:t>
      </w:r>
      <w:r w:rsidR="00A51FD9" w:rsidRPr="002E036E">
        <w:rPr>
          <w:rFonts w:ascii="Bookman Old Style" w:hAnsi="Bookman Old Style"/>
        </w:rPr>
        <w:lastRenderedPageBreak/>
        <w:t xml:space="preserve">presente acto administrativo, el cual se encuentra en </w:t>
      </w:r>
      <w:r w:rsidR="00A51FD9" w:rsidRPr="00722E22">
        <w:rPr>
          <w:rFonts w:ascii="Bookman Old Style" w:hAnsi="Bookman Old Style"/>
        </w:rPr>
        <w:t xml:space="preserve">el Documento CREG </w:t>
      </w:r>
      <w:r w:rsidR="00722E22" w:rsidRPr="00722E22">
        <w:rPr>
          <w:rFonts w:ascii="Bookman Old Style" w:hAnsi="Bookman Old Style"/>
        </w:rPr>
        <w:t>087</w:t>
      </w:r>
      <w:r w:rsidR="00A51FD9" w:rsidRPr="00722E22">
        <w:rPr>
          <w:rFonts w:ascii="Bookman Old Style" w:hAnsi="Bookman Old Style"/>
        </w:rPr>
        <w:t xml:space="preserve"> de 2019. Como resultado del cuestionario se encue</w:t>
      </w:r>
      <w:r w:rsidR="00A51FD9" w:rsidRPr="002E036E">
        <w:rPr>
          <w:rFonts w:ascii="Bookman Old Style" w:hAnsi="Bookman Old Style"/>
        </w:rPr>
        <w:t xml:space="preserve">ntra que el contenido del presente acto administrativo </w:t>
      </w:r>
      <w:r w:rsidR="00A51FD9">
        <w:rPr>
          <w:rFonts w:ascii="Bookman Old Style" w:hAnsi="Bookman Old Style"/>
        </w:rPr>
        <w:t xml:space="preserve">puede tener </w:t>
      </w:r>
      <w:r w:rsidR="00A51FD9" w:rsidRPr="002E036E">
        <w:rPr>
          <w:rFonts w:ascii="Bookman Old Style" w:hAnsi="Bookman Old Style"/>
        </w:rPr>
        <w:t>incidencia en la libre competencia en los términos del artículo 7 de la Ley 1340 de 2009.</w:t>
      </w:r>
    </w:p>
    <w:p w:rsidR="00791EF8" w:rsidRDefault="002E036E" w:rsidP="00791EF8">
      <w:pPr>
        <w:ind w:left="0"/>
        <w:jc w:val="both"/>
        <w:rPr>
          <w:rFonts w:ascii="Bookman Old Style" w:hAnsi="Bookman Old Style"/>
        </w:rPr>
      </w:pPr>
      <w:r w:rsidRPr="002E036E">
        <w:rPr>
          <w:rFonts w:ascii="Bookman Old Style" w:hAnsi="Bookman Old Style"/>
        </w:rPr>
        <w:br/>
      </w:r>
      <w:r w:rsidR="00A02BB9">
        <w:rPr>
          <w:rFonts w:ascii="Bookman Old Style" w:hAnsi="Bookman Old Style"/>
        </w:rPr>
        <w:t>M</w:t>
      </w:r>
      <w:r w:rsidRPr="002E036E">
        <w:rPr>
          <w:rFonts w:ascii="Bookman Old Style" w:hAnsi="Bookman Old Style"/>
        </w:rPr>
        <w:t xml:space="preserve">ediante radicado </w:t>
      </w:r>
      <w:r w:rsidRPr="00E90A4C">
        <w:rPr>
          <w:rFonts w:ascii="Bookman Old Style" w:hAnsi="Bookman Old Style"/>
        </w:rPr>
        <w:t>CREG S-2019-</w:t>
      </w:r>
      <w:r w:rsidR="00E90A4C" w:rsidRPr="00E90A4C">
        <w:rPr>
          <w:rFonts w:ascii="Bookman Old Style" w:hAnsi="Bookman Old Style"/>
        </w:rPr>
        <w:t>004631</w:t>
      </w:r>
      <w:r w:rsidRPr="00E90A4C">
        <w:rPr>
          <w:rFonts w:ascii="Bookman Old Style" w:hAnsi="Bookman Old Style"/>
        </w:rPr>
        <w:t xml:space="preserve"> del </w:t>
      </w:r>
      <w:r w:rsidR="00E90A4C" w:rsidRPr="00E90A4C">
        <w:rPr>
          <w:rFonts w:ascii="Bookman Old Style" w:hAnsi="Bookman Old Style"/>
        </w:rPr>
        <w:t>16</w:t>
      </w:r>
      <w:r w:rsidRPr="00E90A4C">
        <w:rPr>
          <w:rFonts w:ascii="Bookman Old Style" w:hAnsi="Bookman Old Style"/>
        </w:rPr>
        <w:t xml:space="preserve"> de </w:t>
      </w:r>
      <w:r w:rsidR="00E90A4C" w:rsidRPr="00E90A4C">
        <w:rPr>
          <w:rFonts w:ascii="Bookman Old Style" w:hAnsi="Bookman Old Style"/>
        </w:rPr>
        <w:t>octubre</w:t>
      </w:r>
      <w:r w:rsidRPr="00E90A4C">
        <w:rPr>
          <w:rFonts w:ascii="Bookman Old Style" w:hAnsi="Bookman Old Style"/>
        </w:rPr>
        <w:t xml:space="preserve"> de 2019</w:t>
      </w:r>
      <w:r w:rsidR="008B0A03">
        <w:rPr>
          <w:rFonts w:ascii="Bookman Old Style" w:hAnsi="Bookman Old Style"/>
        </w:rPr>
        <w:t xml:space="preserve"> se</w:t>
      </w:r>
      <w:r w:rsidRPr="00E90A4C">
        <w:rPr>
          <w:rFonts w:ascii="Bookman Old Style" w:hAnsi="Bookman Old Style"/>
        </w:rPr>
        <w:t xml:space="preserve"> remitió</w:t>
      </w:r>
      <w:r w:rsidRPr="002E036E">
        <w:rPr>
          <w:rFonts w:ascii="Bookman Old Style" w:hAnsi="Bookman Old Style"/>
        </w:rPr>
        <w:t xml:space="preserve"> para concepto de la Superintendencia de Industria y Comercio</w:t>
      </w:r>
      <w:r w:rsidR="008B0A03">
        <w:rPr>
          <w:rFonts w:ascii="Bookman Old Style" w:hAnsi="Bookman Old Style"/>
        </w:rPr>
        <w:t xml:space="preserve"> SIC</w:t>
      </w:r>
      <w:r w:rsidRPr="002E036E">
        <w:rPr>
          <w:rFonts w:ascii="Bookman Old Style" w:hAnsi="Bookman Old Style"/>
        </w:rPr>
        <w:t>, el proyecto de resolución “</w:t>
      </w:r>
      <w:r w:rsidR="00791EF8">
        <w:rPr>
          <w:rFonts w:ascii="Bookman Old Style" w:hAnsi="Bookman Old Style"/>
        </w:rPr>
        <w:t>F</w:t>
      </w:r>
      <w:r w:rsidR="00791EF8" w:rsidRPr="002E036E">
        <w:rPr>
          <w:rFonts w:ascii="Bookman Old Style" w:hAnsi="Bookman Old Style"/>
        </w:rPr>
        <w:t>órmula de traslado</w:t>
      </w:r>
      <w:r w:rsidR="00A02BB9">
        <w:rPr>
          <w:rFonts w:ascii="Bookman Old Style" w:hAnsi="Bookman Old Style"/>
        </w:rPr>
        <w:t xml:space="preserve"> </w:t>
      </w:r>
      <w:r w:rsidR="00A02BB9" w:rsidRPr="002E036E">
        <w:rPr>
          <w:rFonts w:ascii="Bookman Old Style" w:hAnsi="Bookman Old Style"/>
        </w:rPr>
        <w:t>en el componente de compras de energía al usuario regulado</w:t>
      </w:r>
      <w:r w:rsidR="00791EF8" w:rsidRPr="002E036E">
        <w:rPr>
          <w:rFonts w:ascii="Bookman Old Style" w:hAnsi="Bookman Old Style"/>
        </w:rPr>
        <w:t xml:space="preserve"> de los precios de</w:t>
      </w:r>
      <w:r w:rsidR="00791EF8">
        <w:rPr>
          <w:rFonts w:ascii="Bookman Old Style" w:hAnsi="Bookman Old Style"/>
        </w:rPr>
        <w:t>l</w:t>
      </w:r>
      <w:r w:rsidR="00791EF8" w:rsidRPr="002E036E">
        <w:rPr>
          <w:rFonts w:ascii="Bookman Old Style" w:hAnsi="Bookman Old Style"/>
        </w:rPr>
        <w:t xml:space="preserve"> mecanismo de contratación establecido en la Resolución 40</w:t>
      </w:r>
      <w:r w:rsidR="00791EF8">
        <w:rPr>
          <w:rFonts w:ascii="Bookman Old Style" w:hAnsi="Bookman Old Style"/>
        </w:rPr>
        <w:t xml:space="preserve">590 </w:t>
      </w:r>
      <w:r w:rsidR="00791EF8" w:rsidRPr="002E036E">
        <w:rPr>
          <w:rFonts w:ascii="Bookman Old Style" w:hAnsi="Bookman Old Style"/>
        </w:rPr>
        <w:t>de 201</w:t>
      </w:r>
      <w:r w:rsidR="00791EF8">
        <w:rPr>
          <w:rFonts w:ascii="Bookman Old Style" w:hAnsi="Bookman Old Style"/>
        </w:rPr>
        <w:t>9</w:t>
      </w:r>
      <w:r w:rsidR="00791EF8" w:rsidRPr="002E036E">
        <w:rPr>
          <w:rFonts w:ascii="Bookman Old Style" w:hAnsi="Bookman Old Style"/>
        </w:rPr>
        <w:t xml:space="preserve"> del Ministerio de Minas y Energía</w:t>
      </w:r>
      <w:r w:rsidR="00791EF8">
        <w:rPr>
          <w:rFonts w:ascii="Bookman Old Style" w:hAnsi="Bookman Old Style"/>
        </w:rPr>
        <w:t>”.</w:t>
      </w:r>
    </w:p>
    <w:p w:rsidR="00E90A4C" w:rsidRPr="00155E9A" w:rsidRDefault="00E90A4C" w:rsidP="00791EF8">
      <w:pPr>
        <w:ind w:left="0"/>
        <w:jc w:val="both"/>
        <w:rPr>
          <w:rFonts w:ascii="Bookman Old Style" w:hAnsi="Bookman Old Style"/>
        </w:rPr>
      </w:pPr>
    </w:p>
    <w:p w:rsidR="00E90A4C" w:rsidRPr="008B0A03" w:rsidRDefault="00E90A4C" w:rsidP="00E90A4C">
      <w:pPr>
        <w:ind w:left="0"/>
        <w:jc w:val="both"/>
        <w:rPr>
          <w:rFonts w:ascii="Bookman Old Style" w:hAnsi="Bookman Old Style"/>
        </w:rPr>
      </w:pPr>
      <w:r w:rsidRPr="008B0A03">
        <w:rPr>
          <w:rFonts w:ascii="Bookman Old Style" w:hAnsi="Bookman Old Style"/>
        </w:rPr>
        <w:t>La SIC dio respuesta a la CREG mediante el radicado 19-184590-1-0 del 30 de septiembre de 2019, en donde concluye lo siguiente: “4. RECOMENDACIONES: Con fundamento en lo expuesto, esta Superintendencia recomienda a la Comisión de Regulación de Energía y Gas:</w:t>
      </w:r>
    </w:p>
    <w:p w:rsidR="00544055" w:rsidRPr="008B0A03" w:rsidRDefault="00544055" w:rsidP="00E90A4C">
      <w:pPr>
        <w:ind w:left="0"/>
        <w:jc w:val="both"/>
        <w:rPr>
          <w:rFonts w:ascii="Bookman Old Style" w:hAnsi="Bookman Old Style"/>
        </w:rPr>
      </w:pPr>
    </w:p>
    <w:p w:rsidR="00E90A4C" w:rsidRPr="008B0A03" w:rsidRDefault="00E90A4C" w:rsidP="00E90A4C">
      <w:pPr>
        <w:pStyle w:val="Prrafodelista"/>
        <w:numPr>
          <w:ilvl w:val="0"/>
          <w:numId w:val="46"/>
        </w:numPr>
        <w:jc w:val="both"/>
        <w:rPr>
          <w:rFonts w:ascii="Bookman Old Style" w:hAnsi="Bookman Old Style"/>
          <w:sz w:val="24"/>
          <w:szCs w:val="24"/>
        </w:rPr>
      </w:pPr>
      <w:r w:rsidRPr="008B0A03">
        <w:rPr>
          <w:rFonts w:ascii="Bookman Old Style" w:hAnsi="Bookman Old Style"/>
          <w:sz w:val="24"/>
          <w:szCs w:val="24"/>
        </w:rPr>
        <w:t xml:space="preserve">Incluir el subíndice </w:t>
      </w:r>
      <w:r w:rsidRPr="008B0A03">
        <w:rPr>
          <w:rFonts w:ascii="Bookman Old Style" w:hAnsi="Bookman Old Style"/>
          <w:i/>
          <w:sz w:val="24"/>
          <w:szCs w:val="24"/>
        </w:rPr>
        <w:t>i</w:t>
      </w:r>
      <w:r w:rsidRPr="008B0A03">
        <w:rPr>
          <w:rFonts w:ascii="Bookman Old Style" w:hAnsi="Bookman Old Style"/>
          <w:sz w:val="24"/>
          <w:szCs w:val="24"/>
        </w:rPr>
        <w:t xml:space="preserve"> en el valor N de las expresiones, para evidenciar la variación correspondiente frente al número de contratos adjudicados para el comercializador.</w:t>
      </w:r>
    </w:p>
    <w:p w:rsidR="00E90A4C" w:rsidRPr="008B0A03" w:rsidRDefault="00E90A4C" w:rsidP="00E90A4C">
      <w:pPr>
        <w:pStyle w:val="Prrafodelista"/>
        <w:numPr>
          <w:ilvl w:val="0"/>
          <w:numId w:val="46"/>
        </w:numPr>
        <w:jc w:val="both"/>
        <w:rPr>
          <w:rFonts w:ascii="Bookman Old Style" w:hAnsi="Bookman Old Style"/>
          <w:sz w:val="24"/>
          <w:szCs w:val="24"/>
        </w:rPr>
      </w:pPr>
      <w:r w:rsidRPr="008B0A03">
        <w:rPr>
          <w:rFonts w:ascii="Bookman Old Style" w:hAnsi="Bookman Old Style"/>
          <w:sz w:val="24"/>
          <w:szCs w:val="24"/>
        </w:rPr>
        <w:t xml:space="preserve">Establecer una metodología de cálculo del valor </w:t>
      </w:r>
      <m:oMath>
        <m:r>
          <w:rPr>
            <w:rFonts w:ascii="Cambria Math" w:hAnsi="Cambria Math"/>
            <w:sz w:val="24"/>
            <w:szCs w:val="24"/>
          </w:rPr>
          <m:t>α</m:t>
        </m:r>
      </m:oMath>
      <w:r w:rsidRPr="008B0A03">
        <w:rPr>
          <w:rFonts w:ascii="Bookman Old Style" w:hAnsi="Bookman Old Style"/>
          <w:sz w:val="24"/>
          <w:szCs w:val="24"/>
        </w:rPr>
        <w:t xml:space="preserve"> para aquellos agentes que entren con posterioridad a enero de 2007.</w:t>
      </w:r>
    </w:p>
    <w:p w:rsidR="00E90A4C" w:rsidRPr="008B0A03" w:rsidRDefault="00E90A4C" w:rsidP="00E90A4C">
      <w:pPr>
        <w:pStyle w:val="Prrafodelista"/>
        <w:numPr>
          <w:ilvl w:val="0"/>
          <w:numId w:val="46"/>
        </w:numPr>
        <w:jc w:val="both"/>
        <w:rPr>
          <w:rFonts w:ascii="Bookman Old Style" w:hAnsi="Bookman Old Style"/>
          <w:sz w:val="24"/>
          <w:szCs w:val="24"/>
        </w:rPr>
      </w:pPr>
      <w:r w:rsidRPr="008B0A03">
        <w:rPr>
          <w:rFonts w:ascii="Bookman Old Style" w:hAnsi="Bookman Old Style"/>
          <w:sz w:val="24"/>
          <w:szCs w:val="24"/>
        </w:rPr>
        <w:t xml:space="preserve">Garantizar que todos los ponderadores utilizados para el cálculo de la fórmula propuesta para el valor </w:t>
      </w:r>
      <m:oMath>
        <m:sSub>
          <m:sSubPr>
            <m:ctrlPr>
              <w:rPr>
                <w:rFonts w:ascii="Cambria Math" w:hAnsi="Cambria Math"/>
                <w:i/>
                <w:color w:val="000000" w:themeColor="text1"/>
                <w:sz w:val="24"/>
                <w:szCs w:val="24"/>
              </w:rPr>
            </m:ctrlPr>
          </m:sSubPr>
          <m:e>
            <m:r>
              <w:rPr>
                <w:rFonts w:ascii="Cambria Math" w:hAnsi="Cambria Math"/>
                <w:color w:val="000000" w:themeColor="text1"/>
                <w:sz w:val="24"/>
                <w:szCs w:val="24"/>
              </w:rPr>
              <m:t>G</m:t>
            </m:r>
          </m:e>
          <m:sub>
            <m:r>
              <w:rPr>
                <w:rFonts w:ascii="Cambria Math" w:hAnsi="Cambria Math"/>
                <w:color w:val="000000" w:themeColor="text1"/>
                <w:sz w:val="24"/>
                <w:szCs w:val="24"/>
              </w:rPr>
              <m:t>m,i,j</m:t>
            </m:r>
          </m:sub>
        </m:sSub>
      </m:oMath>
      <w:r w:rsidRPr="008B0A03">
        <w:rPr>
          <w:rFonts w:ascii="Bookman Old Style" w:hAnsi="Bookman Old Style"/>
          <w:color w:val="000000" w:themeColor="text1"/>
          <w:sz w:val="24"/>
          <w:szCs w:val="24"/>
        </w:rPr>
        <w:t xml:space="preserve"> sumen 100%.</w:t>
      </w:r>
    </w:p>
    <w:p w:rsidR="00E90A4C" w:rsidRPr="008B0A03" w:rsidRDefault="00E90A4C" w:rsidP="00E90A4C">
      <w:pPr>
        <w:pStyle w:val="Prrafodelista"/>
        <w:numPr>
          <w:ilvl w:val="0"/>
          <w:numId w:val="46"/>
        </w:numPr>
        <w:jc w:val="both"/>
        <w:rPr>
          <w:rFonts w:ascii="Bookman Old Style" w:hAnsi="Bookman Old Style"/>
          <w:sz w:val="24"/>
          <w:szCs w:val="24"/>
        </w:rPr>
      </w:pPr>
      <w:r w:rsidRPr="008B0A03">
        <w:rPr>
          <w:rFonts w:ascii="Bookman Old Style" w:hAnsi="Bookman Old Style"/>
          <w:color w:val="000000" w:themeColor="text1"/>
          <w:sz w:val="24"/>
          <w:szCs w:val="24"/>
        </w:rPr>
        <w:t>Revisar de manera estructural la fórmula propuesta</w:t>
      </w:r>
      <w:r w:rsidRPr="008B0A03">
        <w:rPr>
          <w:rFonts w:ascii="Bookman Old Style" w:hAnsi="Bookman Old Style"/>
          <w:sz w:val="24"/>
          <w:szCs w:val="24"/>
        </w:rPr>
        <w:t xml:space="preserve"> para el valor </w:t>
      </w:r>
      <m:oMath>
        <m:sSub>
          <m:sSubPr>
            <m:ctrlPr>
              <w:rPr>
                <w:rFonts w:ascii="Cambria Math" w:hAnsi="Cambria Math"/>
                <w:i/>
                <w:color w:val="000000" w:themeColor="text1"/>
                <w:sz w:val="24"/>
                <w:szCs w:val="24"/>
              </w:rPr>
            </m:ctrlPr>
          </m:sSubPr>
          <m:e>
            <m:r>
              <w:rPr>
                <w:rFonts w:ascii="Cambria Math" w:hAnsi="Cambria Math"/>
                <w:color w:val="000000" w:themeColor="text1"/>
                <w:sz w:val="24"/>
                <w:szCs w:val="24"/>
              </w:rPr>
              <m:t>G</m:t>
            </m:r>
          </m:e>
          <m:sub>
            <m:r>
              <w:rPr>
                <w:rFonts w:ascii="Cambria Math" w:hAnsi="Cambria Math"/>
                <w:color w:val="000000" w:themeColor="text1"/>
                <w:sz w:val="24"/>
                <w:szCs w:val="24"/>
              </w:rPr>
              <m:t>m,i,j</m:t>
            </m:r>
          </m:sub>
        </m:sSub>
      </m:oMath>
      <w:r w:rsidRPr="008B0A03">
        <w:rPr>
          <w:rFonts w:ascii="Bookman Old Style" w:hAnsi="Bookman Old Style"/>
          <w:color w:val="000000" w:themeColor="text1"/>
          <w:sz w:val="24"/>
          <w:szCs w:val="24"/>
        </w:rPr>
        <w:t xml:space="preserve"> del mecanismo de remuneración de energía. Lo anterior, con el fin de simplificar las fórmulas, facilitar el entendimiento para todos los agentes y permitir la versatilidad de la fórmula de cara a la dinámica propia del mercado de energía.</w:t>
      </w:r>
      <w:r w:rsidRPr="008B0A03">
        <w:rPr>
          <w:rFonts w:ascii="Bookman Old Style" w:hAnsi="Bookman Old Style"/>
          <w:sz w:val="24"/>
          <w:szCs w:val="24"/>
        </w:rPr>
        <w:t xml:space="preserve"> (…)”</w:t>
      </w:r>
    </w:p>
    <w:p w:rsidR="00A42534" w:rsidRPr="008B0A03" w:rsidRDefault="00A42534" w:rsidP="00E90A4C">
      <w:pPr>
        <w:ind w:left="0"/>
        <w:jc w:val="both"/>
        <w:rPr>
          <w:rFonts w:ascii="Bookman Old Style" w:hAnsi="Bookman Old Style"/>
        </w:rPr>
      </w:pPr>
    </w:p>
    <w:p w:rsidR="00A42534" w:rsidRPr="008B0A03" w:rsidRDefault="00544055" w:rsidP="00E90A4C">
      <w:pPr>
        <w:ind w:left="0"/>
        <w:jc w:val="both"/>
        <w:rPr>
          <w:rFonts w:ascii="Bookman Old Style" w:hAnsi="Bookman Old Style"/>
        </w:rPr>
      </w:pPr>
      <w:r w:rsidRPr="008B0A03">
        <w:rPr>
          <w:rFonts w:ascii="Bookman Old Style" w:hAnsi="Bookman Old Style"/>
        </w:rPr>
        <w:t xml:space="preserve">Con respecto a la recomendación de la inclusión del indicador </w:t>
      </w:r>
      <w:r w:rsidRPr="008B0A03">
        <w:rPr>
          <w:rFonts w:ascii="Bookman Old Style" w:hAnsi="Bookman Old Style"/>
          <w:i/>
        </w:rPr>
        <w:t>i</w:t>
      </w:r>
      <w:r w:rsidRPr="008B0A03">
        <w:rPr>
          <w:rFonts w:ascii="Bookman Old Style" w:hAnsi="Bookman Old Style"/>
        </w:rPr>
        <w:t xml:space="preserve"> para el número </w:t>
      </w:r>
      <w:r w:rsidR="008B0A03" w:rsidRPr="008B0A03">
        <w:rPr>
          <w:rFonts w:ascii="Bookman Old Style" w:hAnsi="Bookman Old Style"/>
        </w:rPr>
        <w:t xml:space="preserve">total </w:t>
      </w:r>
      <w:r w:rsidRPr="008B0A03">
        <w:rPr>
          <w:rFonts w:ascii="Bookman Old Style" w:hAnsi="Bookman Old Style"/>
        </w:rPr>
        <w:t xml:space="preserve">de contratos adjudicados en la subasta </w:t>
      </w:r>
      <w:r w:rsidR="008B0A03" w:rsidRPr="008B0A03">
        <w:rPr>
          <w:rFonts w:ascii="Bookman Old Style" w:hAnsi="Bookman Old Style"/>
        </w:rPr>
        <w:t>(</w:t>
      </w:r>
      <w:r w:rsidRPr="008B0A03">
        <w:rPr>
          <w:rFonts w:ascii="Bookman Old Style" w:hAnsi="Bookman Old Style"/>
        </w:rPr>
        <w:t>N</w:t>
      </w:r>
      <w:r w:rsidR="008B0A03" w:rsidRPr="008B0A03">
        <w:rPr>
          <w:rFonts w:ascii="Bookman Old Style" w:hAnsi="Bookman Old Style"/>
        </w:rPr>
        <w:t>)</w:t>
      </w:r>
      <w:r w:rsidRPr="008B0A03">
        <w:rPr>
          <w:rFonts w:ascii="Bookman Old Style" w:hAnsi="Bookman Old Style"/>
        </w:rPr>
        <w:t>,</w:t>
      </w:r>
      <w:r w:rsidR="003A6389">
        <w:rPr>
          <w:rFonts w:ascii="Bookman Old Style" w:hAnsi="Bookman Old Style"/>
        </w:rPr>
        <w:t xml:space="preserve"> se aclara en la redacción de la fórmula que las sumatorias se deben realizar teniendo en cuenta todos los contratos adjudicados a cada comercializador</w:t>
      </w:r>
      <w:r w:rsidR="008B0A03" w:rsidRPr="008B0A03">
        <w:rPr>
          <w:rFonts w:ascii="Bookman Old Style" w:hAnsi="Bookman Old Style"/>
        </w:rPr>
        <w:t xml:space="preserve">. </w:t>
      </w:r>
    </w:p>
    <w:p w:rsidR="00544055" w:rsidRPr="00155E9A" w:rsidRDefault="00544055" w:rsidP="00E90A4C">
      <w:pPr>
        <w:ind w:left="0"/>
        <w:jc w:val="both"/>
        <w:rPr>
          <w:rFonts w:ascii="Bookman Old Style" w:hAnsi="Bookman Old Style"/>
          <w:highlight w:val="green"/>
        </w:rPr>
      </w:pPr>
    </w:p>
    <w:p w:rsidR="00F12950" w:rsidRPr="00FB56EC" w:rsidRDefault="00544055" w:rsidP="00F12950">
      <w:pPr>
        <w:ind w:left="0"/>
        <w:jc w:val="both"/>
        <w:rPr>
          <w:rFonts w:ascii="Bookman Old Style" w:hAnsi="Bookman Old Style"/>
        </w:rPr>
      </w:pPr>
      <w:r w:rsidRPr="00FB56EC">
        <w:rPr>
          <w:rFonts w:ascii="Bookman Old Style" w:hAnsi="Bookman Old Style"/>
        </w:rPr>
        <w:t xml:space="preserve">Con relación a la segunda </w:t>
      </w:r>
      <w:r w:rsidR="00F12950" w:rsidRPr="00FB56EC">
        <w:rPr>
          <w:rFonts w:ascii="Bookman Old Style" w:hAnsi="Bookman Old Style"/>
        </w:rPr>
        <w:t xml:space="preserve">y </w:t>
      </w:r>
      <w:r w:rsidR="00A736C3" w:rsidRPr="00FB56EC">
        <w:rPr>
          <w:rFonts w:ascii="Bookman Old Style" w:hAnsi="Bookman Old Style"/>
        </w:rPr>
        <w:t xml:space="preserve">a la </w:t>
      </w:r>
      <w:r w:rsidR="00F12950" w:rsidRPr="00FB56EC">
        <w:rPr>
          <w:rFonts w:ascii="Bookman Old Style" w:hAnsi="Bookman Old Style"/>
        </w:rPr>
        <w:t xml:space="preserve">tercera </w:t>
      </w:r>
      <w:r w:rsidRPr="00FB56EC">
        <w:rPr>
          <w:rFonts w:ascii="Bookman Old Style" w:hAnsi="Bookman Old Style"/>
        </w:rPr>
        <w:t xml:space="preserve">recomendación, la Comisión aclara que el presente acto no </w:t>
      </w:r>
      <w:r w:rsidR="00F12950" w:rsidRPr="00FB56EC">
        <w:rPr>
          <w:rFonts w:ascii="Bookman Old Style" w:hAnsi="Bookman Old Style"/>
        </w:rPr>
        <w:t xml:space="preserve">tiene como objeto </w:t>
      </w:r>
      <w:r w:rsidRPr="00FB56EC">
        <w:rPr>
          <w:rFonts w:ascii="Bookman Old Style" w:hAnsi="Bookman Old Style"/>
        </w:rPr>
        <w:t>modifica</w:t>
      </w:r>
      <w:r w:rsidR="00F12950" w:rsidRPr="00FB56EC">
        <w:rPr>
          <w:rFonts w:ascii="Bookman Old Style" w:hAnsi="Bookman Old Style"/>
        </w:rPr>
        <w:t>r</w:t>
      </w:r>
      <w:r w:rsidRPr="00FB56EC">
        <w:rPr>
          <w:rFonts w:ascii="Bookman Old Style" w:hAnsi="Bookman Old Style"/>
        </w:rPr>
        <w:t xml:space="preserve"> las señales regulatorias </w:t>
      </w:r>
      <w:r w:rsidR="00F12950" w:rsidRPr="00FB56EC">
        <w:rPr>
          <w:rFonts w:ascii="Bookman Old Style" w:hAnsi="Bookman Old Style"/>
        </w:rPr>
        <w:t>tarifarias</w:t>
      </w:r>
      <w:r w:rsidR="008B0A03" w:rsidRPr="00FB56EC">
        <w:rPr>
          <w:rFonts w:ascii="Bookman Old Style" w:hAnsi="Bookman Old Style"/>
        </w:rPr>
        <w:t xml:space="preserve"> que incluyen </w:t>
      </w:r>
      <w:r w:rsidR="00F12950" w:rsidRPr="00FB56EC">
        <w:rPr>
          <w:rFonts w:ascii="Bookman Old Style" w:hAnsi="Bookman Old Style"/>
        </w:rPr>
        <w:t xml:space="preserve">el factor </w:t>
      </w:r>
      <m:oMath>
        <m:r>
          <w:rPr>
            <w:rFonts w:ascii="Cambria Math" w:hAnsi="Cambria Math"/>
          </w:rPr>
          <m:t>α</m:t>
        </m:r>
      </m:oMath>
      <w:r w:rsidR="004F5841" w:rsidRPr="00FB56EC">
        <w:rPr>
          <w:rFonts w:ascii="Bookman Old Style" w:hAnsi="Bookman Old Style"/>
        </w:rPr>
        <w:t>,</w:t>
      </w:r>
      <w:r w:rsidR="00F12950" w:rsidRPr="00FB56EC">
        <w:rPr>
          <w:rFonts w:ascii="Bookman Old Style" w:hAnsi="Bookman Old Style"/>
        </w:rPr>
        <w:t xml:space="preserve"> </w:t>
      </w:r>
      <w:r w:rsidR="008B0A03" w:rsidRPr="00FB56EC">
        <w:rPr>
          <w:rFonts w:ascii="Bookman Old Style" w:hAnsi="Bookman Old Style"/>
        </w:rPr>
        <w:t>ni</w:t>
      </w:r>
      <w:r w:rsidR="00F12950" w:rsidRPr="00FB56EC">
        <w:rPr>
          <w:rFonts w:ascii="Bookman Old Style" w:hAnsi="Bookman Old Style"/>
        </w:rPr>
        <w:t xml:space="preserve"> </w:t>
      </w:r>
      <w:r w:rsidR="004F5841" w:rsidRPr="00FB56EC">
        <w:rPr>
          <w:rFonts w:ascii="Bookman Old Style" w:hAnsi="Bookman Old Style"/>
        </w:rPr>
        <w:t>los demás componentes de la fórmula</w:t>
      </w:r>
      <w:r w:rsidR="00A736C3" w:rsidRPr="00FB56EC">
        <w:rPr>
          <w:rFonts w:ascii="Bookman Old Style" w:hAnsi="Bookman Old Style"/>
        </w:rPr>
        <w:t>,</w:t>
      </w:r>
      <w:r w:rsidR="004F5841" w:rsidRPr="00FB56EC">
        <w:rPr>
          <w:rFonts w:ascii="Bookman Old Style" w:hAnsi="Bookman Old Style"/>
        </w:rPr>
        <w:t xml:space="preserve"> como lo son las compras en bolsa y </w:t>
      </w:r>
      <w:r w:rsidR="00F12950" w:rsidRPr="00FB56EC">
        <w:rPr>
          <w:rFonts w:ascii="Bookman Old Style" w:hAnsi="Bookman Old Style"/>
        </w:rPr>
        <w:t>la remuneración de excedentes de autogeneración a pequeña escala que se reglamentó a través de la Resolución CREG 030 de 2018</w:t>
      </w:r>
      <w:r w:rsidRPr="00FB56EC">
        <w:rPr>
          <w:rFonts w:ascii="Bookman Old Style" w:hAnsi="Bookman Old Style"/>
        </w:rPr>
        <w:t xml:space="preserve">. </w:t>
      </w:r>
    </w:p>
    <w:p w:rsidR="00F12950" w:rsidRPr="00155E9A" w:rsidRDefault="00F12950" w:rsidP="00F12950">
      <w:pPr>
        <w:ind w:left="0"/>
        <w:jc w:val="both"/>
        <w:rPr>
          <w:rFonts w:ascii="Bookman Old Style" w:hAnsi="Bookman Old Style"/>
          <w:highlight w:val="green"/>
        </w:rPr>
      </w:pPr>
    </w:p>
    <w:p w:rsidR="00F12950" w:rsidRDefault="00F12950" w:rsidP="00F12950">
      <w:pPr>
        <w:ind w:left="0"/>
        <w:jc w:val="both"/>
        <w:rPr>
          <w:rFonts w:ascii="Bookman Old Style" w:hAnsi="Bookman Old Style"/>
        </w:rPr>
      </w:pPr>
      <w:r w:rsidRPr="00FB56EC">
        <w:rPr>
          <w:rFonts w:ascii="Bookman Old Style" w:hAnsi="Bookman Old Style"/>
        </w:rPr>
        <w:t>En este sentido, la Comisión reitera que el objeto de esta resolución es dar cumplimiento a lo señalado en el artículo 2.2.3.8.7.6 del Decreto 1073 de 2015, en la que se establece que la CREG debe incluir en la fórmula tarifaria los precios de los contratos resultantes del mecanismo establecido en la Resolución 40590 de 2019 del Ministerio de Minas y Energía y que en cumplimiento de lo anterior</w:t>
      </w:r>
      <w:r w:rsidR="0024135D" w:rsidRPr="00FB56EC">
        <w:rPr>
          <w:rFonts w:ascii="Bookman Old Style" w:hAnsi="Bookman Old Style"/>
        </w:rPr>
        <w:t xml:space="preserve">, </w:t>
      </w:r>
      <w:r w:rsidR="00A736C3" w:rsidRPr="00FB56EC">
        <w:rPr>
          <w:rFonts w:ascii="Bookman Old Style" w:hAnsi="Bookman Old Style"/>
        </w:rPr>
        <w:t xml:space="preserve">en </w:t>
      </w:r>
      <w:r w:rsidR="0024135D" w:rsidRPr="00FB56EC">
        <w:rPr>
          <w:rFonts w:ascii="Bookman Old Style" w:hAnsi="Bookman Old Style"/>
        </w:rPr>
        <w:t>el presente acto</w:t>
      </w:r>
      <w:r w:rsidRPr="00FB56EC">
        <w:rPr>
          <w:rFonts w:ascii="Bookman Old Style" w:hAnsi="Bookman Old Style"/>
        </w:rPr>
        <w:t xml:space="preserve"> no se modifican las condiciones tarifarias vigentes, en las que aplica el factor </w:t>
      </w:r>
      <m:oMath>
        <m:r>
          <w:rPr>
            <w:rFonts w:ascii="Cambria Math" w:hAnsi="Cambria Math"/>
          </w:rPr>
          <m:t>α</m:t>
        </m:r>
      </m:oMath>
      <w:r w:rsidRPr="00FB56EC">
        <w:rPr>
          <w:rFonts w:ascii="Bookman Old Style" w:hAnsi="Bookman Old Style"/>
        </w:rPr>
        <w:t xml:space="preserve"> y los demás ponderadores. </w:t>
      </w:r>
    </w:p>
    <w:p w:rsidR="00722E22" w:rsidRPr="00FB56EC" w:rsidRDefault="00722E22" w:rsidP="00F12950">
      <w:pPr>
        <w:ind w:left="0"/>
        <w:jc w:val="both"/>
        <w:rPr>
          <w:rFonts w:ascii="Bookman Old Style" w:hAnsi="Bookman Old Style"/>
        </w:rPr>
      </w:pPr>
    </w:p>
    <w:p w:rsidR="00FB56EC" w:rsidRPr="00FB56EC" w:rsidRDefault="003A6389" w:rsidP="00F12950">
      <w:pPr>
        <w:ind w:left="0"/>
        <w:jc w:val="both"/>
        <w:rPr>
          <w:rFonts w:ascii="Bookman Old Style" w:hAnsi="Bookman Old Style"/>
        </w:rPr>
      </w:pPr>
      <w:r>
        <w:rPr>
          <w:rFonts w:ascii="Bookman Old Style" w:hAnsi="Bookman Old Style"/>
        </w:rPr>
        <w:t>No obstante lo anterior, v</w:t>
      </w:r>
      <w:r w:rsidR="0024135D" w:rsidRPr="00FB56EC">
        <w:rPr>
          <w:rFonts w:ascii="Bookman Old Style" w:hAnsi="Bookman Old Style"/>
        </w:rPr>
        <w:t>ale la pena señalar que</w:t>
      </w:r>
      <w:r>
        <w:rPr>
          <w:rFonts w:ascii="Bookman Old Style" w:hAnsi="Bookman Old Style"/>
        </w:rPr>
        <w:t xml:space="preserve">: i) el factor </w:t>
      </w:r>
      <m:oMath>
        <m:r>
          <w:rPr>
            <w:rFonts w:ascii="Cambria Math" w:hAnsi="Cambria Math"/>
          </w:rPr>
          <m:t>α</m:t>
        </m:r>
      </m:oMath>
      <w:r w:rsidR="00F749B3">
        <w:rPr>
          <w:rFonts w:ascii="Bookman Old Style" w:hAnsi="Bookman Old Style"/>
        </w:rPr>
        <w:t xml:space="preserve"> no afecta los precios de los contratos de la subasta del Ministerio de Minas y Energía, ii) el </w:t>
      </w:r>
      <w:r w:rsidR="00F749B3">
        <w:rPr>
          <w:rFonts w:ascii="Bookman Old Style" w:hAnsi="Bookman Old Style"/>
        </w:rPr>
        <w:lastRenderedPageBreak/>
        <w:t xml:space="preserve">factor </w:t>
      </w:r>
      <m:oMath>
        <m:r>
          <w:rPr>
            <w:rFonts w:ascii="Cambria Math" w:hAnsi="Cambria Math"/>
          </w:rPr>
          <m:t>α</m:t>
        </m:r>
      </m:oMath>
      <w:r w:rsidR="00F749B3">
        <w:rPr>
          <w:rFonts w:ascii="Bookman Old Style" w:hAnsi="Bookman Old Style"/>
        </w:rPr>
        <w:t xml:space="preserve"> que aplica cuando entra al mercado un nuevo comercializador que atiende demanda regulada sigue la fórmula determinada en la Resolución CREG 119 de 2009, así como lo dispuesto en la Resolución CREG 180 de 2014 en cuanto el costo de comercialización y iii)</w:t>
      </w:r>
      <w:r w:rsidR="0024135D" w:rsidRPr="00FB56EC">
        <w:rPr>
          <w:rFonts w:ascii="Bookman Old Style" w:hAnsi="Bookman Old Style"/>
        </w:rPr>
        <w:t xml:space="preserve"> la inclusión de la energía asociada a los contratos resultantes en la subasta del Ministerio de Minas y Energía, se encuentra limitada al 100% con los ponderadores </w:t>
      </w:r>
      <m:oMath>
        <m:r>
          <m:rPr>
            <m:lit/>
          </m:rPr>
          <w:rPr>
            <w:rFonts w:ascii="Cambria Math" w:hAnsi="Cambria Math"/>
          </w:rPr>
          <m:t xml:space="preserve"> </m:t>
        </m:r>
        <m:sSub>
          <m:sSubPr>
            <m:ctrlPr>
              <w:rPr>
                <w:rFonts w:ascii="Cambria Math" w:hAnsi="Cambria Math"/>
                <w:i/>
              </w:rPr>
            </m:ctrlPr>
          </m:sSubPr>
          <m:e>
            <m:r>
              <w:rPr>
                <w:rFonts w:ascii="Cambria Math" w:hAnsi="Cambria Math"/>
              </w:rPr>
              <m:t>ω</m:t>
            </m:r>
          </m:e>
          <m:sub>
            <m:r>
              <w:rPr>
                <w:rFonts w:ascii="Cambria Math" w:hAnsi="Cambria Math"/>
              </w:rPr>
              <m:t>m-1,i</m:t>
            </m:r>
          </m:sub>
        </m:sSub>
      </m:oMath>
      <w:r w:rsidR="0024135D" w:rsidRPr="00FB56EC">
        <w:rPr>
          <w:rFonts w:ascii="Bookman Old Style" w:hAnsi="Bookman Old Style"/>
        </w:rPr>
        <w:t xml:space="preserve"> y</w:t>
      </w:r>
      <m:oMath>
        <m:r>
          <m:rPr>
            <m:lit/>
          </m:rPr>
          <w:rPr>
            <w:rFonts w:ascii="Cambria Math" w:hAnsi="Cambria Math"/>
          </w:rPr>
          <m:t xml:space="preserve"> </m:t>
        </m:r>
        <m:sSub>
          <m:sSubPr>
            <m:ctrlPr>
              <w:rPr>
                <w:rFonts w:ascii="Cambria Math" w:hAnsi="Cambria Math"/>
                <w:i/>
              </w:rPr>
            </m:ctrlPr>
          </m:sSubPr>
          <m:e>
            <m:r>
              <w:rPr>
                <w:rFonts w:ascii="Cambria Math" w:hAnsi="Cambria Math"/>
              </w:rPr>
              <m:t>1-ω</m:t>
            </m:r>
          </m:e>
          <m:sub>
            <m:r>
              <w:rPr>
                <w:rFonts w:ascii="Cambria Math" w:hAnsi="Cambria Math"/>
              </w:rPr>
              <m:t>m-1,i</m:t>
            </m:r>
          </m:sub>
        </m:sSub>
      </m:oMath>
      <w:r w:rsidR="00F749B3">
        <w:rPr>
          <w:rFonts w:ascii="Bookman Old Style" w:hAnsi="Bookman Old Style"/>
        </w:rPr>
        <w:t>.</w:t>
      </w:r>
      <w:r w:rsidR="004F5841" w:rsidRPr="00FB56EC">
        <w:rPr>
          <w:rFonts w:ascii="Bookman Old Style" w:hAnsi="Bookman Old Style"/>
        </w:rPr>
        <w:t xml:space="preserve"> </w:t>
      </w:r>
    </w:p>
    <w:p w:rsidR="0024135D" w:rsidRPr="00155E9A" w:rsidRDefault="0024135D" w:rsidP="00F12950">
      <w:pPr>
        <w:ind w:left="0"/>
        <w:jc w:val="both"/>
        <w:rPr>
          <w:rFonts w:ascii="Bookman Old Style" w:hAnsi="Bookman Old Style"/>
          <w:highlight w:val="green"/>
        </w:rPr>
      </w:pPr>
    </w:p>
    <w:p w:rsidR="00FB56EC" w:rsidRPr="00C47DA4" w:rsidRDefault="0024135D" w:rsidP="00F12950">
      <w:pPr>
        <w:pStyle w:val="Prrafodelista"/>
        <w:tabs>
          <w:tab w:val="left" w:pos="0"/>
        </w:tabs>
        <w:ind w:left="0"/>
        <w:jc w:val="both"/>
        <w:rPr>
          <w:rFonts w:ascii="Bookman Old Style" w:hAnsi="Bookman Old Style"/>
          <w:sz w:val="24"/>
          <w:szCs w:val="24"/>
        </w:rPr>
      </w:pPr>
      <w:r w:rsidRPr="00C47DA4">
        <w:rPr>
          <w:rFonts w:ascii="Bookman Old Style" w:hAnsi="Bookman Old Style"/>
          <w:sz w:val="24"/>
          <w:szCs w:val="24"/>
        </w:rPr>
        <w:t xml:space="preserve">Para finalizar y dar respuesta a la cuarta recomendación, la CREG se permite señalar que todos los </w:t>
      </w:r>
      <w:r w:rsidR="00FB56EC" w:rsidRPr="00C47DA4">
        <w:rPr>
          <w:rFonts w:ascii="Bookman Old Style" w:hAnsi="Bookman Old Style"/>
          <w:sz w:val="24"/>
          <w:szCs w:val="24"/>
        </w:rPr>
        <w:t xml:space="preserve">elementos </w:t>
      </w:r>
      <w:r w:rsidRPr="00C47DA4">
        <w:rPr>
          <w:rFonts w:ascii="Bookman Old Style" w:hAnsi="Bookman Old Style"/>
          <w:sz w:val="24"/>
          <w:szCs w:val="24"/>
        </w:rPr>
        <w:t>de la fórmula tarifaria del componente de compras de energía (G) del costo unitario de prestación del servicio (CU) se encuentra</w:t>
      </w:r>
      <w:r w:rsidR="00A736C3" w:rsidRPr="00C47DA4">
        <w:rPr>
          <w:rFonts w:ascii="Bookman Old Style" w:hAnsi="Bookman Old Style"/>
          <w:sz w:val="24"/>
          <w:szCs w:val="24"/>
        </w:rPr>
        <w:t>n</w:t>
      </w:r>
      <w:r w:rsidRPr="00C47DA4">
        <w:rPr>
          <w:rFonts w:ascii="Bookman Old Style" w:hAnsi="Bookman Old Style"/>
          <w:sz w:val="24"/>
          <w:szCs w:val="24"/>
        </w:rPr>
        <w:t xml:space="preserve"> bajo análisis</w:t>
      </w:r>
      <w:r w:rsidR="00FB56EC" w:rsidRPr="00C47DA4">
        <w:rPr>
          <w:rFonts w:ascii="Bookman Old Style" w:hAnsi="Bookman Old Style"/>
          <w:sz w:val="24"/>
          <w:szCs w:val="24"/>
        </w:rPr>
        <w:t>, el cual</w:t>
      </w:r>
      <w:r w:rsidRPr="00C47DA4">
        <w:rPr>
          <w:rFonts w:ascii="Bookman Old Style" w:hAnsi="Bookman Old Style"/>
          <w:sz w:val="24"/>
          <w:szCs w:val="24"/>
        </w:rPr>
        <w:t xml:space="preserve"> </w:t>
      </w:r>
      <w:r w:rsidR="00A736C3" w:rsidRPr="00C47DA4">
        <w:rPr>
          <w:rFonts w:ascii="Bookman Old Style" w:hAnsi="Bookman Old Style"/>
          <w:sz w:val="24"/>
          <w:szCs w:val="24"/>
        </w:rPr>
        <w:t xml:space="preserve">hace </w:t>
      </w:r>
      <w:r w:rsidRPr="00C47DA4">
        <w:rPr>
          <w:rFonts w:ascii="Bookman Old Style" w:hAnsi="Bookman Old Style"/>
          <w:sz w:val="24"/>
          <w:szCs w:val="24"/>
        </w:rPr>
        <w:t>parte de la agenda regulatoria del año en curso.</w:t>
      </w:r>
      <w:r w:rsidR="004F5841" w:rsidRPr="00C47DA4">
        <w:rPr>
          <w:rFonts w:ascii="Bookman Old Style" w:hAnsi="Bookman Old Style"/>
          <w:sz w:val="24"/>
          <w:szCs w:val="24"/>
        </w:rPr>
        <w:t xml:space="preserve"> </w:t>
      </w:r>
    </w:p>
    <w:p w:rsidR="00FB56EC" w:rsidRPr="00C47DA4" w:rsidRDefault="00FB56EC" w:rsidP="00F12950">
      <w:pPr>
        <w:pStyle w:val="Prrafodelista"/>
        <w:tabs>
          <w:tab w:val="left" w:pos="0"/>
        </w:tabs>
        <w:ind w:left="0"/>
        <w:jc w:val="both"/>
        <w:rPr>
          <w:rFonts w:ascii="Bookman Old Style" w:hAnsi="Bookman Old Style"/>
          <w:sz w:val="24"/>
          <w:szCs w:val="24"/>
        </w:rPr>
      </w:pPr>
    </w:p>
    <w:p w:rsidR="00E90A4C" w:rsidRPr="00C435C3" w:rsidRDefault="00E90A4C" w:rsidP="00E90A4C">
      <w:pPr>
        <w:ind w:left="0"/>
        <w:jc w:val="both"/>
        <w:rPr>
          <w:rFonts w:ascii="Bookman Old Style" w:hAnsi="Bookman Old Style"/>
        </w:rPr>
      </w:pPr>
      <w:r w:rsidRPr="00E24F4A">
        <w:rPr>
          <w:rFonts w:ascii="Bookman Old Style" w:hAnsi="Bookman Old Style"/>
        </w:rPr>
        <w:t xml:space="preserve">La Comisión de Regulación de Energía y Gas, en su sesión </w:t>
      </w:r>
      <w:r w:rsidR="00722E22">
        <w:rPr>
          <w:rFonts w:ascii="Bookman Old Style" w:hAnsi="Bookman Old Style"/>
        </w:rPr>
        <w:t>949</w:t>
      </w:r>
      <w:r w:rsidRPr="00E24F4A">
        <w:rPr>
          <w:rFonts w:ascii="Bookman Old Style" w:hAnsi="Bookman Old Style"/>
        </w:rPr>
        <w:t xml:space="preserve"> del </w:t>
      </w:r>
      <w:r w:rsidR="00722E22">
        <w:rPr>
          <w:rFonts w:ascii="Bookman Old Style" w:hAnsi="Bookman Old Style"/>
        </w:rPr>
        <w:t>4</w:t>
      </w:r>
      <w:r w:rsidRPr="00E24F4A">
        <w:rPr>
          <w:rFonts w:ascii="Bookman Old Style" w:hAnsi="Bookman Old Style"/>
        </w:rPr>
        <w:t xml:space="preserve"> </w:t>
      </w:r>
      <w:r w:rsidRPr="00722E22">
        <w:rPr>
          <w:rFonts w:ascii="Bookman Old Style" w:hAnsi="Bookman Old Style"/>
        </w:rPr>
        <w:t xml:space="preserve">de </w:t>
      </w:r>
      <w:r w:rsidR="002861E1" w:rsidRPr="00722E22">
        <w:rPr>
          <w:rFonts w:ascii="Bookman Old Style" w:hAnsi="Bookman Old Style"/>
        </w:rPr>
        <w:t xml:space="preserve">octubre </w:t>
      </w:r>
      <w:r w:rsidRPr="00722E22">
        <w:rPr>
          <w:rFonts w:ascii="Bookman Old Style" w:hAnsi="Bookman Old Style"/>
        </w:rPr>
        <w:t>de 2019, acordó expedir la presente resolución</w:t>
      </w:r>
      <w:r w:rsidR="002861E1" w:rsidRPr="00722E22">
        <w:rPr>
          <w:rFonts w:ascii="Bookman Old Style" w:hAnsi="Bookman Old Style"/>
        </w:rPr>
        <w:t>.</w:t>
      </w:r>
    </w:p>
    <w:p w:rsidR="00B702B3" w:rsidRDefault="00B702B3" w:rsidP="00791EF8">
      <w:pPr>
        <w:ind w:left="0"/>
        <w:jc w:val="both"/>
        <w:rPr>
          <w:rFonts w:ascii="Bookman Old Style" w:hAnsi="Bookman Old Style"/>
        </w:rPr>
      </w:pPr>
    </w:p>
    <w:p w:rsidR="00415905" w:rsidRDefault="00415905" w:rsidP="00E74A13">
      <w:pPr>
        <w:ind w:left="0"/>
        <w:jc w:val="both"/>
        <w:rPr>
          <w:rFonts w:ascii="Bookman Old Style" w:hAnsi="Bookman Old Style" w:cs="Arial"/>
          <w:lang w:val="es-ES_tradnl"/>
        </w:rPr>
      </w:pPr>
    </w:p>
    <w:p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rsidR="00045D3D" w:rsidRDefault="00045D3D" w:rsidP="00045D3D">
      <w:pPr>
        <w:jc w:val="center"/>
        <w:rPr>
          <w:rFonts w:ascii="Bookman Old Style" w:hAnsi="Bookman Old Style"/>
        </w:rPr>
      </w:pPr>
    </w:p>
    <w:p w:rsidR="00791EF8" w:rsidRDefault="00FF07E5" w:rsidP="00791EF8">
      <w:pPr>
        <w:pStyle w:val="Prrafodelista"/>
        <w:numPr>
          <w:ilvl w:val="0"/>
          <w:numId w:val="33"/>
        </w:numPr>
        <w:tabs>
          <w:tab w:val="left" w:pos="0"/>
        </w:tabs>
        <w:ind w:left="0" w:firstLine="0"/>
        <w:jc w:val="both"/>
        <w:rPr>
          <w:rFonts w:ascii="Bookman Old Style" w:hAnsi="Bookman Old Style"/>
          <w:sz w:val="24"/>
        </w:rPr>
      </w:pPr>
      <w:r w:rsidRPr="00882C61">
        <w:rPr>
          <w:rFonts w:ascii="Bookman Old Style" w:hAnsi="Bookman Old Style" w:cs="Arial"/>
          <w:b/>
          <w:sz w:val="24"/>
          <w:szCs w:val="24"/>
          <w:lang w:val="es-ES_tradnl"/>
        </w:rPr>
        <w:t>Objeto</w:t>
      </w:r>
      <w:r w:rsidRPr="00882C61">
        <w:rPr>
          <w:rFonts w:ascii="Bookman Old Style" w:hAnsi="Bookman Old Style" w:cs="Arial"/>
          <w:sz w:val="24"/>
          <w:szCs w:val="24"/>
          <w:lang w:val="es-ES_tradnl"/>
        </w:rPr>
        <w:t>. E</w:t>
      </w:r>
      <w:r w:rsidRPr="00882C61">
        <w:rPr>
          <w:rFonts w:ascii="Bookman Old Style" w:hAnsi="Bookman Old Style"/>
          <w:sz w:val="24"/>
        </w:rPr>
        <w:t xml:space="preserve">n </w:t>
      </w:r>
      <w:r w:rsidR="00882C61">
        <w:rPr>
          <w:rFonts w:ascii="Bookman Old Style" w:hAnsi="Bookman Old Style"/>
          <w:sz w:val="24"/>
        </w:rPr>
        <w:t>cumplimiento de lo señalado en el artículo</w:t>
      </w:r>
      <w:r w:rsidR="00CB1407">
        <w:rPr>
          <w:rFonts w:ascii="Bookman Old Style" w:hAnsi="Bookman Old Style"/>
          <w:sz w:val="24"/>
        </w:rPr>
        <w:t xml:space="preserve"> 2.2.3.8.7.6 del Decreto 1073 de 2015</w:t>
      </w:r>
      <w:r w:rsidR="00882C61" w:rsidRPr="009B135D">
        <w:rPr>
          <w:rFonts w:ascii="Bookman Old Style" w:hAnsi="Bookman Old Style"/>
          <w:sz w:val="24"/>
        </w:rPr>
        <w:t xml:space="preserve">, en esta resolución se </w:t>
      </w:r>
      <w:r w:rsidR="00CB1407" w:rsidRPr="009B135D">
        <w:rPr>
          <w:rFonts w:ascii="Bookman Old Style" w:hAnsi="Bookman Old Style"/>
          <w:sz w:val="24"/>
        </w:rPr>
        <w:t>establece</w:t>
      </w:r>
      <w:r w:rsidR="00882C61" w:rsidRPr="009B135D">
        <w:rPr>
          <w:rFonts w:ascii="Bookman Old Style" w:hAnsi="Bookman Old Style"/>
          <w:sz w:val="24"/>
        </w:rPr>
        <w:t xml:space="preserve"> la fórmula de traslado </w:t>
      </w:r>
      <w:r w:rsidR="00EB4AFA" w:rsidRPr="009B135D">
        <w:rPr>
          <w:rFonts w:ascii="Bookman Old Style" w:hAnsi="Bookman Old Style"/>
          <w:sz w:val="24"/>
        </w:rPr>
        <w:t>en el componente de compras de energía (G) en el costo unitario de prestación del servicio al usuario regulado (CU)</w:t>
      </w:r>
      <w:r w:rsidR="00EB4AFA">
        <w:rPr>
          <w:rFonts w:ascii="Bookman Old Style" w:hAnsi="Bookman Old Style"/>
          <w:sz w:val="24"/>
        </w:rPr>
        <w:t xml:space="preserve"> </w:t>
      </w:r>
      <w:r w:rsidR="00882C61" w:rsidRPr="009B135D">
        <w:rPr>
          <w:rFonts w:ascii="Bookman Old Style" w:hAnsi="Bookman Old Style"/>
          <w:sz w:val="24"/>
        </w:rPr>
        <w:t xml:space="preserve">de los precios </w:t>
      </w:r>
      <w:r w:rsidR="00CB1407" w:rsidRPr="009B135D">
        <w:rPr>
          <w:rFonts w:ascii="Bookman Old Style" w:hAnsi="Bookman Old Style"/>
          <w:sz w:val="24"/>
        </w:rPr>
        <w:t xml:space="preserve">de los contratos </w:t>
      </w:r>
      <w:r w:rsidR="00882C61" w:rsidRPr="009B135D">
        <w:rPr>
          <w:rFonts w:ascii="Bookman Old Style" w:hAnsi="Bookman Old Style"/>
          <w:sz w:val="24"/>
        </w:rPr>
        <w:t xml:space="preserve">resultantes </w:t>
      </w:r>
      <w:r w:rsidR="00EB4AFA">
        <w:rPr>
          <w:rFonts w:ascii="Bookman Old Style" w:hAnsi="Bookman Old Style"/>
          <w:sz w:val="24"/>
        </w:rPr>
        <w:t>del</w:t>
      </w:r>
      <w:r w:rsidR="00882C61" w:rsidRPr="009B135D">
        <w:rPr>
          <w:rFonts w:ascii="Bookman Old Style" w:hAnsi="Bookman Old Style"/>
          <w:sz w:val="24"/>
        </w:rPr>
        <w:t xml:space="preserve"> mecanismo </w:t>
      </w:r>
      <w:r w:rsidR="00CB1407" w:rsidRPr="009B135D">
        <w:rPr>
          <w:rFonts w:ascii="Bookman Old Style" w:hAnsi="Bookman Old Style"/>
          <w:sz w:val="24"/>
        </w:rPr>
        <w:t xml:space="preserve">establecido en la </w:t>
      </w:r>
      <w:r w:rsidR="00CB1407" w:rsidRPr="00034B45">
        <w:rPr>
          <w:rFonts w:ascii="Bookman Old Style" w:hAnsi="Bookman Old Style"/>
          <w:sz w:val="24"/>
        </w:rPr>
        <w:t xml:space="preserve">Resolución </w:t>
      </w:r>
      <w:r w:rsidR="009B135D" w:rsidRPr="00034B45">
        <w:rPr>
          <w:rFonts w:ascii="Bookman Old Style" w:hAnsi="Bookman Old Style"/>
          <w:sz w:val="24"/>
        </w:rPr>
        <w:t>40590</w:t>
      </w:r>
      <w:r w:rsidR="00CB1407" w:rsidRPr="00034B45">
        <w:rPr>
          <w:rFonts w:ascii="Bookman Old Style" w:hAnsi="Bookman Old Style"/>
          <w:sz w:val="24"/>
        </w:rPr>
        <w:t xml:space="preserve"> de 2019</w:t>
      </w:r>
      <w:r w:rsidR="0033702A">
        <w:rPr>
          <w:rFonts w:ascii="Bookman Old Style" w:hAnsi="Bookman Old Style"/>
          <w:sz w:val="24"/>
        </w:rPr>
        <w:t xml:space="preserve"> del Ministerio de Minas y Energía</w:t>
      </w:r>
      <w:r w:rsidRPr="009B135D">
        <w:rPr>
          <w:rFonts w:ascii="Bookman Old Style" w:hAnsi="Bookman Old Style"/>
          <w:sz w:val="24"/>
        </w:rPr>
        <w:t xml:space="preserve">. </w:t>
      </w:r>
    </w:p>
    <w:p w:rsidR="00791EF8" w:rsidRDefault="00791EF8" w:rsidP="00791EF8">
      <w:pPr>
        <w:pStyle w:val="Prrafodelista"/>
        <w:tabs>
          <w:tab w:val="left" w:pos="0"/>
        </w:tabs>
        <w:ind w:left="0"/>
        <w:jc w:val="both"/>
        <w:rPr>
          <w:rFonts w:ascii="Bookman Old Style" w:hAnsi="Bookman Old Style"/>
          <w:sz w:val="24"/>
        </w:rPr>
      </w:pPr>
    </w:p>
    <w:p w:rsidR="00791EF8" w:rsidRDefault="00791EF8" w:rsidP="00791EF8">
      <w:pPr>
        <w:pStyle w:val="Prrafodelista"/>
        <w:numPr>
          <w:ilvl w:val="0"/>
          <w:numId w:val="33"/>
        </w:numPr>
        <w:tabs>
          <w:tab w:val="left" w:pos="0"/>
        </w:tabs>
        <w:ind w:left="0" w:firstLine="0"/>
        <w:jc w:val="both"/>
        <w:rPr>
          <w:rFonts w:ascii="Bookman Old Style" w:hAnsi="Bookman Old Style"/>
          <w:sz w:val="24"/>
        </w:rPr>
      </w:pPr>
      <w:r w:rsidRPr="00F26EB6">
        <w:rPr>
          <w:rFonts w:ascii="Bookman Old Style" w:hAnsi="Bookman Old Style" w:cs="Arial"/>
          <w:b/>
          <w:sz w:val="24"/>
          <w:szCs w:val="24"/>
          <w:lang w:val="es-ES_tradnl"/>
        </w:rPr>
        <w:t>Reconocimiento de costos agregados en la fórmula tarifaria para el usuario regulado.</w:t>
      </w:r>
      <w:r w:rsidRPr="00791EF8">
        <w:rPr>
          <w:rFonts w:ascii="Bookman Old Style" w:hAnsi="Bookman Old Style"/>
        </w:rPr>
        <w:t xml:space="preserve"> </w:t>
      </w:r>
      <w:r w:rsidRPr="00791EF8">
        <w:rPr>
          <w:rFonts w:ascii="Bookman Old Style" w:hAnsi="Bookman Old Style"/>
          <w:sz w:val="24"/>
        </w:rPr>
        <w:t xml:space="preserve">Los comercializadores que atienden demanda regulada y que suscriban contratos resultantes de la subasta de la que trata la Resolución 40590 de 2019 </w:t>
      </w:r>
      <w:r w:rsidR="0033702A">
        <w:rPr>
          <w:rFonts w:ascii="Bookman Old Style" w:hAnsi="Bookman Old Style"/>
          <w:sz w:val="24"/>
        </w:rPr>
        <w:t>del Ministerio de Minas y Energía</w:t>
      </w:r>
      <w:r w:rsidR="00EB4AFA">
        <w:rPr>
          <w:rFonts w:ascii="Bookman Old Style" w:hAnsi="Bookman Old Style"/>
          <w:sz w:val="24"/>
        </w:rPr>
        <w:t>,</w:t>
      </w:r>
      <w:r w:rsidR="0033702A">
        <w:rPr>
          <w:rFonts w:ascii="Bookman Old Style" w:hAnsi="Bookman Old Style"/>
          <w:sz w:val="24"/>
        </w:rPr>
        <w:t xml:space="preserve"> </w:t>
      </w:r>
      <w:r w:rsidRPr="00791EF8">
        <w:rPr>
          <w:rFonts w:ascii="Bookman Old Style" w:hAnsi="Bookman Old Style"/>
          <w:sz w:val="24"/>
        </w:rPr>
        <w:t xml:space="preserve">pueden trasladar los precios de estos contratos en </w:t>
      </w:r>
      <w:r w:rsidRPr="00F26EB6">
        <w:rPr>
          <w:rFonts w:ascii="Bookman Old Style" w:hAnsi="Bookman Old Style"/>
          <w:sz w:val="24"/>
        </w:rPr>
        <w:t xml:space="preserve">el componente de costo de energía (G) del costo unitario de prestación del servicio (CU), siempre que se hayan cumplido las condiciones de competencia establecidas </w:t>
      </w:r>
      <w:r w:rsidR="00EB4AFA">
        <w:rPr>
          <w:rFonts w:ascii="Bookman Old Style" w:hAnsi="Bookman Old Style"/>
          <w:sz w:val="24"/>
        </w:rPr>
        <w:t>en la</w:t>
      </w:r>
      <w:r w:rsidRPr="00F26EB6">
        <w:rPr>
          <w:rFonts w:ascii="Bookman Old Style" w:hAnsi="Bookman Old Style"/>
          <w:sz w:val="24"/>
        </w:rPr>
        <w:t xml:space="preserve"> </w:t>
      </w:r>
      <w:r w:rsidRPr="00DD438F">
        <w:rPr>
          <w:rFonts w:ascii="Bookman Old Style" w:hAnsi="Bookman Old Style"/>
          <w:sz w:val="24"/>
        </w:rPr>
        <w:t xml:space="preserve">Resolución CREG </w:t>
      </w:r>
      <w:r w:rsidR="004D347A" w:rsidRPr="00DD438F">
        <w:rPr>
          <w:rFonts w:ascii="Bookman Old Style" w:hAnsi="Bookman Old Style"/>
          <w:sz w:val="24"/>
        </w:rPr>
        <w:t xml:space="preserve">106 </w:t>
      </w:r>
      <w:r w:rsidRPr="00DD438F">
        <w:rPr>
          <w:rFonts w:ascii="Bookman Old Style" w:hAnsi="Bookman Old Style"/>
          <w:sz w:val="24"/>
        </w:rPr>
        <w:t>de 2019</w:t>
      </w:r>
      <w:r w:rsidRPr="00791EF8">
        <w:rPr>
          <w:rFonts w:ascii="Bookman Old Style" w:hAnsi="Bookman Old Style"/>
          <w:sz w:val="24"/>
        </w:rPr>
        <w:t>.</w:t>
      </w:r>
    </w:p>
    <w:p w:rsidR="00791EF8" w:rsidRPr="00791EF8" w:rsidRDefault="00791EF8" w:rsidP="00791EF8">
      <w:pPr>
        <w:pStyle w:val="Prrafodelista"/>
        <w:rPr>
          <w:rFonts w:ascii="Bookman Old Style" w:hAnsi="Bookman Old Style"/>
          <w:b/>
          <w:sz w:val="24"/>
        </w:rPr>
      </w:pPr>
    </w:p>
    <w:p w:rsidR="00CB1407" w:rsidRPr="0033702A" w:rsidRDefault="00BB673D" w:rsidP="00791EF8">
      <w:pPr>
        <w:pStyle w:val="Prrafodelista"/>
        <w:numPr>
          <w:ilvl w:val="0"/>
          <w:numId w:val="33"/>
        </w:numPr>
        <w:tabs>
          <w:tab w:val="left" w:pos="0"/>
        </w:tabs>
        <w:ind w:left="0" w:firstLine="0"/>
        <w:jc w:val="both"/>
        <w:rPr>
          <w:rFonts w:ascii="Bookman Old Style" w:hAnsi="Bookman Old Style"/>
          <w:sz w:val="24"/>
        </w:rPr>
      </w:pPr>
      <w:r w:rsidRPr="00791EF8">
        <w:rPr>
          <w:rFonts w:ascii="Bookman Old Style" w:hAnsi="Bookman Old Style"/>
          <w:b/>
          <w:sz w:val="24"/>
        </w:rPr>
        <w:t>Fórmula de traslado</w:t>
      </w:r>
      <w:r w:rsidR="00CB1407" w:rsidRPr="00791EF8">
        <w:rPr>
          <w:rFonts w:ascii="Bookman Old Style" w:hAnsi="Bookman Old Style"/>
          <w:b/>
          <w:sz w:val="24"/>
        </w:rPr>
        <w:t xml:space="preserve">. </w:t>
      </w:r>
      <w:r w:rsidR="00CB1407" w:rsidRPr="00791EF8">
        <w:rPr>
          <w:rFonts w:ascii="Bookman Old Style" w:hAnsi="Bookman Old Style"/>
          <w:sz w:val="24"/>
        </w:rPr>
        <w:t xml:space="preserve">El traslado de los precios de los contratos resultantes de la subasta reglamentada con la Resolución </w:t>
      </w:r>
      <w:r w:rsidR="007C0C8B" w:rsidRPr="00791EF8">
        <w:rPr>
          <w:rFonts w:ascii="Bookman Old Style" w:hAnsi="Bookman Old Style"/>
          <w:sz w:val="24"/>
        </w:rPr>
        <w:t>4059</w:t>
      </w:r>
      <w:r w:rsidR="00895819" w:rsidRPr="00791EF8">
        <w:rPr>
          <w:rFonts w:ascii="Bookman Old Style" w:hAnsi="Bookman Old Style"/>
          <w:sz w:val="24"/>
        </w:rPr>
        <w:t>0</w:t>
      </w:r>
      <w:r w:rsidR="00CB1407" w:rsidRPr="00791EF8">
        <w:rPr>
          <w:rFonts w:ascii="Bookman Old Style" w:hAnsi="Bookman Old Style"/>
          <w:sz w:val="24"/>
        </w:rPr>
        <w:t xml:space="preserve"> de 2019 </w:t>
      </w:r>
      <w:r w:rsidR="00960CE9">
        <w:rPr>
          <w:rFonts w:ascii="Bookman Old Style" w:hAnsi="Bookman Old Style"/>
          <w:sz w:val="24"/>
        </w:rPr>
        <w:t xml:space="preserve">del Ministerio de Minas y Energía </w:t>
      </w:r>
      <w:r w:rsidR="00CB1407" w:rsidRPr="00791EF8">
        <w:rPr>
          <w:rFonts w:ascii="Bookman Old Style" w:hAnsi="Bookman Old Style"/>
          <w:sz w:val="24"/>
        </w:rPr>
        <w:t>se realizará de acuerdo con lo previsto en este artículo</w:t>
      </w:r>
      <w:r w:rsidR="00CB1407" w:rsidRPr="00791EF8">
        <w:rPr>
          <w:rFonts w:ascii="Bookman Old Style" w:hAnsi="Bookman Old Style"/>
          <w:sz w:val="24"/>
          <w:szCs w:val="24"/>
        </w:rPr>
        <w:t>.</w:t>
      </w:r>
    </w:p>
    <w:p w:rsidR="00CB1407" w:rsidRPr="00CD37C5" w:rsidRDefault="00CB1407" w:rsidP="00CB1407">
      <w:pPr>
        <w:tabs>
          <w:tab w:val="left" w:pos="0"/>
          <w:tab w:val="left" w:pos="284"/>
        </w:tabs>
        <w:ind w:left="0"/>
        <w:jc w:val="both"/>
        <w:rPr>
          <w:rFonts w:ascii="Bookman Old Style" w:hAnsi="Bookman Old Style"/>
          <w:szCs w:val="20"/>
          <w:lang w:val="es-CO"/>
        </w:rPr>
      </w:pPr>
    </w:p>
    <w:p w:rsidR="00CB1407" w:rsidRPr="00CD37C5" w:rsidRDefault="00CB1407" w:rsidP="00CB1407">
      <w:pPr>
        <w:pStyle w:val="Prrafodelista"/>
        <w:numPr>
          <w:ilvl w:val="0"/>
          <w:numId w:val="39"/>
        </w:numPr>
        <w:tabs>
          <w:tab w:val="left" w:pos="284"/>
          <w:tab w:val="left" w:pos="426"/>
        </w:tabs>
        <w:jc w:val="both"/>
        <w:rPr>
          <w:rFonts w:ascii="Bookman Old Style" w:hAnsi="Bookman Old Style"/>
          <w:sz w:val="24"/>
        </w:rPr>
      </w:pPr>
      <w:r w:rsidRPr="00CD37C5">
        <w:rPr>
          <w:rFonts w:ascii="Bookman Old Style" w:hAnsi="Bookman Old Style"/>
          <w:b/>
          <w:sz w:val="24"/>
        </w:rPr>
        <w:t>Determinación de la cantidad de energía asociada a los contratos de largo plazo</w:t>
      </w:r>
      <w:r w:rsidRPr="00CD37C5">
        <w:rPr>
          <w:rFonts w:ascii="Bookman Old Style" w:hAnsi="Bookman Old Style"/>
          <w:sz w:val="24"/>
        </w:rPr>
        <w:t xml:space="preserve">. </w:t>
      </w:r>
      <w:r w:rsidR="0001333F">
        <w:rPr>
          <w:rFonts w:ascii="Bookman Old Style" w:hAnsi="Bookman Old Style"/>
          <w:sz w:val="24"/>
        </w:rPr>
        <w:t>El</w:t>
      </w:r>
      <w:r w:rsidRPr="00CD37C5">
        <w:rPr>
          <w:rFonts w:ascii="Bookman Old Style" w:hAnsi="Bookman Old Style"/>
          <w:sz w:val="24"/>
        </w:rPr>
        <w:t xml:space="preserve"> comercializador </w:t>
      </w:r>
      <w:r>
        <w:rPr>
          <w:rFonts w:ascii="Bookman Old Style" w:hAnsi="Bookman Old Style"/>
          <w:sz w:val="24"/>
        </w:rPr>
        <w:t xml:space="preserve">que </w:t>
      </w:r>
      <w:r w:rsidR="005A6182">
        <w:rPr>
          <w:rFonts w:ascii="Bookman Old Style" w:hAnsi="Bookman Old Style"/>
          <w:sz w:val="24"/>
        </w:rPr>
        <w:t>suscriba</w:t>
      </w:r>
      <w:r>
        <w:rPr>
          <w:rFonts w:ascii="Bookman Old Style" w:hAnsi="Bookman Old Style"/>
          <w:sz w:val="24"/>
        </w:rPr>
        <w:t xml:space="preserve"> </w:t>
      </w:r>
      <w:r w:rsidRPr="00CD37C5">
        <w:rPr>
          <w:rFonts w:ascii="Bookman Old Style" w:hAnsi="Bookman Old Style"/>
          <w:sz w:val="24"/>
        </w:rPr>
        <w:t>contratos como resultado de la subasta del M</w:t>
      </w:r>
      <w:r>
        <w:rPr>
          <w:rFonts w:ascii="Bookman Old Style" w:hAnsi="Bookman Old Style"/>
          <w:sz w:val="24"/>
        </w:rPr>
        <w:t xml:space="preserve">inisterio de </w:t>
      </w:r>
      <w:r w:rsidRPr="00CD37C5">
        <w:rPr>
          <w:rFonts w:ascii="Bookman Old Style" w:hAnsi="Bookman Old Style"/>
          <w:sz w:val="24"/>
        </w:rPr>
        <w:t>M</w:t>
      </w:r>
      <w:r>
        <w:rPr>
          <w:rFonts w:ascii="Bookman Old Style" w:hAnsi="Bookman Old Style"/>
          <w:sz w:val="24"/>
        </w:rPr>
        <w:t xml:space="preserve">inas y </w:t>
      </w:r>
      <w:r w:rsidRPr="00CD37C5">
        <w:rPr>
          <w:rFonts w:ascii="Bookman Old Style" w:hAnsi="Bookman Old Style"/>
          <w:sz w:val="24"/>
        </w:rPr>
        <w:t>E</w:t>
      </w:r>
      <w:r>
        <w:rPr>
          <w:rFonts w:ascii="Bookman Old Style" w:hAnsi="Bookman Old Style"/>
          <w:sz w:val="24"/>
        </w:rPr>
        <w:t>nergía</w:t>
      </w:r>
      <w:r w:rsidRPr="00CD37C5">
        <w:rPr>
          <w:rFonts w:ascii="Bookman Old Style" w:hAnsi="Bookman Old Style"/>
          <w:sz w:val="24"/>
        </w:rPr>
        <w:t xml:space="preserve"> debe determinar la cantidad de energía que se asociará mensualmente en el componente </w:t>
      </w:r>
      <w:r w:rsidR="00B875BC">
        <w:rPr>
          <w:rFonts w:ascii="Bookman Old Style" w:hAnsi="Bookman Old Style"/>
          <w:sz w:val="24"/>
        </w:rPr>
        <w:t>de compras de energía (</w:t>
      </w:r>
      <w:r w:rsidRPr="00CD37C5">
        <w:rPr>
          <w:rFonts w:ascii="Bookman Old Style" w:hAnsi="Bookman Old Style"/>
          <w:sz w:val="24"/>
        </w:rPr>
        <w:t>G</w:t>
      </w:r>
      <w:r w:rsidR="00B875BC">
        <w:rPr>
          <w:rFonts w:ascii="Bookman Old Style" w:hAnsi="Bookman Old Style"/>
          <w:sz w:val="24"/>
        </w:rPr>
        <w:t>)</w:t>
      </w:r>
      <w:r w:rsidRPr="00CD37C5">
        <w:rPr>
          <w:rFonts w:ascii="Bookman Old Style" w:hAnsi="Bookman Old Style"/>
          <w:sz w:val="24"/>
        </w:rPr>
        <w:t xml:space="preserve"> correspondiente a estos contratos. Esta cantidad se calculará a partir de la siguiente expresión:</w:t>
      </w:r>
    </w:p>
    <w:p w:rsidR="00CB1407" w:rsidRPr="00C96A4D" w:rsidRDefault="00CB1407" w:rsidP="00CB1407">
      <w:pPr>
        <w:tabs>
          <w:tab w:val="left" w:pos="0"/>
          <w:tab w:val="left" w:pos="284"/>
        </w:tabs>
        <w:ind w:left="0"/>
        <w:jc w:val="both"/>
        <w:rPr>
          <w:rFonts w:ascii="Bookman Old Style" w:hAnsi="Bookman Old Style"/>
          <w:szCs w:val="20"/>
          <w:lang w:val="es-CO"/>
        </w:rPr>
      </w:pPr>
    </w:p>
    <w:p w:rsidR="00CB1407" w:rsidRPr="00C96A4D" w:rsidRDefault="00CB1407" w:rsidP="00CB1407">
      <w:pPr>
        <w:tabs>
          <w:tab w:val="left" w:pos="0"/>
          <w:tab w:val="left" w:pos="284"/>
        </w:tabs>
        <w:ind w:left="0"/>
        <w:jc w:val="both"/>
        <w:rPr>
          <w:rFonts w:ascii="Bookman Old Style" w:hAnsi="Bookman Old Style"/>
        </w:rPr>
      </w:pPr>
      <m:oMathPara>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m,i</m:t>
              </m:r>
            </m:sub>
          </m:sSub>
          <m:r>
            <w:rPr>
              <w:rFonts w:ascii="Cambria Math" w:hAnsi="Cambria Math"/>
            </w:rPr>
            <m:t>=</m:t>
          </m:r>
          <m:nary>
            <m:naryPr>
              <m:chr m:val="∑"/>
              <m:limLoc m:val="undOvr"/>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e>
          </m:nary>
        </m:oMath>
      </m:oMathPara>
    </w:p>
    <w:p w:rsidR="00722E22" w:rsidRDefault="00722E22" w:rsidP="00CB1407">
      <w:pPr>
        <w:ind w:left="0"/>
        <w:rPr>
          <w:rFonts w:ascii="Bookman Old Style" w:hAnsi="Bookman Old Style"/>
        </w:rPr>
      </w:pPr>
    </w:p>
    <w:p w:rsidR="00722E22" w:rsidRDefault="00722E22" w:rsidP="00CB1407">
      <w:pPr>
        <w:ind w:left="0"/>
        <w:rPr>
          <w:rFonts w:ascii="Bookman Old Style" w:hAnsi="Bookman Old Style"/>
        </w:rPr>
      </w:pPr>
    </w:p>
    <w:p w:rsidR="00CB1407" w:rsidRDefault="00CB1407" w:rsidP="00CB1407">
      <w:pPr>
        <w:ind w:left="0"/>
        <w:rPr>
          <w:rFonts w:ascii="Bookman Old Style" w:hAnsi="Bookman Old Style"/>
        </w:rPr>
      </w:pPr>
      <w:r>
        <w:rPr>
          <w:rFonts w:ascii="Bookman Old Style" w:hAnsi="Bookman Old Style"/>
        </w:rPr>
        <w:t>Donde:</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CB1407" w:rsidRPr="00A151DE" w:rsidTr="00CB1407">
        <w:tc>
          <w:tcPr>
            <w:tcW w:w="1413" w:type="dxa"/>
          </w:tcPr>
          <w:p w:rsidR="00CB1407" w:rsidRDefault="00CB1407" w:rsidP="00E625D8">
            <w:pPr>
              <w:tabs>
                <w:tab w:val="left" w:pos="0"/>
                <w:tab w:val="left" w:pos="284"/>
              </w:tabs>
              <w:spacing w:before="240"/>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m,i</m:t>
                  </m:r>
                </m:sub>
              </m:sSub>
            </m:oMath>
            <w:r>
              <w:rPr>
                <w:rFonts w:ascii="Bookman Old Style" w:hAnsi="Bookman Old Style"/>
              </w:rPr>
              <w:t>:</w:t>
            </w:r>
          </w:p>
        </w:tc>
        <w:tc>
          <w:tcPr>
            <w:tcW w:w="7933" w:type="dxa"/>
          </w:tcPr>
          <w:p w:rsidR="00CB1407" w:rsidRPr="00A322CF" w:rsidRDefault="00CB1407" w:rsidP="00E625D8">
            <w:pPr>
              <w:tabs>
                <w:tab w:val="left" w:pos="0"/>
                <w:tab w:val="left" w:pos="284"/>
              </w:tabs>
              <w:spacing w:before="240"/>
              <w:ind w:left="0"/>
              <w:jc w:val="both"/>
              <w:rPr>
                <w:rFonts w:ascii="Bookman Old Style" w:hAnsi="Bookman Old Style"/>
              </w:rPr>
            </w:pPr>
            <w:r>
              <w:rPr>
                <w:rFonts w:ascii="Bookman Old Style" w:hAnsi="Bookman Old Style"/>
              </w:rPr>
              <w:t xml:space="preserve">Energía mensual cubierta mediante los contratos de largo plazo adjudicados en la subasta del Ministerio de Minas y Energía al comercializador </w:t>
            </w:r>
            <w:r>
              <w:rPr>
                <w:rFonts w:ascii="Bookman Old Style" w:hAnsi="Bookman Old Style"/>
                <w:i/>
              </w:rPr>
              <w:t>i</w:t>
            </w:r>
            <w:r w:rsidR="00A322CF">
              <w:rPr>
                <w:rFonts w:ascii="Bookman Old Style" w:hAnsi="Bookman Old Style"/>
              </w:rPr>
              <w:t xml:space="preserve"> para el mes </w:t>
            </w:r>
            <w:r w:rsidR="00A322CF" w:rsidRPr="00A322CF">
              <w:rPr>
                <w:rFonts w:ascii="Bookman Old Style" w:hAnsi="Bookman Old Style"/>
                <w:i/>
              </w:rPr>
              <w:t>m</w:t>
            </w:r>
            <w:r w:rsidR="00A322CF">
              <w:rPr>
                <w:rFonts w:ascii="Bookman Old Style" w:hAnsi="Bookman Old Style"/>
              </w:rPr>
              <w:t>.</w:t>
            </w:r>
          </w:p>
        </w:tc>
      </w:tr>
      <w:tr w:rsidR="00CB1407" w:rsidRPr="00A151DE" w:rsidTr="00CB1407">
        <w:tc>
          <w:tcPr>
            <w:tcW w:w="1413" w:type="dxa"/>
          </w:tcPr>
          <w:p w:rsidR="00CB1407" w:rsidRDefault="009C2787" w:rsidP="00E625D8">
            <w:pPr>
              <w:tabs>
                <w:tab w:val="left" w:pos="0"/>
                <w:tab w:val="left" w:pos="284"/>
              </w:tabs>
              <w:spacing w:before="240"/>
              <w:ind w:left="0"/>
              <w:jc w:val="both"/>
              <w:rPr>
                <w:rFonts w:ascii="Bookman Old Style" w:hAnsi="Bookman Old Style"/>
              </w:rPr>
            </w:pPr>
            <m:oMath>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oMath>
            <w:r>
              <w:rPr>
                <w:rFonts w:ascii="Bookman Old Style" w:hAnsi="Bookman Old Style"/>
              </w:rPr>
              <w:t>:</w:t>
            </w:r>
          </w:p>
        </w:tc>
        <w:tc>
          <w:tcPr>
            <w:tcW w:w="7933" w:type="dxa"/>
          </w:tcPr>
          <w:p w:rsidR="00CB1407" w:rsidRPr="00CD37C5" w:rsidRDefault="009C2787" w:rsidP="00E625D8">
            <w:pPr>
              <w:tabs>
                <w:tab w:val="left" w:pos="0"/>
                <w:tab w:val="left" w:pos="284"/>
              </w:tabs>
              <w:spacing w:before="240"/>
              <w:ind w:left="0"/>
              <w:jc w:val="both"/>
              <w:rPr>
                <w:rFonts w:ascii="Bookman Old Style" w:hAnsi="Bookman Old Style"/>
              </w:rPr>
            </w:pPr>
            <w:r>
              <w:rPr>
                <w:rFonts w:ascii="Bookman Old Style" w:hAnsi="Bookman Old Style"/>
              </w:rPr>
              <w:t>Cantidad de e</w:t>
            </w:r>
            <w:r w:rsidR="00CB1407">
              <w:rPr>
                <w:rFonts w:ascii="Bookman Old Style" w:hAnsi="Bookman Old Style"/>
              </w:rPr>
              <w:t xml:space="preserve">nergía </w:t>
            </w:r>
            <w:r>
              <w:rPr>
                <w:rFonts w:ascii="Bookman Old Style" w:hAnsi="Bookman Old Style"/>
              </w:rPr>
              <w:t xml:space="preserve">en la hora </w:t>
            </w:r>
            <w:r w:rsidRPr="00683BDF">
              <w:rPr>
                <w:rFonts w:ascii="Bookman Old Style" w:hAnsi="Bookman Old Style"/>
                <w:i/>
              </w:rPr>
              <w:t>h</w:t>
            </w:r>
            <w:r>
              <w:rPr>
                <w:rFonts w:ascii="Bookman Old Style" w:hAnsi="Bookman Old Style"/>
              </w:rPr>
              <w:t>,</w:t>
            </w:r>
            <w:r w:rsidR="00A322CF">
              <w:rPr>
                <w:rFonts w:ascii="Bookman Old Style" w:hAnsi="Bookman Old Style"/>
              </w:rPr>
              <w:t xml:space="preserve"> del mes </w:t>
            </w:r>
            <w:r w:rsidR="00A322CF" w:rsidRPr="00A322CF">
              <w:rPr>
                <w:rFonts w:ascii="Bookman Old Style" w:hAnsi="Bookman Old Style"/>
                <w:i/>
              </w:rPr>
              <w:t>m</w:t>
            </w:r>
            <w:r w:rsidR="00A322CF" w:rsidRPr="00A322CF">
              <w:rPr>
                <w:rFonts w:ascii="Bookman Old Style" w:hAnsi="Bookman Old Style"/>
              </w:rPr>
              <w:t>,</w:t>
            </w:r>
            <w:r>
              <w:rPr>
                <w:rFonts w:ascii="Bookman Old Style" w:hAnsi="Bookman Old Style"/>
              </w:rPr>
              <w:t xml:space="preserve"> </w:t>
            </w:r>
            <w:r w:rsidR="00CB1407">
              <w:rPr>
                <w:rFonts w:ascii="Bookman Old Style" w:hAnsi="Bookman Old Style"/>
              </w:rPr>
              <w:t xml:space="preserve">asociada con el contrato </w:t>
            </w:r>
            <w:r w:rsidR="00683BDF" w:rsidRPr="00683BDF">
              <w:rPr>
                <w:rFonts w:ascii="Bookman Old Style" w:hAnsi="Bookman Old Style"/>
                <w:i/>
              </w:rPr>
              <w:t>k</w:t>
            </w:r>
            <w:r>
              <w:rPr>
                <w:rFonts w:ascii="Bookman Old Style" w:hAnsi="Bookman Old Style"/>
                <w:i/>
              </w:rPr>
              <w:t xml:space="preserve">, </w:t>
            </w:r>
            <w:r w:rsidR="008B0A03" w:rsidRPr="009C2787">
              <w:rPr>
                <w:rFonts w:ascii="Bookman Old Style" w:hAnsi="Bookman Old Style"/>
              </w:rPr>
              <w:t>adjudicad</w:t>
            </w:r>
            <w:r w:rsidR="008B0A03">
              <w:rPr>
                <w:rFonts w:ascii="Bookman Old Style" w:hAnsi="Bookman Old Style"/>
              </w:rPr>
              <w:t xml:space="preserve">o </w:t>
            </w:r>
            <w:r>
              <w:rPr>
                <w:rFonts w:ascii="Bookman Old Style" w:hAnsi="Bookman Old Style"/>
              </w:rPr>
              <w:t xml:space="preserve">al comercializador </w:t>
            </w:r>
            <w:r>
              <w:rPr>
                <w:rFonts w:ascii="Bookman Old Style" w:hAnsi="Bookman Old Style"/>
                <w:i/>
              </w:rPr>
              <w:t>i</w:t>
            </w:r>
            <w:r w:rsidR="00172F9F">
              <w:rPr>
                <w:rFonts w:ascii="Bookman Old Style" w:hAnsi="Bookman Old Style"/>
                <w:i/>
              </w:rPr>
              <w:t>,</w:t>
            </w:r>
            <w:r w:rsidR="00CB1407" w:rsidRPr="00CD37C5">
              <w:rPr>
                <w:rFonts w:ascii="Bookman Old Style" w:hAnsi="Bookman Old Style"/>
              </w:rPr>
              <w:t xml:space="preserve"> resultante de la subasta del </w:t>
            </w:r>
            <w:r w:rsidR="00CB1407">
              <w:rPr>
                <w:rFonts w:ascii="Bookman Old Style" w:hAnsi="Bookman Old Style"/>
              </w:rPr>
              <w:t>Ministerio de Minas y Energía</w:t>
            </w:r>
            <w:r w:rsidR="00CB1407" w:rsidRPr="00CD37C5">
              <w:rPr>
                <w:rFonts w:ascii="Bookman Old Style" w:hAnsi="Bookman Old Style"/>
              </w:rPr>
              <w:t>.</w:t>
            </w:r>
          </w:p>
        </w:tc>
      </w:tr>
      <w:tr w:rsidR="00E625D8" w:rsidRPr="00A151DE" w:rsidTr="00CB1407">
        <w:tc>
          <w:tcPr>
            <w:tcW w:w="1413" w:type="dxa"/>
          </w:tcPr>
          <w:p w:rsidR="00E625D8" w:rsidRDefault="00E625D8" w:rsidP="00E625D8">
            <w:pPr>
              <w:tabs>
                <w:tab w:val="left" w:pos="0"/>
                <w:tab w:val="left" w:pos="284"/>
              </w:tabs>
              <w:spacing w:before="240"/>
              <w:ind w:left="0"/>
              <w:jc w:val="both"/>
            </w:pPr>
            <m:oMath>
              <m:r>
                <w:rPr>
                  <w:rFonts w:ascii="Cambria Math" w:hAnsi="Cambria Math"/>
                </w:rPr>
                <m:t>N:</m:t>
              </m:r>
            </m:oMath>
            <w:r>
              <w:t xml:space="preserve"> </w:t>
            </w:r>
          </w:p>
        </w:tc>
        <w:tc>
          <w:tcPr>
            <w:tcW w:w="7933" w:type="dxa"/>
          </w:tcPr>
          <w:p w:rsidR="00E625D8" w:rsidRPr="00E625D8" w:rsidRDefault="00E625D8" w:rsidP="00E625D8">
            <w:pPr>
              <w:tabs>
                <w:tab w:val="left" w:pos="0"/>
                <w:tab w:val="left" w:pos="284"/>
              </w:tabs>
              <w:spacing w:before="240"/>
              <w:ind w:left="0"/>
              <w:jc w:val="both"/>
              <w:rPr>
                <w:rFonts w:ascii="Bookman Old Style" w:hAnsi="Bookman Old Style"/>
              </w:rPr>
            </w:pPr>
            <w:r>
              <w:rPr>
                <w:rFonts w:ascii="Bookman Old Style" w:hAnsi="Bookman Old Style"/>
              </w:rPr>
              <w:t xml:space="preserve">Número de contratos adjudicados en la subasta del  Ministerio de Minas y Energía al comercializador </w:t>
            </w:r>
            <w:r>
              <w:rPr>
                <w:rFonts w:ascii="Bookman Old Style" w:hAnsi="Bookman Old Style"/>
                <w:i/>
              </w:rPr>
              <w:t>i.</w:t>
            </w:r>
          </w:p>
        </w:tc>
      </w:tr>
    </w:tbl>
    <w:p w:rsidR="00CB1407" w:rsidRPr="00C96A4D" w:rsidRDefault="00CB1407" w:rsidP="00CB1407">
      <w:pPr>
        <w:pStyle w:val="Prrafodelista"/>
        <w:rPr>
          <w:rFonts w:ascii="Bookman Old Style" w:hAnsi="Bookman Old Style"/>
          <w:sz w:val="24"/>
        </w:rPr>
      </w:pPr>
    </w:p>
    <w:p w:rsidR="005A6182" w:rsidRPr="003410C8" w:rsidRDefault="005A6182" w:rsidP="00683BDF">
      <w:pPr>
        <w:pStyle w:val="Prrafodelista"/>
        <w:numPr>
          <w:ilvl w:val="0"/>
          <w:numId w:val="39"/>
        </w:numPr>
        <w:tabs>
          <w:tab w:val="left" w:pos="0"/>
          <w:tab w:val="left" w:pos="284"/>
        </w:tabs>
        <w:jc w:val="both"/>
        <w:rPr>
          <w:rFonts w:ascii="Bookman Old Style" w:hAnsi="Bookman Old Style"/>
        </w:rPr>
      </w:pPr>
      <w:r w:rsidRPr="003410C8">
        <w:rPr>
          <w:rFonts w:ascii="Bookman Old Style" w:hAnsi="Bookman Old Style"/>
          <w:b/>
          <w:sz w:val="24"/>
        </w:rPr>
        <w:t xml:space="preserve">Determinación del precio asociado a los contratos de largo plazo. </w:t>
      </w:r>
      <w:r w:rsidRPr="003410C8">
        <w:rPr>
          <w:rFonts w:ascii="Bookman Old Style" w:hAnsi="Bookman Old Style"/>
          <w:sz w:val="24"/>
        </w:rPr>
        <w:t>En segunda instancia, el comercializador que suscriba contratos como resultado de la subasta del Ministerio de Minas y Energía</w:t>
      </w:r>
      <w:r w:rsidRPr="003410C8" w:rsidDel="00111949">
        <w:rPr>
          <w:rFonts w:ascii="Bookman Old Style" w:hAnsi="Bookman Old Style"/>
          <w:sz w:val="24"/>
        </w:rPr>
        <w:t xml:space="preserve"> </w:t>
      </w:r>
      <w:r w:rsidRPr="003410C8">
        <w:rPr>
          <w:rFonts w:ascii="Bookman Old Style" w:hAnsi="Bookman Old Style"/>
          <w:sz w:val="24"/>
        </w:rPr>
        <w:t xml:space="preserve">debe calcular el precio </w:t>
      </w:r>
      <w:r>
        <w:rPr>
          <w:rFonts w:ascii="Bookman Old Style" w:hAnsi="Bookman Old Style"/>
          <w:sz w:val="24"/>
        </w:rPr>
        <w:t>a trasladar por concepto de estos contratos</w:t>
      </w:r>
      <w:r w:rsidRPr="003410C8">
        <w:rPr>
          <w:rFonts w:ascii="Bookman Old Style" w:hAnsi="Bookman Old Style"/>
          <w:sz w:val="24"/>
        </w:rPr>
        <w:t>, a partir de la siguiente expresión</w:t>
      </w:r>
      <w:r>
        <w:rPr>
          <w:rFonts w:ascii="Bookman Old Style" w:hAnsi="Bookman Old Style"/>
          <w:sz w:val="24"/>
        </w:rPr>
        <w:t>:</w:t>
      </w:r>
    </w:p>
    <w:p w:rsidR="005A6182" w:rsidRPr="003410C8" w:rsidRDefault="005A6182" w:rsidP="005A6182">
      <w:pPr>
        <w:tabs>
          <w:tab w:val="left" w:pos="0"/>
          <w:tab w:val="left" w:pos="284"/>
        </w:tabs>
        <w:jc w:val="both"/>
        <w:rPr>
          <w:rFonts w:ascii="Bookman Old Style" w:hAnsi="Bookman Old Style"/>
        </w:rPr>
      </w:pPr>
    </w:p>
    <w:p w:rsidR="005A6182" w:rsidRPr="003410C8" w:rsidRDefault="005A6182" w:rsidP="005A6182">
      <w:pPr>
        <w:tabs>
          <w:tab w:val="left" w:pos="0"/>
          <w:tab w:val="left" w:pos="284"/>
        </w:tabs>
        <w:jc w:val="both"/>
        <w:rPr>
          <w:rFonts w:ascii="Bookman Old Style" w:hAnsi="Bookman Old Style"/>
        </w:rPr>
      </w:pPr>
    </w:p>
    <w:p w:rsidR="005A6182" w:rsidRPr="003410C8" w:rsidRDefault="005A6182" w:rsidP="005A6182">
      <w:pPr>
        <w:tabs>
          <w:tab w:val="left" w:pos="0"/>
          <w:tab w:val="left" w:pos="284"/>
        </w:tabs>
        <w:jc w:val="both"/>
        <w:rPr>
          <w:rFonts w:ascii="Bookman Old Style" w:hAnsi="Bookman Old Style"/>
        </w:rPr>
      </w:pPr>
      <m:oMathPara>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m,i</m:t>
              </m:r>
            </m:sub>
          </m:sSub>
          <m:r>
            <w:rPr>
              <w:rFonts w:ascii="Cambria Math" w:hAns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r>
                    <w:rPr>
                      <w:rFonts w:ascii="Cambria Math" w:hAnsi="Cambria Math"/>
                    </w:rPr>
                    <m:t>*PCL</m:t>
                  </m:r>
                  <m:sSub>
                    <m:sSubPr>
                      <m:ctrlPr>
                        <w:rPr>
                          <w:rFonts w:ascii="Cambria Math" w:hAnsi="Cambria Math"/>
                          <w:i/>
                        </w:rPr>
                      </m:ctrlPr>
                    </m:sSubPr>
                    <m:e>
                      <m:r>
                        <w:rPr>
                          <w:rFonts w:ascii="Cambria Math" w:hAnsi="Cambria Math"/>
                        </w:rPr>
                        <m:t>P</m:t>
                      </m:r>
                    </m:e>
                    <m:sub>
                      <m:r>
                        <w:rPr>
                          <w:rFonts w:ascii="Cambria Math" w:hAnsi="Cambria Math"/>
                        </w:rPr>
                        <m:t>h,k,i,m</m:t>
                      </m:r>
                    </m:sub>
                  </m:sSub>
                  <m:r>
                    <w:rPr>
                      <w:rFonts w:ascii="Cambria Math" w:hAnsi="Cambria Math"/>
                    </w:rPr>
                    <m:t>)</m:t>
                  </m:r>
                </m:e>
              </m:nary>
            </m:num>
            <m:den>
              <m:nary>
                <m:naryPr>
                  <m:chr m:val="∑"/>
                  <m:limLoc m:val="subSup"/>
                  <m:ctrlPr>
                    <w:rPr>
                      <w:rFonts w:ascii="Cambria Math" w:hAnsi="Cambria Math"/>
                      <w:i/>
                    </w:rPr>
                  </m:ctrlPr>
                </m:naryPr>
                <m:sub>
                  <m:r>
                    <w:rPr>
                      <w:rFonts w:ascii="Cambria Math" w:hAnsi="Cambria Math"/>
                    </w:rPr>
                    <m:t>k=1</m:t>
                  </m:r>
                </m:sub>
                <m:sup>
                  <m:r>
                    <w:rPr>
                      <w:rFonts w:ascii="Cambria Math" w:hAnsi="Cambria Math"/>
                    </w:rPr>
                    <m:t>N</m:t>
                  </m:r>
                </m:sup>
                <m:e>
                  <m:nary>
                    <m:naryPr>
                      <m:chr m:val="∑"/>
                      <m:limLoc m:val="undOvr"/>
                      <m:ctrlPr>
                        <w:rPr>
                          <w:rFonts w:ascii="Cambria Math" w:hAnsi="Cambria Math"/>
                          <w:i/>
                        </w:rPr>
                      </m:ctrlPr>
                    </m:naryPr>
                    <m:sub>
                      <m:r>
                        <w:rPr>
                          <w:rFonts w:ascii="Cambria Math" w:hAnsi="Cambria Math"/>
                        </w:rPr>
                        <m:t>h=</m:t>
                      </m:r>
                      <m:r>
                        <w:rPr>
                          <w:rFonts w:ascii="Cambria Math" w:hAnsi="Cambria Math"/>
                        </w:rPr>
                        <m:t>1</m:t>
                      </m:r>
                    </m:sub>
                    <m:sup>
                      <m:r>
                        <w:rPr>
                          <w:rFonts w:ascii="Cambria Math" w:hAnsi="Cambria Math"/>
                        </w:rPr>
                        <m:t>24</m:t>
                      </m:r>
                    </m:sup>
                    <m:e>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e>
                  </m:nary>
                </m:e>
              </m:nary>
            </m:den>
          </m:f>
        </m:oMath>
      </m:oMathPara>
    </w:p>
    <w:p w:rsidR="005A6182" w:rsidRPr="003410C8" w:rsidRDefault="005A6182" w:rsidP="005A6182">
      <w:pPr>
        <w:tabs>
          <w:tab w:val="left" w:pos="0"/>
          <w:tab w:val="left" w:pos="284"/>
        </w:tabs>
        <w:ind w:left="0"/>
        <w:jc w:val="both"/>
        <w:rPr>
          <w:rFonts w:ascii="Bookman Old Style" w:hAnsi="Bookman Old Style"/>
        </w:rPr>
      </w:pPr>
    </w:p>
    <w:p w:rsidR="005A6182" w:rsidRPr="003410C8" w:rsidRDefault="005A6182" w:rsidP="005A6182">
      <w:pPr>
        <w:ind w:left="0"/>
        <w:rPr>
          <w:rFonts w:ascii="Bookman Old Style" w:hAnsi="Bookman Old Style"/>
        </w:rPr>
      </w:pPr>
      <w:r w:rsidRPr="003410C8">
        <w:rPr>
          <w:rFonts w:ascii="Bookman Old Style" w:hAnsi="Bookman Old Style"/>
        </w:rPr>
        <w:t>Donde:</w:t>
      </w:r>
    </w:p>
    <w:p w:rsidR="005A6182" w:rsidRPr="003410C8" w:rsidRDefault="005A6182" w:rsidP="005A6182">
      <w:pPr>
        <w:ind w:left="0"/>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5"/>
        <w:gridCol w:w="7901"/>
      </w:tblGrid>
      <w:tr w:rsidR="005A6182" w:rsidRPr="003410C8" w:rsidTr="00683BDF">
        <w:tc>
          <w:tcPr>
            <w:tcW w:w="1455" w:type="dxa"/>
          </w:tcPr>
          <w:p w:rsidR="005A6182" w:rsidRPr="003410C8" w:rsidRDefault="005A6182" w:rsidP="00A322CF">
            <w:pPr>
              <w:tabs>
                <w:tab w:val="left" w:pos="0"/>
                <w:tab w:val="left" w:pos="284"/>
              </w:tabs>
              <w:ind w:left="0"/>
              <w:jc w:val="both"/>
              <w:rPr>
                <w:rFonts w:ascii="Bookman Old Style" w:hAnsi="Bookman Old Style"/>
              </w:rPr>
            </w:pPr>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m,i</m:t>
                  </m:r>
                </m:sub>
              </m:sSub>
            </m:oMath>
            <w:r w:rsidRPr="003410C8">
              <w:rPr>
                <w:rFonts w:ascii="Bookman Old Style" w:hAnsi="Bookman Old Style"/>
              </w:rPr>
              <w:t>:</w:t>
            </w:r>
          </w:p>
        </w:tc>
        <w:tc>
          <w:tcPr>
            <w:tcW w:w="7901" w:type="dxa"/>
          </w:tcPr>
          <w:p w:rsidR="005A6182" w:rsidRPr="003410C8" w:rsidRDefault="005A6182" w:rsidP="00A322CF">
            <w:pPr>
              <w:tabs>
                <w:tab w:val="left" w:pos="0"/>
                <w:tab w:val="left" w:pos="284"/>
              </w:tabs>
              <w:ind w:left="0"/>
              <w:jc w:val="both"/>
              <w:rPr>
                <w:rFonts w:ascii="Bookman Old Style" w:hAnsi="Bookman Old Style"/>
              </w:rPr>
            </w:pPr>
            <w:r w:rsidRPr="003410C8">
              <w:rPr>
                <w:rFonts w:ascii="Bookman Old Style" w:hAnsi="Bookman Old Style"/>
              </w:rPr>
              <w:t xml:space="preserve">Precio promedio ponderado </w:t>
            </w:r>
            <w:r w:rsidR="004A58F9" w:rsidRPr="003410C8">
              <w:rPr>
                <w:rFonts w:ascii="Bookman Old Style" w:hAnsi="Bookman Old Style"/>
              </w:rPr>
              <w:t xml:space="preserve">actualizado para el mes </w:t>
            </w:r>
            <w:r w:rsidR="004A58F9" w:rsidRPr="003410C8">
              <w:rPr>
                <w:rFonts w:ascii="Bookman Old Style" w:hAnsi="Bookman Old Style"/>
                <w:i/>
              </w:rPr>
              <w:t>m</w:t>
            </w:r>
            <w:r w:rsidR="004A58F9" w:rsidRPr="003410C8">
              <w:rPr>
                <w:rFonts w:ascii="Bookman Old Style" w:hAnsi="Bookman Old Style"/>
              </w:rPr>
              <w:t>,</w:t>
            </w:r>
            <w:r w:rsidR="006928D7">
              <w:rPr>
                <w:rFonts w:ascii="Bookman Old Style" w:hAnsi="Bookman Old Style"/>
              </w:rPr>
              <w:t xml:space="preserve"> </w:t>
            </w:r>
            <w:r w:rsidRPr="003410C8">
              <w:rPr>
                <w:rFonts w:ascii="Bookman Old Style" w:hAnsi="Bookman Old Style"/>
              </w:rPr>
              <w:t xml:space="preserve">de los contratos de largo plazo adjudicados </w:t>
            </w:r>
            <w:r w:rsidR="004A58F9" w:rsidRPr="003410C8">
              <w:rPr>
                <w:rFonts w:ascii="Bookman Old Style" w:hAnsi="Bookman Old Style"/>
              </w:rPr>
              <w:t xml:space="preserve">al comercializador </w:t>
            </w:r>
            <w:r w:rsidR="004A58F9" w:rsidRPr="003410C8">
              <w:rPr>
                <w:rFonts w:ascii="Bookman Old Style" w:hAnsi="Bookman Old Style"/>
                <w:i/>
              </w:rPr>
              <w:t>i</w:t>
            </w:r>
            <w:r w:rsidR="004A58F9" w:rsidRPr="003410C8">
              <w:rPr>
                <w:rFonts w:ascii="Bookman Old Style" w:hAnsi="Bookman Old Style"/>
              </w:rPr>
              <w:t xml:space="preserve"> </w:t>
            </w:r>
            <w:r w:rsidRPr="003410C8">
              <w:rPr>
                <w:rFonts w:ascii="Bookman Old Style" w:hAnsi="Bookman Old Style"/>
              </w:rPr>
              <w:t>en la subasta del Ministerio de Minas y Energía</w:t>
            </w:r>
            <w:r w:rsidRPr="003410C8">
              <w:rPr>
                <w:rFonts w:ascii="Bookman Old Style" w:hAnsi="Bookman Old Style"/>
                <w:i/>
              </w:rPr>
              <w:t>,</w:t>
            </w:r>
            <w:r w:rsidRPr="003410C8">
              <w:rPr>
                <w:rFonts w:ascii="Bookman Old Style" w:hAnsi="Bookman Old Style"/>
              </w:rPr>
              <w:t xml:space="preserve"> expresado en pesos por kilovatio hora (COP/kWh).</w:t>
            </w:r>
          </w:p>
        </w:tc>
      </w:tr>
      <w:tr w:rsidR="005A6182" w:rsidRPr="003410C8" w:rsidTr="007519F8">
        <w:tc>
          <w:tcPr>
            <w:tcW w:w="1413" w:type="dxa"/>
          </w:tcPr>
          <w:p w:rsidR="00A322CF" w:rsidRDefault="00A322CF" w:rsidP="00A322CF">
            <w:pPr>
              <w:tabs>
                <w:tab w:val="left" w:pos="0"/>
                <w:tab w:val="left" w:pos="284"/>
              </w:tabs>
              <w:ind w:left="0"/>
              <w:jc w:val="both"/>
            </w:pPr>
          </w:p>
          <w:p w:rsidR="005A6182" w:rsidRPr="003410C8" w:rsidRDefault="005A6182" w:rsidP="00A322CF">
            <w:pPr>
              <w:tabs>
                <w:tab w:val="left" w:pos="0"/>
                <w:tab w:val="left" w:pos="284"/>
              </w:tabs>
              <w:ind w:left="0"/>
              <w:jc w:val="both"/>
              <w:rPr>
                <w:rFonts w:ascii="Bookman Old Style" w:hAnsi="Bookman Old Style"/>
              </w:rPr>
            </w:pPr>
            <m:oMath>
              <m:r>
                <w:rPr>
                  <w:rFonts w:ascii="Cambria Math" w:hAnsi="Cambria Math"/>
                </w:rPr>
                <m:t>PCL</m:t>
              </m:r>
              <m:sSub>
                <m:sSubPr>
                  <m:ctrlPr>
                    <w:rPr>
                      <w:rFonts w:ascii="Cambria Math" w:hAnsi="Cambria Math"/>
                      <w:i/>
                    </w:rPr>
                  </m:ctrlPr>
                </m:sSubPr>
                <m:e>
                  <m:r>
                    <w:rPr>
                      <w:rFonts w:ascii="Cambria Math" w:hAnsi="Cambria Math"/>
                    </w:rPr>
                    <m:t>P</m:t>
                  </m:r>
                </m:e>
                <m:sub>
                  <m:r>
                    <w:rPr>
                      <w:rFonts w:ascii="Cambria Math" w:hAnsi="Cambria Math"/>
                    </w:rPr>
                    <m:t>h,k,i,m</m:t>
                  </m:r>
                </m:sub>
              </m:sSub>
            </m:oMath>
            <w:r w:rsidRPr="003410C8">
              <w:rPr>
                <w:rFonts w:ascii="Bookman Old Style" w:hAnsi="Bookman Old Style"/>
              </w:rPr>
              <w:t>:</w:t>
            </w:r>
          </w:p>
        </w:tc>
        <w:tc>
          <w:tcPr>
            <w:tcW w:w="7933" w:type="dxa"/>
          </w:tcPr>
          <w:p w:rsidR="00A322CF" w:rsidRDefault="00A322CF" w:rsidP="00A322CF">
            <w:pPr>
              <w:tabs>
                <w:tab w:val="left" w:pos="0"/>
                <w:tab w:val="left" w:pos="284"/>
              </w:tabs>
              <w:ind w:left="0"/>
              <w:jc w:val="both"/>
              <w:rPr>
                <w:rFonts w:ascii="Bookman Old Style" w:hAnsi="Bookman Old Style"/>
              </w:rPr>
            </w:pPr>
          </w:p>
          <w:p w:rsidR="005A6182" w:rsidRPr="003410C8" w:rsidRDefault="005A6182" w:rsidP="00A322CF">
            <w:pPr>
              <w:tabs>
                <w:tab w:val="left" w:pos="0"/>
                <w:tab w:val="left" w:pos="284"/>
              </w:tabs>
              <w:ind w:left="0"/>
              <w:jc w:val="both"/>
              <w:rPr>
                <w:rFonts w:ascii="Bookman Old Style" w:hAnsi="Bookman Old Style"/>
              </w:rPr>
            </w:pPr>
            <w:r w:rsidRPr="003410C8">
              <w:rPr>
                <w:rFonts w:ascii="Bookman Old Style" w:hAnsi="Bookman Old Style"/>
              </w:rPr>
              <w:t xml:space="preserve">Precio </w:t>
            </w:r>
            <w:r w:rsidR="001A4478">
              <w:rPr>
                <w:rFonts w:ascii="Bookman Old Style" w:hAnsi="Bookman Old Style"/>
              </w:rPr>
              <w:t xml:space="preserve">para la hora </w:t>
            </w:r>
            <w:r w:rsidR="001A4478">
              <w:rPr>
                <w:rFonts w:ascii="Bookman Old Style" w:hAnsi="Bookman Old Style"/>
                <w:i/>
              </w:rPr>
              <w:t>h</w:t>
            </w:r>
            <w:r w:rsidR="00172F9F">
              <w:rPr>
                <w:rFonts w:ascii="Bookman Old Style" w:hAnsi="Bookman Old Style"/>
                <w:i/>
              </w:rPr>
              <w:t xml:space="preserve">, </w:t>
            </w:r>
            <w:r w:rsidR="00172F9F">
              <w:rPr>
                <w:rFonts w:ascii="Bookman Old Style" w:hAnsi="Bookman Old Style"/>
              </w:rPr>
              <w:t>asociada</w:t>
            </w:r>
            <w:r w:rsidR="001A4478">
              <w:rPr>
                <w:rFonts w:ascii="Bookman Old Style" w:hAnsi="Bookman Old Style"/>
                <w:i/>
              </w:rPr>
              <w:t xml:space="preserve"> </w:t>
            </w:r>
            <w:r w:rsidR="00172F9F">
              <w:rPr>
                <w:rFonts w:ascii="Bookman Old Style" w:hAnsi="Bookman Old Style"/>
              </w:rPr>
              <w:t>al</w:t>
            </w:r>
            <w:r w:rsidRPr="003410C8">
              <w:rPr>
                <w:rFonts w:ascii="Bookman Old Style" w:hAnsi="Bookman Old Style"/>
              </w:rPr>
              <w:t xml:space="preserve"> contrato </w:t>
            </w:r>
            <w:r w:rsidR="00683BDF">
              <w:rPr>
                <w:rFonts w:ascii="Bookman Old Style" w:hAnsi="Bookman Old Style"/>
                <w:i/>
              </w:rPr>
              <w:t>k</w:t>
            </w:r>
            <w:r w:rsidRPr="003410C8">
              <w:rPr>
                <w:rFonts w:ascii="Bookman Old Style" w:hAnsi="Bookman Old Style"/>
              </w:rPr>
              <w:t xml:space="preserve"> para el mes </w:t>
            </w:r>
            <w:r w:rsidRPr="003410C8">
              <w:rPr>
                <w:rFonts w:ascii="Bookman Old Style" w:hAnsi="Bookman Old Style"/>
                <w:i/>
              </w:rPr>
              <w:t xml:space="preserve">m, </w:t>
            </w:r>
            <w:r w:rsidRPr="003410C8">
              <w:rPr>
                <w:rFonts w:ascii="Bookman Old Style" w:hAnsi="Bookman Old Style"/>
              </w:rPr>
              <w:t xml:space="preserve">adjudicado </w:t>
            </w:r>
            <w:r w:rsidR="00683BDF">
              <w:rPr>
                <w:rFonts w:ascii="Bookman Old Style" w:hAnsi="Bookman Old Style"/>
              </w:rPr>
              <w:t xml:space="preserve">al </w:t>
            </w:r>
            <w:r w:rsidRPr="003410C8">
              <w:rPr>
                <w:rFonts w:ascii="Bookman Old Style" w:hAnsi="Bookman Old Style"/>
              </w:rPr>
              <w:t xml:space="preserve">comercializador </w:t>
            </w:r>
            <w:r w:rsidRPr="003410C8">
              <w:rPr>
                <w:rFonts w:ascii="Bookman Old Style" w:hAnsi="Bookman Old Style"/>
                <w:i/>
              </w:rPr>
              <w:t>i</w:t>
            </w:r>
            <w:r w:rsidR="00172F9F">
              <w:rPr>
                <w:rFonts w:ascii="Bookman Old Style" w:hAnsi="Bookman Old Style"/>
                <w:i/>
              </w:rPr>
              <w:t xml:space="preserve">, </w:t>
            </w:r>
            <w:r w:rsidR="00172F9F" w:rsidRPr="003410C8">
              <w:rPr>
                <w:rFonts w:ascii="Bookman Old Style" w:hAnsi="Bookman Old Style"/>
              </w:rPr>
              <w:t>en la subasta del Ministerio de Minas y Energía</w:t>
            </w:r>
            <w:r w:rsidR="004A58F9">
              <w:rPr>
                <w:rFonts w:ascii="Bookman Old Style" w:hAnsi="Bookman Old Style"/>
              </w:rPr>
              <w:t xml:space="preserve">, </w:t>
            </w:r>
            <w:r w:rsidR="004A58F9" w:rsidRPr="003410C8">
              <w:rPr>
                <w:rFonts w:ascii="Bookman Old Style" w:hAnsi="Bookman Old Style"/>
              </w:rPr>
              <w:t>expresado en pesos por kilovatio hora (COP/kWh).</w:t>
            </w:r>
          </w:p>
        </w:tc>
      </w:tr>
      <w:tr w:rsidR="00A322CF" w:rsidRPr="003410C8" w:rsidTr="007519F8">
        <w:tc>
          <w:tcPr>
            <w:tcW w:w="1413" w:type="dxa"/>
          </w:tcPr>
          <w:p w:rsidR="00A322CF" w:rsidRDefault="00A322CF" w:rsidP="00A322CF">
            <w:pPr>
              <w:tabs>
                <w:tab w:val="left" w:pos="0"/>
                <w:tab w:val="left" w:pos="284"/>
              </w:tabs>
              <w:ind w:left="0"/>
              <w:jc w:val="both"/>
            </w:pPr>
          </w:p>
        </w:tc>
        <w:tc>
          <w:tcPr>
            <w:tcW w:w="7933" w:type="dxa"/>
          </w:tcPr>
          <w:p w:rsidR="00A322CF" w:rsidRDefault="00A322CF" w:rsidP="00A322CF">
            <w:pPr>
              <w:tabs>
                <w:tab w:val="left" w:pos="0"/>
                <w:tab w:val="left" w:pos="284"/>
              </w:tabs>
              <w:ind w:left="0"/>
              <w:jc w:val="both"/>
              <w:rPr>
                <w:rFonts w:ascii="Bookman Old Style" w:hAnsi="Bookman Old Style"/>
              </w:rPr>
            </w:pPr>
          </w:p>
        </w:tc>
      </w:tr>
      <w:tr w:rsidR="00683BDF" w:rsidRPr="003410C8" w:rsidTr="007519F8">
        <w:tc>
          <w:tcPr>
            <w:tcW w:w="1413" w:type="dxa"/>
          </w:tcPr>
          <w:p w:rsidR="00683BDF" w:rsidRDefault="00683BDF" w:rsidP="00683BDF">
            <w:pPr>
              <w:tabs>
                <w:tab w:val="left" w:pos="0"/>
                <w:tab w:val="left" w:pos="284"/>
              </w:tabs>
              <w:ind w:left="0"/>
              <w:jc w:val="both"/>
              <w:rPr>
                <w:rFonts w:ascii="Bookman Old Style" w:hAnsi="Bookman Old Style"/>
              </w:rPr>
            </w:pPr>
            <m:oMath>
              <m:r>
                <w:rPr>
                  <w:rFonts w:ascii="Cambria Math" w:hAnsi="Cambria Math"/>
                </w:rPr>
                <m:t>QCL</m:t>
              </m:r>
              <m:sSub>
                <m:sSubPr>
                  <m:ctrlPr>
                    <w:rPr>
                      <w:rFonts w:ascii="Cambria Math" w:hAnsi="Cambria Math"/>
                      <w:i/>
                    </w:rPr>
                  </m:ctrlPr>
                </m:sSubPr>
                <m:e>
                  <m:r>
                    <w:rPr>
                      <w:rFonts w:ascii="Cambria Math" w:hAnsi="Cambria Math"/>
                    </w:rPr>
                    <m:t>P</m:t>
                  </m:r>
                </m:e>
                <m:sub>
                  <m:r>
                    <w:rPr>
                      <w:rFonts w:ascii="Cambria Math" w:hAnsi="Cambria Math"/>
                    </w:rPr>
                    <m:t>h,k,i</m:t>
                  </m:r>
                </m:sub>
              </m:sSub>
            </m:oMath>
            <w:r>
              <w:rPr>
                <w:rFonts w:ascii="Bookman Old Style" w:hAnsi="Bookman Old Style"/>
              </w:rPr>
              <w:t>:</w:t>
            </w:r>
          </w:p>
        </w:tc>
        <w:tc>
          <w:tcPr>
            <w:tcW w:w="7933" w:type="dxa"/>
          </w:tcPr>
          <w:p w:rsidR="00683BDF" w:rsidRDefault="00683BDF" w:rsidP="00D34116">
            <w:pPr>
              <w:tabs>
                <w:tab w:val="left" w:pos="0"/>
                <w:tab w:val="left" w:pos="284"/>
              </w:tabs>
              <w:ind w:left="0"/>
              <w:jc w:val="both"/>
              <w:rPr>
                <w:rFonts w:ascii="Bookman Old Style" w:hAnsi="Bookman Old Style"/>
              </w:rPr>
            </w:pPr>
            <w:r>
              <w:rPr>
                <w:rFonts w:ascii="Bookman Old Style" w:hAnsi="Bookman Old Style"/>
              </w:rPr>
              <w:t xml:space="preserve">Cantidad de energía en la hora </w:t>
            </w:r>
            <w:r w:rsidRPr="001A4478">
              <w:rPr>
                <w:rFonts w:ascii="Bookman Old Style" w:hAnsi="Bookman Old Style"/>
                <w:i/>
              </w:rPr>
              <w:t>h</w:t>
            </w:r>
            <w:r>
              <w:rPr>
                <w:rFonts w:ascii="Bookman Old Style" w:hAnsi="Bookman Old Style"/>
              </w:rPr>
              <w:t xml:space="preserve">, asociada con el contrato </w:t>
            </w:r>
            <w:r w:rsidRPr="00683BDF">
              <w:rPr>
                <w:rFonts w:ascii="Bookman Old Style" w:hAnsi="Bookman Old Style"/>
                <w:i/>
              </w:rPr>
              <w:t>k</w:t>
            </w:r>
            <w:r>
              <w:rPr>
                <w:rFonts w:ascii="Bookman Old Style" w:hAnsi="Bookman Old Style"/>
                <w:i/>
              </w:rPr>
              <w:t xml:space="preserve">, </w:t>
            </w:r>
            <w:r w:rsidRPr="009C2787">
              <w:rPr>
                <w:rFonts w:ascii="Bookman Old Style" w:hAnsi="Bookman Old Style"/>
              </w:rPr>
              <w:t>adjudicad</w:t>
            </w:r>
            <w:r w:rsidR="00172F9F">
              <w:rPr>
                <w:rFonts w:ascii="Bookman Old Style" w:hAnsi="Bookman Old Style"/>
              </w:rPr>
              <w:t>o</w:t>
            </w:r>
            <w:r>
              <w:rPr>
                <w:rFonts w:ascii="Bookman Old Style" w:hAnsi="Bookman Old Style"/>
              </w:rPr>
              <w:t xml:space="preserve"> al comercializador </w:t>
            </w:r>
            <w:r>
              <w:rPr>
                <w:rFonts w:ascii="Bookman Old Style" w:hAnsi="Bookman Old Style"/>
                <w:i/>
              </w:rPr>
              <w:t>i</w:t>
            </w:r>
            <w:r w:rsidRPr="00CD37C5">
              <w:rPr>
                <w:rFonts w:ascii="Bookman Old Style" w:hAnsi="Bookman Old Style"/>
              </w:rPr>
              <w:t xml:space="preserve"> resultante de la subasta del </w:t>
            </w:r>
            <w:r>
              <w:rPr>
                <w:rFonts w:ascii="Bookman Old Style" w:hAnsi="Bookman Old Style"/>
              </w:rPr>
              <w:t>Ministerio de Minas y Energía</w:t>
            </w:r>
            <w:r w:rsidRPr="00CD37C5">
              <w:rPr>
                <w:rFonts w:ascii="Bookman Old Style" w:hAnsi="Bookman Old Style"/>
              </w:rPr>
              <w:t>.</w:t>
            </w:r>
          </w:p>
          <w:p w:rsidR="00E625D8" w:rsidRPr="00E625D8" w:rsidRDefault="00E625D8" w:rsidP="00D34116">
            <w:pPr>
              <w:tabs>
                <w:tab w:val="left" w:pos="0"/>
                <w:tab w:val="left" w:pos="284"/>
              </w:tabs>
              <w:ind w:left="0"/>
              <w:jc w:val="both"/>
              <w:rPr>
                <w:rFonts w:ascii="Bookman Old Style" w:hAnsi="Bookman Old Style"/>
                <w:sz w:val="16"/>
              </w:rPr>
            </w:pPr>
          </w:p>
        </w:tc>
      </w:tr>
      <w:tr w:rsidR="00E625D8" w:rsidRPr="003410C8" w:rsidTr="007519F8">
        <w:tc>
          <w:tcPr>
            <w:tcW w:w="1413" w:type="dxa"/>
          </w:tcPr>
          <w:p w:rsidR="00E625D8" w:rsidRDefault="00E625D8" w:rsidP="00E625D8">
            <w:pPr>
              <w:tabs>
                <w:tab w:val="left" w:pos="0"/>
                <w:tab w:val="left" w:pos="284"/>
              </w:tabs>
              <w:ind w:left="0"/>
              <w:jc w:val="both"/>
            </w:pPr>
            <m:oMath>
              <m:r>
                <w:rPr>
                  <w:rFonts w:ascii="Cambria Math" w:hAnsi="Cambria Math"/>
                </w:rPr>
                <m:t>N:</m:t>
              </m:r>
            </m:oMath>
            <w:r>
              <w:t xml:space="preserve"> </w:t>
            </w:r>
          </w:p>
        </w:tc>
        <w:tc>
          <w:tcPr>
            <w:tcW w:w="7933" w:type="dxa"/>
          </w:tcPr>
          <w:p w:rsidR="00E625D8" w:rsidRPr="00E625D8" w:rsidRDefault="00E625D8" w:rsidP="00E625D8">
            <w:pPr>
              <w:tabs>
                <w:tab w:val="left" w:pos="0"/>
                <w:tab w:val="left" w:pos="284"/>
              </w:tabs>
              <w:ind w:left="0"/>
              <w:jc w:val="both"/>
              <w:rPr>
                <w:rFonts w:ascii="Bookman Old Style" w:hAnsi="Bookman Old Style"/>
              </w:rPr>
            </w:pPr>
            <w:r>
              <w:rPr>
                <w:rFonts w:ascii="Bookman Old Style" w:hAnsi="Bookman Old Style"/>
              </w:rPr>
              <w:t xml:space="preserve">Número de contratos adjudicados en la subasta del  Ministerio de Minas y Energía al comercializador </w:t>
            </w:r>
            <w:r>
              <w:rPr>
                <w:rFonts w:ascii="Bookman Old Style" w:hAnsi="Bookman Old Style"/>
                <w:i/>
              </w:rPr>
              <w:t>i.</w:t>
            </w:r>
          </w:p>
        </w:tc>
      </w:tr>
    </w:tbl>
    <w:p w:rsidR="005A6182" w:rsidRDefault="005A6182" w:rsidP="00683BDF">
      <w:pPr>
        <w:pStyle w:val="Prrafodelista"/>
        <w:tabs>
          <w:tab w:val="left" w:pos="0"/>
          <w:tab w:val="left" w:pos="284"/>
        </w:tabs>
        <w:ind w:left="720"/>
        <w:jc w:val="both"/>
        <w:rPr>
          <w:rFonts w:ascii="Bookman Old Style" w:hAnsi="Bookman Old Style"/>
          <w:b/>
          <w:sz w:val="24"/>
          <w:szCs w:val="24"/>
        </w:rPr>
      </w:pPr>
    </w:p>
    <w:p w:rsidR="00126F52" w:rsidRPr="00126F52" w:rsidRDefault="00CB1407" w:rsidP="00683BDF">
      <w:pPr>
        <w:pStyle w:val="Prrafodelista"/>
        <w:numPr>
          <w:ilvl w:val="0"/>
          <w:numId w:val="39"/>
        </w:numPr>
        <w:tabs>
          <w:tab w:val="left" w:pos="0"/>
          <w:tab w:val="left" w:pos="284"/>
        </w:tabs>
        <w:jc w:val="both"/>
        <w:rPr>
          <w:rFonts w:ascii="Bookman Old Style" w:hAnsi="Bookman Old Style"/>
          <w:b/>
          <w:sz w:val="24"/>
          <w:szCs w:val="24"/>
        </w:rPr>
      </w:pPr>
      <w:r w:rsidRPr="00943B96">
        <w:rPr>
          <w:rFonts w:ascii="Bookman Old Style" w:hAnsi="Bookman Old Style"/>
          <w:b/>
          <w:sz w:val="24"/>
          <w:szCs w:val="24"/>
        </w:rPr>
        <w:t xml:space="preserve">Incorporación </w:t>
      </w:r>
      <w:r>
        <w:rPr>
          <w:rFonts w:ascii="Bookman Old Style" w:hAnsi="Bookman Old Style"/>
          <w:b/>
          <w:sz w:val="24"/>
          <w:szCs w:val="24"/>
        </w:rPr>
        <w:t xml:space="preserve">transitoria </w:t>
      </w:r>
      <w:r w:rsidRPr="00943B96">
        <w:rPr>
          <w:rFonts w:ascii="Bookman Old Style" w:hAnsi="Bookman Old Style"/>
          <w:b/>
          <w:sz w:val="24"/>
          <w:szCs w:val="24"/>
        </w:rPr>
        <w:t>de</w:t>
      </w:r>
      <w:r w:rsidR="00126F52">
        <w:rPr>
          <w:rFonts w:ascii="Bookman Old Style" w:hAnsi="Bookman Old Style"/>
          <w:b/>
          <w:sz w:val="24"/>
          <w:szCs w:val="24"/>
        </w:rPr>
        <w:t>l precio de</w:t>
      </w:r>
      <w:r w:rsidRPr="00943B96">
        <w:rPr>
          <w:rFonts w:ascii="Bookman Old Style" w:hAnsi="Bookman Old Style"/>
          <w:b/>
          <w:sz w:val="24"/>
          <w:szCs w:val="24"/>
        </w:rPr>
        <w:t xml:space="preserve"> los contratos de largo plazo en el componente G.</w:t>
      </w:r>
      <w:r w:rsidRPr="00943B96">
        <w:rPr>
          <w:rFonts w:ascii="Bookman Old Style" w:hAnsi="Bookman Old Style"/>
          <w:sz w:val="24"/>
          <w:szCs w:val="24"/>
        </w:rPr>
        <w:t xml:space="preserve"> </w:t>
      </w:r>
      <w:r>
        <w:rPr>
          <w:rFonts w:ascii="Bookman Old Style" w:hAnsi="Bookman Old Style"/>
          <w:sz w:val="24"/>
          <w:szCs w:val="24"/>
        </w:rPr>
        <w:t>Los precios asociados a los contratos de largo plazo</w:t>
      </w:r>
      <w:r w:rsidR="0057713A">
        <w:rPr>
          <w:rFonts w:ascii="Bookman Old Style" w:hAnsi="Bookman Old Style"/>
          <w:sz w:val="24"/>
          <w:szCs w:val="24"/>
        </w:rPr>
        <w:t xml:space="preserve">, el costo de la garantía de pago y los montos resultantes de la ejecución de la garantía de cumplimiento </w:t>
      </w:r>
      <w:r>
        <w:rPr>
          <w:rFonts w:ascii="Bookman Old Style" w:hAnsi="Bookman Old Style"/>
          <w:sz w:val="24"/>
          <w:szCs w:val="24"/>
        </w:rPr>
        <w:t>serán incorporados de manera transitoria al componente de compras de energía (</w:t>
      </w:r>
      <m:oMath>
        <m:sSub>
          <m:sSubPr>
            <m:ctrlPr>
              <w:rPr>
                <w:rFonts w:ascii="Cambria Math" w:hAnsi="Cambria Math"/>
              </w:rPr>
            </m:ctrlPr>
          </m:sSubPr>
          <m:e>
            <m:r>
              <w:rPr>
                <w:rFonts w:ascii="Cambria Math" w:hAnsi="Cambria Math"/>
              </w:rPr>
              <m:t>G</m:t>
            </m:r>
          </m:e>
          <m:sub>
            <m:r>
              <w:rPr>
                <w:rFonts w:ascii="Cambria Math" w:hAnsi="Cambria Math"/>
              </w:rPr>
              <m:t>m</m:t>
            </m:r>
            <m:r>
              <m:rPr>
                <m:sty m:val="p"/>
              </m:rPr>
              <w:rPr>
                <w:rFonts w:ascii="Cambria Math" w:hAnsi="Cambria Math"/>
              </w:rPr>
              <m:t>,</m:t>
            </m:r>
            <m:r>
              <w:rPr>
                <w:rFonts w:ascii="Cambria Math" w:hAnsi="Cambria Math"/>
              </w:rPr>
              <m:t>i</m:t>
            </m:r>
            <m:r>
              <m:rPr>
                <m:sty m:val="p"/>
              </m:rPr>
              <w:rPr>
                <w:rFonts w:ascii="Cambria Math" w:hAnsi="Cambria Math"/>
              </w:rPr>
              <m:t>,</m:t>
            </m:r>
            <m:r>
              <w:rPr>
                <w:rFonts w:ascii="Cambria Math" w:hAnsi="Cambria Math"/>
              </w:rPr>
              <m:t>j</m:t>
            </m:r>
          </m:sub>
        </m:sSub>
      </m:oMath>
      <w:r>
        <w:rPr>
          <w:rFonts w:ascii="Bookman Old Style" w:hAnsi="Bookman Old Style"/>
          <w:sz w:val="24"/>
          <w:szCs w:val="24"/>
        </w:rPr>
        <w:t>) que se encuentra vigente, de acuerdo con lo dispuesto en la Resoluci</w:t>
      </w:r>
      <w:r w:rsidR="0057713A">
        <w:rPr>
          <w:rFonts w:ascii="Bookman Old Style" w:hAnsi="Bookman Old Style"/>
          <w:sz w:val="24"/>
          <w:szCs w:val="24"/>
        </w:rPr>
        <w:t xml:space="preserve">ón </w:t>
      </w:r>
      <w:r>
        <w:rPr>
          <w:rFonts w:ascii="Bookman Old Style" w:hAnsi="Bookman Old Style"/>
          <w:sz w:val="24"/>
          <w:szCs w:val="24"/>
        </w:rPr>
        <w:t xml:space="preserve">CREG </w:t>
      </w:r>
      <w:r w:rsidR="00F55A4B">
        <w:rPr>
          <w:rFonts w:ascii="Bookman Old Style" w:hAnsi="Bookman Old Style"/>
          <w:sz w:val="24"/>
          <w:szCs w:val="24"/>
        </w:rPr>
        <w:t>0</w:t>
      </w:r>
      <w:r>
        <w:rPr>
          <w:rFonts w:ascii="Bookman Old Style" w:hAnsi="Bookman Old Style"/>
          <w:sz w:val="24"/>
          <w:szCs w:val="24"/>
        </w:rPr>
        <w:t xml:space="preserve">30 de 2018. </w:t>
      </w:r>
    </w:p>
    <w:p w:rsidR="00126F52" w:rsidRDefault="00126F52" w:rsidP="00126F52">
      <w:pPr>
        <w:pStyle w:val="Prrafodelista"/>
        <w:tabs>
          <w:tab w:val="left" w:pos="0"/>
          <w:tab w:val="left" w:pos="284"/>
        </w:tabs>
        <w:ind w:left="720"/>
        <w:jc w:val="both"/>
        <w:rPr>
          <w:rFonts w:ascii="Bookman Old Style" w:hAnsi="Bookman Old Style"/>
          <w:b/>
          <w:sz w:val="24"/>
          <w:szCs w:val="24"/>
        </w:rPr>
      </w:pPr>
    </w:p>
    <w:p w:rsidR="00722E22" w:rsidRDefault="00722E22" w:rsidP="00126F52">
      <w:pPr>
        <w:tabs>
          <w:tab w:val="left" w:pos="0"/>
          <w:tab w:val="left" w:pos="284"/>
        </w:tabs>
        <w:ind w:left="0"/>
        <w:jc w:val="both"/>
        <w:rPr>
          <w:rFonts w:ascii="Bookman Old Style" w:hAnsi="Bookman Old Style"/>
        </w:rPr>
      </w:pPr>
    </w:p>
    <w:p w:rsidR="00722E22" w:rsidRDefault="00722E22" w:rsidP="00126F52">
      <w:pPr>
        <w:tabs>
          <w:tab w:val="left" w:pos="0"/>
          <w:tab w:val="left" w:pos="284"/>
        </w:tabs>
        <w:ind w:left="0"/>
        <w:jc w:val="both"/>
        <w:rPr>
          <w:rFonts w:ascii="Bookman Old Style" w:hAnsi="Bookman Old Style"/>
        </w:rPr>
      </w:pPr>
    </w:p>
    <w:p w:rsidR="00126F52" w:rsidRDefault="00126F52" w:rsidP="00126F52">
      <w:pPr>
        <w:tabs>
          <w:tab w:val="left" w:pos="0"/>
          <w:tab w:val="left" w:pos="284"/>
        </w:tabs>
        <w:ind w:left="0"/>
        <w:jc w:val="both"/>
        <w:rPr>
          <w:rFonts w:ascii="Bookman Old Style" w:hAnsi="Bookman Old Style"/>
        </w:rPr>
      </w:pPr>
      <w:r>
        <w:rPr>
          <w:rFonts w:ascii="Bookman Old Style" w:hAnsi="Bookman Old Style"/>
        </w:rPr>
        <w:t>La incorporación del precio de los contratos de largo plazo de la subasta reglamentada con la Resolución 40590 de</w:t>
      </w:r>
      <w:r w:rsidR="00F26EB6">
        <w:rPr>
          <w:rFonts w:ascii="Bookman Old Style" w:hAnsi="Bookman Old Style"/>
        </w:rPr>
        <w:t>l Ministerio de Minas y Energía</w:t>
      </w:r>
      <w:r>
        <w:rPr>
          <w:rFonts w:ascii="Bookman Old Style" w:hAnsi="Bookman Old Style"/>
        </w:rPr>
        <w:t xml:space="preserve"> 2019 debe corresponder con lo que se define a continuación.</w:t>
      </w:r>
    </w:p>
    <w:p w:rsidR="00126F52" w:rsidRDefault="00126F52" w:rsidP="00126F52">
      <w:pPr>
        <w:tabs>
          <w:tab w:val="left" w:pos="0"/>
          <w:tab w:val="left" w:pos="284"/>
        </w:tabs>
        <w:ind w:left="0"/>
        <w:jc w:val="both"/>
        <w:rPr>
          <w:rFonts w:ascii="Bookman Old Style" w:hAnsi="Bookman Old Style"/>
        </w:rPr>
      </w:pPr>
    </w:p>
    <w:p w:rsidR="00CB1407" w:rsidRDefault="00CB1407" w:rsidP="00126F52">
      <w:pPr>
        <w:tabs>
          <w:tab w:val="left" w:pos="0"/>
          <w:tab w:val="left" w:pos="284"/>
        </w:tabs>
        <w:ind w:left="0"/>
        <w:jc w:val="both"/>
        <w:rPr>
          <w:rFonts w:ascii="Bookman Old Style" w:hAnsi="Bookman Old Style"/>
          <w:b/>
        </w:rPr>
      </w:pPr>
      <w:r>
        <w:rPr>
          <w:rFonts w:ascii="Bookman Old Style" w:hAnsi="Bookman Old Style"/>
        </w:rPr>
        <w:t xml:space="preserve">Para calcular la variable </w:t>
      </w:r>
      <w:r w:rsidR="00126F52">
        <w:rPr>
          <w:rFonts w:ascii="Bookman Old Style" w:hAnsi="Bookman Old Style"/>
        </w:rPr>
        <w:t>(</w:t>
      </w: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sidR="00126F52">
        <w:rPr>
          <w:rFonts w:ascii="Bookman Old Style" w:hAnsi="Bookman Old Style"/>
        </w:rPr>
        <w:t>)</w:t>
      </w:r>
      <w:r w:rsidRPr="00CB5874">
        <w:rPr>
          <w:rFonts w:ascii="Bookman Old Style" w:hAnsi="Bookman Old Style"/>
        </w:rPr>
        <w:t xml:space="preserve"> del componente de costos de compra de energía, el comercializado</w:t>
      </w:r>
      <w:r w:rsidR="00D34116">
        <w:rPr>
          <w:rFonts w:ascii="Bookman Old Style" w:hAnsi="Bookman Old Style"/>
        </w:rPr>
        <w:t xml:space="preserve">r </w:t>
      </w:r>
      <w:r w:rsidRPr="00CB5874">
        <w:rPr>
          <w:rFonts w:ascii="Bookman Old Style" w:hAnsi="Bookman Old Style"/>
        </w:rPr>
        <w:t>deberá sumar la energía comprada mediante contratos bilaterales (</w:t>
      </w: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B5874">
        <w:rPr>
          <w:rFonts w:ascii="Bookman Old Style" w:hAnsi="Bookman Old Style"/>
        </w:rPr>
        <w:t xml:space="preserve">) y la energía asociada a contratos de largo plazo para cada mes, es decir, la variable </w:t>
      </w: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oMath>
      <w:r w:rsidRPr="00CB5874">
        <w:rPr>
          <w:rFonts w:ascii="Bookman Old Style" w:hAnsi="Bookman Old Style"/>
        </w:rPr>
        <w:t>. En este sentido, la proporción de energía contratada del comercializador quedará definida así:</w:t>
      </w:r>
      <w:r w:rsidRPr="00CB5874">
        <w:rPr>
          <w:rFonts w:ascii="Bookman Old Style" w:hAnsi="Bookman Old Style"/>
          <w:b/>
        </w:rPr>
        <w:t xml:space="preserve"> </w:t>
      </w:r>
    </w:p>
    <w:p w:rsidR="00CA1A93" w:rsidRPr="00CB5874" w:rsidRDefault="00CA1A93" w:rsidP="00126F52">
      <w:pPr>
        <w:tabs>
          <w:tab w:val="left" w:pos="0"/>
          <w:tab w:val="left" w:pos="284"/>
        </w:tabs>
        <w:ind w:left="0"/>
        <w:jc w:val="both"/>
        <w:rPr>
          <w:rFonts w:ascii="Bookman Old Style" w:hAnsi="Bookman Old Style"/>
          <w:b/>
        </w:rPr>
      </w:pPr>
    </w:p>
    <w:p w:rsidR="00CB1407" w:rsidRDefault="00CB1407" w:rsidP="00CB1407">
      <w:pPr>
        <w:ind w:left="0"/>
        <w:jc w:val="both"/>
        <w:rPr>
          <w:rFonts w:ascii="Bookman Old Style" w:hAnsi="Bookman Old Style"/>
        </w:rPr>
      </w:pPr>
      <w:r>
        <w:rPr>
          <w:rFonts w:ascii="Bookman Old Style" w:hAnsi="Bookman Old Style"/>
        </w:rPr>
        <w:t xml:space="preserve">  </w:t>
      </w:r>
    </w:p>
    <w:p w:rsidR="00CB1407" w:rsidRPr="00A151DE" w:rsidRDefault="00CB1407" w:rsidP="00CB1407">
      <w:pPr>
        <w:tabs>
          <w:tab w:val="left" w:pos="0"/>
          <w:tab w:val="left" w:pos="284"/>
        </w:tabs>
        <w:ind w:left="0"/>
        <w:jc w:val="both"/>
        <w:rPr>
          <w:rFonts w:ascii="Bookman Old Style" w:hAnsi="Bookman Old Style"/>
        </w:rPr>
      </w:pPr>
      <m:oMathPara>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 xml:space="preserve">=Min </m:t>
          </m:r>
          <m:d>
            <m:dPr>
              <m:begChr m:val="{"/>
              <m:endChr m:val="}"/>
              <m:ctrlPr>
                <w:rPr>
                  <w:rFonts w:ascii="Cambria Math" w:hAnsi="Cambria Math"/>
                  <w:i/>
                </w:rPr>
              </m:ctrlPr>
            </m:dPr>
            <m:e>
              <m:r>
                <w:rPr>
                  <w:rFonts w:ascii="Cambria Math" w:hAnsi="Cambria Math"/>
                </w:rPr>
                <m:t xml:space="preserve">1, </m:t>
              </m:r>
              <m:f>
                <m:fPr>
                  <m:ctrlPr>
                    <w:rPr>
                      <w:rFonts w:ascii="Cambria Math" w:hAnsi="Cambria Math"/>
                      <w:i/>
                    </w:rPr>
                  </m:ctrlPr>
                </m:fPr>
                <m:num>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num>
                <m:den>
                  <m:r>
                    <w:rPr>
                      <w:rFonts w:ascii="Cambria Math" w:hAnsi="Cambria Math"/>
                    </w:rPr>
                    <m:t>DC</m:t>
                  </m:r>
                  <m:sSub>
                    <m:sSubPr>
                      <m:ctrlPr>
                        <w:rPr>
                          <w:rFonts w:ascii="Cambria Math" w:hAnsi="Cambria Math"/>
                          <w:i/>
                        </w:rPr>
                      </m:ctrlPr>
                    </m:sSubPr>
                    <m:e>
                      <m:r>
                        <w:rPr>
                          <w:rFonts w:ascii="Cambria Math" w:hAnsi="Cambria Math"/>
                        </w:rPr>
                        <m:t>R</m:t>
                      </m:r>
                    </m:e>
                    <m:sub>
                      <m:r>
                        <w:rPr>
                          <w:rFonts w:ascii="Cambria Math" w:hAnsi="Cambria Math"/>
                        </w:rPr>
                        <m:t>m-1,i</m:t>
                      </m:r>
                    </m:sub>
                  </m:sSub>
                </m:den>
              </m:f>
            </m:e>
          </m:d>
        </m:oMath>
      </m:oMathPara>
    </w:p>
    <w:p w:rsidR="00CB1407" w:rsidRDefault="00CB1407" w:rsidP="00CB1407">
      <w:pPr>
        <w:tabs>
          <w:tab w:val="left" w:pos="0"/>
          <w:tab w:val="left" w:pos="284"/>
        </w:tabs>
        <w:ind w:left="0"/>
        <w:jc w:val="both"/>
        <w:rPr>
          <w:rFonts w:ascii="Bookman Old Style" w:hAnsi="Bookman Old Style"/>
        </w:rPr>
      </w:pPr>
    </w:p>
    <w:p w:rsidR="00CB1407" w:rsidRDefault="00CB1407" w:rsidP="00CB1407">
      <w:pPr>
        <w:tabs>
          <w:tab w:val="left" w:pos="0"/>
          <w:tab w:val="left" w:pos="284"/>
        </w:tabs>
        <w:ind w:left="0"/>
        <w:jc w:val="both"/>
        <w:rPr>
          <w:rFonts w:ascii="Bookman Old Style" w:hAnsi="Bookman Old Style"/>
        </w:rPr>
      </w:pPr>
      <w:r>
        <w:rPr>
          <w:rFonts w:ascii="Bookman Old Style" w:hAnsi="Bookman Old Style"/>
        </w:rPr>
        <w:t>Donde:</w:t>
      </w:r>
    </w:p>
    <w:p w:rsidR="00CB1407" w:rsidRDefault="00CB1407" w:rsidP="00CB1407">
      <w:pPr>
        <w:tabs>
          <w:tab w:val="left" w:pos="0"/>
          <w:tab w:val="left" w:pos="284"/>
        </w:tabs>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CB1407" w:rsidTr="00CB1407">
        <w:tc>
          <w:tcPr>
            <w:tcW w:w="1413" w:type="dxa"/>
          </w:tcPr>
          <w:p w:rsidR="00CB1407" w:rsidRDefault="00CB1407" w:rsidP="00CB1407">
            <w:pPr>
              <w:tabs>
                <w:tab w:val="left" w:pos="0"/>
                <w:tab w:val="left" w:pos="284"/>
              </w:tabs>
              <w:ind w:left="0"/>
              <w:jc w:val="both"/>
              <w:rPr>
                <w:rFonts w:ascii="Bookman Old Style" w:hAnsi="Bookman Old Style"/>
              </w:rPr>
            </w:pP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rsidR="00CB1407" w:rsidRPr="008A7037" w:rsidRDefault="00CB1407" w:rsidP="007514D0">
            <w:pPr>
              <w:tabs>
                <w:tab w:val="left" w:pos="0"/>
                <w:tab w:val="left" w:pos="284"/>
              </w:tabs>
              <w:ind w:left="0"/>
              <w:jc w:val="both"/>
              <w:rPr>
                <w:rFonts w:ascii="Bookman Old Style" w:hAnsi="Bookman Old Style"/>
              </w:rPr>
            </w:pPr>
            <w:r w:rsidRPr="00A151DE">
              <w:rPr>
                <w:rFonts w:ascii="Bookman Old Style" w:hAnsi="Bookman Old Style"/>
                <w:bCs/>
              </w:rPr>
              <w:t xml:space="preserve">Es el menor valor entre 1 y el resultante de la relación </w:t>
            </w:r>
            <w:r>
              <w:rPr>
                <w:rFonts w:ascii="Bookman Old Style" w:hAnsi="Bookman Old Style"/>
                <w:bCs/>
              </w:rPr>
              <w:t xml:space="preserve">entre la </w:t>
            </w:r>
            <w:r w:rsidRPr="00A151DE">
              <w:rPr>
                <w:rFonts w:ascii="Bookman Old Style" w:hAnsi="Bookman Old Style"/>
                <w:bCs/>
              </w:rPr>
              <w:t xml:space="preserve">energía </w:t>
            </w:r>
            <w:r w:rsidR="009C612F">
              <w:rPr>
                <w:rFonts w:ascii="Bookman Old Style" w:hAnsi="Bookman Old Style"/>
                <w:bCs/>
              </w:rPr>
              <w:t xml:space="preserve">de </w:t>
            </w:r>
            <w:r w:rsidRPr="00A151DE">
              <w:rPr>
                <w:rFonts w:ascii="Bookman Old Style" w:hAnsi="Bookman Old Style"/>
                <w:bCs/>
              </w:rPr>
              <w:t xml:space="preserve">contratos </w:t>
            </w:r>
            <w:r w:rsidRPr="00A151DE">
              <w:rPr>
                <w:rFonts w:ascii="Bookman Old Style" w:hAnsi="Bookman Old Style"/>
                <w:color w:val="000000"/>
                <w:lang w:val="es-CO"/>
              </w:rPr>
              <w:t xml:space="preserve">con destino al mercado regulado </w:t>
            </w:r>
            <w:r w:rsidRPr="00A151DE">
              <w:rPr>
                <w:rFonts w:ascii="Bookman Old Style" w:hAnsi="Bookman Old Style"/>
                <w:bCs/>
                <w:color w:val="000000"/>
              </w:rPr>
              <w:t xml:space="preserve">y la </w:t>
            </w:r>
            <w:r>
              <w:rPr>
                <w:rFonts w:ascii="Bookman Old Style" w:hAnsi="Bookman Old Style"/>
                <w:bCs/>
                <w:color w:val="0D0D0D"/>
              </w:rPr>
              <w:t>d</w:t>
            </w:r>
            <w:r w:rsidRPr="00A151DE">
              <w:rPr>
                <w:rFonts w:ascii="Bookman Old Style" w:hAnsi="Bookman Old Style"/>
                <w:bCs/>
                <w:color w:val="0D0D0D"/>
              </w:rPr>
              <w:t xml:space="preserve">emanda </w:t>
            </w:r>
            <w:r>
              <w:rPr>
                <w:rFonts w:ascii="Bookman Old Style" w:hAnsi="Bookman Old Style"/>
                <w:bCs/>
                <w:color w:val="0D0D0D"/>
              </w:rPr>
              <w:t>c</w:t>
            </w:r>
            <w:r w:rsidRPr="00A151DE">
              <w:rPr>
                <w:rFonts w:ascii="Bookman Old Style" w:hAnsi="Bookman Old Style"/>
                <w:bCs/>
                <w:color w:val="0D0D0D"/>
              </w:rPr>
              <w:t>omercial del mercado regulado</w:t>
            </w:r>
            <w:r w:rsidRPr="00A151DE">
              <w:rPr>
                <w:rFonts w:ascii="Bookman Old Style" w:hAnsi="Bookman Old Style"/>
                <w:bCs/>
                <w:color w:val="000000"/>
              </w:rPr>
              <w:t xml:space="preserve"> </w:t>
            </w:r>
            <w:r w:rsidR="008A7037">
              <w:rPr>
                <w:rFonts w:ascii="Bookman Old Style" w:hAnsi="Bookman Old Style"/>
                <w:bCs/>
                <w:color w:val="000000"/>
              </w:rPr>
              <w:t xml:space="preserve">del comercializador </w:t>
            </w:r>
            <w:r w:rsidR="008A7037">
              <w:rPr>
                <w:rFonts w:ascii="Bookman Old Style" w:hAnsi="Bookman Old Style"/>
                <w:bCs/>
                <w:i/>
                <w:color w:val="000000"/>
              </w:rPr>
              <w:t xml:space="preserve">i </w:t>
            </w:r>
            <w:r w:rsidR="008A7037">
              <w:rPr>
                <w:rFonts w:ascii="Bookman Old Style" w:hAnsi="Bookman Old Style"/>
                <w:b/>
                <w:bCs/>
                <w:i/>
                <w:color w:val="000000"/>
              </w:rPr>
              <w:t xml:space="preserve"> </w:t>
            </w:r>
            <w:r w:rsidR="009C612F" w:rsidRPr="00A151DE">
              <w:rPr>
                <w:rFonts w:ascii="Bookman Old Style" w:hAnsi="Bookman Old Style"/>
                <w:bCs/>
                <w:color w:val="000000"/>
              </w:rPr>
              <w:t xml:space="preserve">en el mes </w:t>
            </w:r>
            <w:r w:rsidR="009C612F" w:rsidRPr="00A151DE">
              <w:rPr>
                <w:rFonts w:ascii="Bookman Old Style" w:hAnsi="Bookman Old Style"/>
                <w:bCs/>
                <w:i/>
                <w:color w:val="000000"/>
              </w:rPr>
              <w:t>m-1</w:t>
            </w:r>
            <w:r w:rsidR="008A7037">
              <w:rPr>
                <w:rFonts w:ascii="Bookman Old Style" w:hAnsi="Bookman Old Style"/>
                <w:bCs/>
                <w:color w:val="000000"/>
              </w:rPr>
              <w:t>.</w:t>
            </w:r>
          </w:p>
        </w:tc>
      </w:tr>
      <w:tr w:rsidR="00CB1407" w:rsidTr="00CB1407">
        <w:tc>
          <w:tcPr>
            <w:tcW w:w="1413" w:type="dxa"/>
          </w:tcPr>
          <w:p w:rsidR="00A322CF" w:rsidRDefault="00A322CF" w:rsidP="00CB1407">
            <w:pPr>
              <w:tabs>
                <w:tab w:val="left" w:pos="0"/>
                <w:tab w:val="left" w:pos="284"/>
              </w:tabs>
              <w:ind w:left="0"/>
              <w:jc w:val="both"/>
            </w:pPr>
          </w:p>
          <w:p w:rsidR="00CB1407" w:rsidRDefault="00CB1407" w:rsidP="00CB1407">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rsidR="00A322CF" w:rsidRDefault="00A322CF" w:rsidP="00D34116">
            <w:pPr>
              <w:tabs>
                <w:tab w:val="left" w:pos="0"/>
                <w:tab w:val="left" w:pos="284"/>
              </w:tabs>
              <w:ind w:left="0"/>
              <w:jc w:val="both"/>
              <w:rPr>
                <w:rFonts w:ascii="Bookman Old Style" w:hAnsi="Bookman Old Style"/>
                <w:bCs/>
              </w:rPr>
            </w:pPr>
          </w:p>
          <w:p w:rsidR="00CB1407" w:rsidRDefault="00CB1407" w:rsidP="00D34116">
            <w:pPr>
              <w:tabs>
                <w:tab w:val="left" w:pos="0"/>
                <w:tab w:val="left" w:pos="284"/>
              </w:tabs>
              <w:ind w:left="0"/>
              <w:jc w:val="both"/>
              <w:rPr>
                <w:rFonts w:ascii="Bookman Old Style" w:hAnsi="Bookman Old Style"/>
                <w:bCs/>
              </w:rPr>
            </w:pPr>
            <w:r w:rsidRPr="00A151DE">
              <w:rPr>
                <w:rFonts w:ascii="Bookman Old Style" w:hAnsi="Bookman Old Style"/>
                <w:bCs/>
              </w:rPr>
              <w:t xml:space="preserve">Energía </w:t>
            </w:r>
            <w:r>
              <w:rPr>
                <w:rFonts w:ascii="Bookman Old Style" w:hAnsi="Bookman Old Style"/>
                <w:bCs/>
              </w:rPr>
              <w:t>cubierta</w:t>
            </w:r>
            <w:r w:rsidRPr="00A151DE">
              <w:rPr>
                <w:rFonts w:ascii="Bookman Old Style" w:hAnsi="Bookman Old Style"/>
                <w:bCs/>
              </w:rPr>
              <w:t xml:space="preserve"> mediante contratos bilaterales por el </w:t>
            </w:r>
            <w:r>
              <w:rPr>
                <w:rFonts w:ascii="Bookman Old Style" w:hAnsi="Bookman Old Style"/>
                <w:bCs/>
              </w:rPr>
              <w:t>c</w:t>
            </w:r>
            <w:r w:rsidRPr="00A151DE">
              <w:rPr>
                <w:rFonts w:ascii="Bookman Old Style" w:hAnsi="Bookman Old Style"/>
                <w:bCs/>
              </w:rPr>
              <w:t xml:space="preserve">omercializador </w:t>
            </w:r>
            <w:r w:rsidRPr="00A151DE">
              <w:rPr>
                <w:rFonts w:ascii="Bookman Old Style" w:hAnsi="Bookman Old Style"/>
                <w:bCs/>
                <w:i/>
              </w:rPr>
              <w:t xml:space="preserve">i </w:t>
            </w:r>
            <w:r w:rsidRPr="00A151DE">
              <w:rPr>
                <w:rFonts w:ascii="Bookman Old Style" w:hAnsi="Bookman Old Style"/>
                <w:bCs/>
              </w:rPr>
              <w:t>con destino al mercado regulado en el mes</w:t>
            </w:r>
            <w:r w:rsidRPr="00A151DE">
              <w:rPr>
                <w:rFonts w:ascii="Bookman Old Style" w:hAnsi="Bookman Old Style"/>
                <w:bCs/>
                <w:i/>
              </w:rPr>
              <w:t xml:space="preserve"> m</w:t>
            </w:r>
            <w:r w:rsidRPr="00A151DE">
              <w:rPr>
                <w:rFonts w:ascii="Bookman Old Style" w:hAnsi="Bookman Old Style"/>
                <w:bCs/>
              </w:rPr>
              <w:t>-</w:t>
            </w:r>
            <w:r w:rsidRPr="00A151DE">
              <w:rPr>
                <w:rFonts w:ascii="Bookman Old Style" w:hAnsi="Bookman Old Style"/>
                <w:bCs/>
                <w:i/>
              </w:rPr>
              <w:t>1</w:t>
            </w:r>
            <w:r w:rsidRPr="00A151DE">
              <w:rPr>
                <w:rFonts w:ascii="Bookman Old Style" w:hAnsi="Bookman Old Style"/>
                <w:bCs/>
              </w:rPr>
              <w:t>.</w:t>
            </w:r>
          </w:p>
          <w:p w:rsidR="00D34116" w:rsidRPr="00A151DE" w:rsidRDefault="00D34116" w:rsidP="00D34116">
            <w:pPr>
              <w:tabs>
                <w:tab w:val="left" w:pos="0"/>
                <w:tab w:val="left" w:pos="284"/>
              </w:tabs>
              <w:ind w:left="0"/>
              <w:jc w:val="both"/>
              <w:rPr>
                <w:rFonts w:ascii="Bookman Old Style" w:hAnsi="Bookman Old Style"/>
              </w:rPr>
            </w:pPr>
          </w:p>
        </w:tc>
      </w:tr>
      <w:tr w:rsidR="00CB1407" w:rsidTr="00CB1407">
        <w:tc>
          <w:tcPr>
            <w:tcW w:w="1413" w:type="dxa"/>
          </w:tcPr>
          <w:p w:rsidR="00CB1407" w:rsidRDefault="00CB1407" w:rsidP="00CB1407">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oMath>
            <w:r>
              <w:rPr>
                <w:rFonts w:ascii="Bookman Old Style" w:hAnsi="Bookman Old Style"/>
              </w:rPr>
              <w:t>:</w:t>
            </w:r>
          </w:p>
        </w:tc>
        <w:tc>
          <w:tcPr>
            <w:tcW w:w="7933" w:type="dxa"/>
          </w:tcPr>
          <w:p w:rsidR="00CB1407" w:rsidRDefault="005A6182" w:rsidP="00D34116">
            <w:pPr>
              <w:tabs>
                <w:tab w:val="left" w:pos="0"/>
                <w:tab w:val="left" w:pos="284"/>
              </w:tabs>
              <w:ind w:left="0"/>
              <w:jc w:val="both"/>
              <w:rPr>
                <w:rFonts w:ascii="Bookman Old Style" w:hAnsi="Bookman Old Style"/>
              </w:rPr>
            </w:pPr>
            <w:r>
              <w:rPr>
                <w:rFonts w:ascii="Bookman Old Style" w:hAnsi="Bookman Old Style"/>
              </w:rPr>
              <w:t>Energía mensual cubierta mediante los contratos de largo plazo</w:t>
            </w:r>
            <w:r w:rsidR="00A322CF">
              <w:rPr>
                <w:rFonts w:ascii="Bookman Old Style" w:hAnsi="Bookman Old Style"/>
              </w:rPr>
              <w:t xml:space="preserve"> destinados al mercado regulado</w:t>
            </w:r>
            <w:r>
              <w:rPr>
                <w:rFonts w:ascii="Bookman Old Style" w:hAnsi="Bookman Old Style"/>
              </w:rPr>
              <w:t xml:space="preserve"> adjudicados en la subasta del Ministerio de Minas y Energía al comercializador </w:t>
            </w:r>
            <w:r>
              <w:rPr>
                <w:rFonts w:ascii="Bookman Old Style" w:hAnsi="Bookman Old Style"/>
                <w:i/>
              </w:rPr>
              <w:t>i</w:t>
            </w:r>
            <w:r w:rsidR="00A322CF">
              <w:rPr>
                <w:rFonts w:ascii="Bookman Old Style" w:hAnsi="Bookman Old Style"/>
                <w:i/>
              </w:rPr>
              <w:t xml:space="preserve"> </w:t>
            </w:r>
            <w:r w:rsidR="00A322CF">
              <w:rPr>
                <w:rFonts w:ascii="Bookman Old Style" w:hAnsi="Bookman Old Style"/>
              </w:rPr>
              <w:t xml:space="preserve">en el mes </w:t>
            </w:r>
            <w:r w:rsidR="00A322CF" w:rsidRPr="00A322CF">
              <w:rPr>
                <w:rFonts w:ascii="Bookman Old Style" w:hAnsi="Bookman Old Style"/>
                <w:i/>
              </w:rPr>
              <w:t>m-1</w:t>
            </w:r>
            <w:r>
              <w:rPr>
                <w:rFonts w:ascii="Bookman Old Style" w:hAnsi="Bookman Old Style"/>
              </w:rPr>
              <w:t>.</w:t>
            </w:r>
          </w:p>
          <w:p w:rsidR="00D34116" w:rsidRPr="00A151DE" w:rsidRDefault="00D34116" w:rsidP="00D34116">
            <w:pPr>
              <w:tabs>
                <w:tab w:val="left" w:pos="0"/>
                <w:tab w:val="left" w:pos="284"/>
              </w:tabs>
              <w:ind w:left="0"/>
              <w:jc w:val="both"/>
              <w:rPr>
                <w:rFonts w:ascii="Bookman Old Style" w:hAnsi="Bookman Old Style"/>
              </w:rPr>
            </w:pPr>
          </w:p>
        </w:tc>
      </w:tr>
      <w:tr w:rsidR="00CB1407" w:rsidRPr="00CA1A93" w:rsidTr="00CB1407">
        <w:tc>
          <w:tcPr>
            <w:tcW w:w="1413" w:type="dxa"/>
          </w:tcPr>
          <w:p w:rsidR="00CB1407" w:rsidRPr="00CA1A93" w:rsidRDefault="00CB1407" w:rsidP="00CB1407">
            <w:pPr>
              <w:tabs>
                <w:tab w:val="left" w:pos="0"/>
                <w:tab w:val="left" w:pos="284"/>
              </w:tabs>
              <w:ind w:left="0"/>
              <w:jc w:val="both"/>
              <w:rPr>
                <w:rFonts w:ascii="Bookman Old Style" w:hAnsi="Bookman Old Style"/>
              </w:rPr>
            </w:pPr>
            <m:oMath>
              <m:r>
                <w:rPr>
                  <w:rFonts w:ascii="Cambria Math" w:hAnsi="Cambria Math"/>
                </w:rPr>
                <m:t>DC</m:t>
              </m:r>
              <m:sSub>
                <m:sSubPr>
                  <m:ctrlPr>
                    <w:rPr>
                      <w:rFonts w:ascii="Cambria Math" w:hAnsi="Cambria Math"/>
                      <w:i/>
                    </w:rPr>
                  </m:ctrlPr>
                </m:sSubPr>
                <m:e>
                  <m:r>
                    <w:rPr>
                      <w:rFonts w:ascii="Cambria Math" w:hAnsi="Cambria Math"/>
                    </w:rPr>
                    <m:t>R</m:t>
                  </m:r>
                </m:e>
                <m:sub>
                  <m:r>
                    <w:rPr>
                      <w:rFonts w:ascii="Cambria Math" w:hAnsi="Cambria Math"/>
                    </w:rPr>
                    <m:t>m-1,i</m:t>
                  </m:r>
                </m:sub>
              </m:sSub>
            </m:oMath>
            <w:r w:rsidRPr="00CA1A93">
              <w:rPr>
                <w:rFonts w:ascii="Bookman Old Style" w:hAnsi="Bookman Old Style"/>
              </w:rPr>
              <w:t>:</w:t>
            </w:r>
          </w:p>
        </w:tc>
        <w:tc>
          <w:tcPr>
            <w:tcW w:w="7933" w:type="dxa"/>
          </w:tcPr>
          <w:p w:rsidR="00D34116" w:rsidRPr="00CA1A93" w:rsidRDefault="00CB1407" w:rsidP="007514D0">
            <w:pPr>
              <w:tabs>
                <w:tab w:val="left" w:pos="0"/>
                <w:tab w:val="left" w:pos="284"/>
              </w:tabs>
              <w:ind w:left="0"/>
              <w:jc w:val="both"/>
              <w:rPr>
                <w:rFonts w:ascii="Bookman Old Style" w:hAnsi="Bookman Old Style"/>
              </w:rPr>
            </w:pPr>
            <w:r w:rsidRPr="00CA1A93">
              <w:rPr>
                <w:rFonts w:ascii="Bookman Old Style" w:hAnsi="Bookman Old Style"/>
                <w:bCs/>
              </w:rPr>
              <w:t xml:space="preserve">Demanda comercial regulada del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m-1.</w:t>
            </w:r>
          </w:p>
        </w:tc>
      </w:tr>
      <w:tr w:rsidR="00251DC4" w:rsidTr="00776DF9">
        <w:trPr>
          <w:trHeight w:val="430"/>
        </w:trPr>
        <w:tc>
          <w:tcPr>
            <w:tcW w:w="1413" w:type="dxa"/>
          </w:tcPr>
          <w:p w:rsidR="00251DC4" w:rsidRPr="00CA1A93" w:rsidRDefault="00251DC4" w:rsidP="00251DC4">
            <w:pPr>
              <w:tabs>
                <w:tab w:val="left" w:pos="0"/>
                <w:tab w:val="left" w:pos="284"/>
              </w:tabs>
              <w:ind w:left="0"/>
              <w:jc w:val="both"/>
            </w:pPr>
          </w:p>
        </w:tc>
        <w:tc>
          <w:tcPr>
            <w:tcW w:w="7933" w:type="dxa"/>
          </w:tcPr>
          <w:p w:rsidR="00251DC4" w:rsidRPr="00CA1A93" w:rsidRDefault="00251DC4" w:rsidP="00251DC4">
            <w:pPr>
              <w:tabs>
                <w:tab w:val="left" w:pos="0"/>
                <w:tab w:val="left" w:pos="284"/>
              </w:tabs>
              <w:ind w:left="0"/>
              <w:jc w:val="both"/>
              <w:rPr>
                <w:rFonts w:ascii="Bookman Old Style" w:hAnsi="Bookman Old Style"/>
                <w:bCs/>
              </w:rPr>
            </w:pPr>
          </w:p>
        </w:tc>
      </w:tr>
    </w:tbl>
    <w:p w:rsidR="00CB1407" w:rsidRDefault="00CB1407" w:rsidP="00CB1407">
      <w:pPr>
        <w:ind w:left="0"/>
        <w:jc w:val="both"/>
        <w:rPr>
          <w:rFonts w:ascii="Bookman Old Style" w:hAnsi="Bookman Old Style"/>
        </w:rPr>
      </w:pPr>
      <w:r>
        <w:rPr>
          <w:rFonts w:ascii="Bookman Old Style" w:hAnsi="Bookman Old Style"/>
        </w:rPr>
        <w:t>A continuación, el comercializador deberá calcular la proporción de los contratos bilaterales sobre el total de energía contratada utilizando la siguiente expresión:</w:t>
      </w:r>
    </w:p>
    <w:p w:rsidR="00CB1407" w:rsidRDefault="00CB1407" w:rsidP="00CB1407">
      <w:pPr>
        <w:ind w:left="0"/>
        <w:jc w:val="both"/>
        <w:rPr>
          <w:rFonts w:ascii="Bookman Old Style" w:hAnsi="Bookman Old Style"/>
        </w:rPr>
      </w:pPr>
    </w:p>
    <w:p w:rsidR="00CB1407" w:rsidRPr="00A151DE" w:rsidRDefault="00CB1407" w:rsidP="00CB1407">
      <w:pPr>
        <w:ind w:left="0"/>
        <w:jc w:val="both"/>
        <w:rPr>
          <w:rFonts w:ascii="Bookman Old Style" w:hAnsi="Bookman Old Style"/>
        </w:rPr>
      </w:pPr>
      <m:oMathPara>
        <m:oMath>
          <m:r>
            <m:rPr>
              <m:lit/>
            </m:rPr>
            <w:rPr>
              <w:rFonts w:ascii="Cambria Math" w:hAnsi="Cambria Math"/>
            </w:rPr>
            <m:t xml:space="preserve"> </m:t>
          </m:r>
          <m:sSub>
            <m:sSubPr>
              <m:ctrlPr>
                <w:rPr>
                  <w:rFonts w:ascii="Cambria Math" w:hAnsi="Cambria Math"/>
                  <w:i/>
                </w:rPr>
              </m:ctrlPr>
            </m:sSubPr>
            <m:e>
              <m:r>
                <w:rPr>
                  <w:rFonts w:ascii="Cambria Math" w:hAnsi="Cambria Math"/>
                </w:rPr>
                <m:t>ω</m:t>
              </m:r>
            </m:e>
            <m:sub>
              <m:r>
                <w:rPr>
                  <w:rFonts w:ascii="Cambria Math" w:hAnsi="Cambria Math"/>
                </w:rPr>
                <m:t>m-1,i</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Cc</m:t>
                  </m:r>
                </m:e>
                <m:sub>
                  <m:r>
                    <w:rPr>
                      <w:rFonts w:ascii="Cambria Math" w:hAnsi="Cambria Math"/>
                    </w:rPr>
                    <m:t>m-1,i</m:t>
                  </m:r>
                </m:sub>
              </m:sSub>
            </m:num>
            <m:den>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den>
          </m:f>
        </m:oMath>
      </m:oMathPara>
    </w:p>
    <w:p w:rsidR="00CB1407" w:rsidRDefault="00CB1407" w:rsidP="00CB1407">
      <w:pPr>
        <w:ind w:left="0"/>
        <w:jc w:val="both"/>
        <w:rPr>
          <w:rFonts w:ascii="Bookman Old Style" w:hAnsi="Bookman Old Style"/>
        </w:rPr>
      </w:pPr>
    </w:p>
    <w:p w:rsidR="00CB1407" w:rsidRDefault="00CB1407" w:rsidP="00CB1407">
      <w:pPr>
        <w:tabs>
          <w:tab w:val="left" w:pos="0"/>
          <w:tab w:val="left" w:pos="284"/>
        </w:tabs>
        <w:ind w:left="0"/>
        <w:jc w:val="both"/>
        <w:rPr>
          <w:rFonts w:ascii="Bookman Old Style" w:hAnsi="Bookman Old Style"/>
        </w:rPr>
      </w:pPr>
      <w:r>
        <w:rPr>
          <w:rFonts w:ascii="Bookman Old Style" w:hAnsi="Bookman Old Style"/>
        </w:rPr>
        <w:t>Donde:</w:t>
      </w:r>
    </w:p>
    <w:p w:rsidR="00CB1407" w:rsidRDefault="00CB1407" w:rsidP="00CB1407">
      <w:pPr>
        <w:tabs>
          <w:tab w:val="left" w:pos="0"/>
          <w:tab w:val="left" w:pos="284"/>
        </w:tabs>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3"/>
        <w:gridCol w:w="7933"/>
      </w:tblGrid>
      <w:tr w:rsidR="00CB1407" w:rsidTr="00CB1407">
        <w:tc>
          <w:tcPr>
            <w:tcW w:w="1413" w:type="dxa"/>
          </w:tcPr>
          <w:p w:rsidR="00CB1407" w:rsidRDefault="002F3937" w:rsidP="00AF1526">
            <w:pPr>
              <w:tabs>
                <w:tab w:val="left" w:pos="0"/>
                <w:tab w:val="left" w:pos="284"/>
              </w:tabs>
              <w:ind w:left="0"/>
              <w:jc w:val="both"/>
              <w:rPr>
                <w:rFonts w:ascii="Bookman Old Style" w:hAnsi="Bookman Old Style"/>
              </w:rPr>
            </w:pPr>
            <m:oMath>
              <m:sSub>
                <m:sSubPr>
                  <m:ctrlPr>
                    <w:rPr>
                      <w:rFonts w:ascii="Cambria Math" w:hAnsi="Cambria Math"/>
                      <w:i/>
                    </w:rPr>
                  </m:ctrlPr>
                </m:sSubPr>
                <m:e>
                  <m:r>
                    <w:rPr>
                      <w:rFonts w:ascii="Cambria Math" w:hAnsi="Cambria Math"/>
                    </w:rPr>
                    <m:t>ω</m:t>
                  </m:r>
                </m:e>
                <m:sub>
                  <m:r>
                    <w:rPr>
                      <w:rFonts w:ascii="Cambria Math" w:hAnsi="Cambria Math"/>
                    </w:rPr>
                    <m:t>m-1,i</m:t>
                  </m:r>
                </m:sub>
              </m:sSub>
            </m:oMath>
            <w:r w:rsidR="00CB1407">
              <w:rPr>
                <w:rFonts w:ascii="Bookman Old Style" w:hAnsi="Bookman Old Style"/>
              </w:rPr>
              <w:t>:</w:t>
            </w:r>
          </w:p>
        </w:tc>
        <w:tc>
          <w:tcPr>
            <w:tcW w:w="7933" w:type="dxa"/>
          </w:tcPr>
          <w:p w:rsidR="00CB1407" w:rsidRPr="00074B50" w:rsidRDefault="00CB1407" w:rsidP="00CB1407">
            <w:pPr>
              <w:tabs>
                <w:tab w:val="left" w:pos="0"/>
                <w:tab w:val="left" w:pos="284"/>
              </w:tabs>
              <w:ind w:left="0"/>
              <w:jc w:val="both"/>
              <w:rPr>
                <w:rFonts w:ascii="Bookman Old Style" w:hAnsi="Bookman Old Style"/>
              </w:rPr>
            </w:pPr>
            <w:r>
              <w:rPr>
                <w:rFonts w:ascii="Bookman Old Style" w:hAnsi="Bookman Old Style"/>
                <w:bCs/>
              </w:rPr>
              <w:t xml:space="preserve">Ponderador de los precios de los contratos bilaterales del comercializador </w:t>
            </w:r>
            <w:r>
              <w:rPr>
                <w:rFonts w:ascii="Bookman Old Style" w:hAnsi="Bookman Old Style"/>
                <w:bCs/>
                <w:i/>
              </w:rPr>
              <w:t>i</w:t>
            </w:r>
            <w:r>
              <w:rPr>
                <w:rFonts w:ascii="Bookman Old Style" w:hAnsi="Bookman Old Style"/>
                <w:bCs/>
              </w:rPr>
              <w:t xml:space="preserve">, en el mes </w:t>
            </w:r>
            <w:r>
              <w:rPr>
                <w:rFonts w:ascii="Bookman Old Style" w:hAnsi="Bookman Old Style"/>
                <w:bCs/>
                <w:i/>
              </w:rPr>
              <w:t>m-1.</w:t>
            </w:r>
          </w:p>
        </w:tc>
      </w:tr>
      <w:tr w:rsidR="00D34116" w:rsidTr="00CB1407">
        <w:tc>
          <w:tcPr>
            <w:tcW w:w="1413" w:type="dxa"/>
          </w:tcPr>
          <w:p w:rsidR="00D34116" w:rsidRDefault="00D34116" w:rsidP="00CB1407">
            <w:pPr>
              <w:tabs>
                <w:tab w:val="left" w:pos="0"/>
                <w:tab w:val="left" w:pos="284"/>
              </w:tabs>
              <w:ind w:left="0"/>
              <w:jc w:val="both"/>
              <w:rPr>
                <w:rFonts w:ascii="Bookman Old Style" w:hAnsi="Bookman Old Style"/>
              </w:rPr>
            </w:pPr>
          </w:p>
        </w:tc>
        <w:tc>
          <w:tcPr>
            <w:tcW w:w="7933" w:type="dxa"/>
          </w:tcPr>
          <w:p w:rsidR="00D34116" w:rsidRDefault="00D34116" w:rsidP="00CB1407">
            <w:pPr>
              <w:tabs>
                <w:tab w:val="left" w:pos="0"/>
                <w:tab w:val="left" w:pos="284"/>
              </w:tabs>
              <w:ind w:left="0"/>
              <w:jc w:val="both"/>
              <w:rPr>
                <w:rFonts w:ascii="Bookman Old Style" w:hAnsi="Bookman Old Style"/>
                <w:bCs/>
              </w:rPr>
            </w:pPr>
          </w:p>
        </w:tc>
      </w:tr>
      <w:tr w:rsidR="00CB1407" w:rsidTr="00CB1407">
        <w:tc>
          <w:tcPr>
            <w:tcW w:w="1413" w:type="dxa"/>
          </w:tcPr>
          <w:p w:rsidR="00CB1407" w:rsidRDefault="00CB1407" w:rsidP="00CB1407">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Pr>
                <w:rFonts w:ascii="Bookman Old Style" w:hAnsi="Bookman Old Style"/>
              </w:rPr>
              <w:t>:</w:t>
            </w:r>
          </w:p>
        </w:tc>
        <w:tc>
          <w:tcPr>
            <w:tcW w:w="7933" w:type="dxa"/>
          </w:tcPr>
          <w:p w:rsidR="00CB1407" w:rsidRDefault="00CB1407" w:rsidP="00D34116">
            <w:pPr>
              <w:tabs>
                <w:tab w:val="left" w:pos="0"/>
                <w:tab w:val="left" w:pos="284"/>
              </w:tabs>
              <w:ind w:left="0"/>
              <w:jc w:val="both"/>
              <w:rPr>
                <w:rFonts w:ascii="Bookman Old Style" w:hAnsi="Bookman Old Style"/>
                <w:bCs/>
              </w:rPr>
            </w:pPr>
            <w:r w:rsidRPr="00A151DE">
              <w:rPr>
                <w:rFonts w:ascii="Bookman Old Style" w:hAnsi="Bookman Old Style"/>
                <w:bCs/>
              </w:rPr>
              <w:t>Energía c</w:t>
            </w:r>
            <w:r>
              <w:rPr>
                <w:rFonts w:ascii="Bookman Old Style" w:hAnsi="Bookman Old Style"/>
                <w:bCs/>
              </w:rPr>
              <w:t>ubierta</w:t>
            </w:r>
            <w:r w:rsidRPr="00A151DE">
              <w:rPr>
                <w:rFonts w:ascii="Bookman Old Style" w:hAnsi="Bookman Old Style"/>
                <w:bCs/>
              </w:rPr>
              <w:t xml:space="preserve"> mediante contratos bilaterales por el </w:t>
            </w:r>
            <w:r>
              <w:rPr>
                <w:rFonts w:ascii="Bookman Old Style" w:hAnsi="Bookman Old Style"/>
                <w:bCs/>
              </w:rPr>
              <w:t>c</w:t>
            </w:r>
            <w:r w:rsidRPr="00A151DE">
              <w:rPr>
                <w:rFonts w:ascii="Bookman Old Style" w:hAnsi="Bookman Old Style"/>
                <w:bCs/>
              </w:rPr>
              <w:t xml:space="preserve">omercializador </w:t>
            </w:r>
            <w:r w:rsidRPr="00A151DE">
              <w:rPr>
                <w:rFonts w:ascii="Bookman Old Style" w:hAnsi="Bookman Old Style"/>
                <w:bCs/>
                <w:i/>
              </w:rPr>
              <w:t xml:space="preserve">i </w:t>
            </w:r>
            <w:r w:rsidRPr="00A151DE">
              <w:rPr>
                <w:rFonts w:ascii="Bookman Old Style" w:hAnsi="Bookman Old Style"/>
                <w:bCs/>
              </w:rPr>
              <w:t>con destino al mercado regulado en el mes</w:t>
            </w:r>
            <w:r w:rsidRPr="00A151DE">
              <w:rPr>
                <w:rFonts w:ascii="Bookman Old Style" w:hAnsi="Bookman Old Style"/>
                <w:bCs/>
                <w:i/>
              </w:rPr>
              <w:t xml:space="preserve"> m</w:t>
            </w:r>
            <w:r w:rsidRPr="00A151DE">
              <w:rPr>
                <w:rFonts w:ascii="Bookman Old Style" w:hAnsi="Bookman Old Style"/>
                <w:bCs/>
              </w:rPr>
              <w:t>-</w:t>
            </w:r>
            <w:r w:rsidRPr="00A151DE">
              <w:rPr>
                <w:rFonts w:ascii="Bookman Old Style" w:hAnsi="Bookman Old Style"/>
                <w:bCs/>
                <w:i/>
              </w:rPr>
              <w:t>1</w:t>
            </w:r>
            <w:r w:rsidRPr="00A151DE">
              <w:rPr>
                <w:rFonts w:ascii="Bookman Old Style" w:hAnsi="Bookman Old Style"/>
                <w:bCs/>
              </w:rPr>
              <w:t>.</w:t>
            </w:r>
          </w:p>
          <w:p w:rsidR="00D34116" w:rsidRPr="00A151DE" w:rsidRDefault="00D34116" w:rsidP="00D34116">
            <w:pPr>
              <w:tabs>
                <w:tab w:val="left" w:pos="0"/>
                <w:tab w:val="left" w:pos="284"/>
              </w:tabs>
              <w:ind w:left="0"/>
              <w:jc w:val="both"/>
              <w:rPr>
                <w:rFonts w:ascii="Bookman Old Style" w:hAnsi="Bookman Old Style"/>
              </w:rPr>
            </w:pPr>
          </w:p>
        </w:tc>
      </w:tr>
      <w:tr w:rsidR="00A322CF" w:rsidTr="00CB1407">
        <w:tc>
          <w:tcPr>
            <w:tcW w:w="1413" w:type="dxa"/>
          </w:tcPr>
          <w:p w:rsidR="00A322CF" w:rsidRDefault="00A322CF" w:rsidP="00A322CF">
            <w:pPr>
              <w:tabs>
                <w:tab w:val="left" w:pos="0"/>
                <w:tab w:val="left" w:pos="284"/>
              </w:tabs>
              <w:ind w:left="0"/>
              <w:jc w:val="both"/>
              <w:rPr>
                <w:rFonts w:ascii="Bookman Old Style" w:hAnsi="Bookman Old Style"/>
              </w:rPr>
            </w:pPr>
            <m:oMath>
              <m:r>
                <w:rPr>
                  <w:rFonts w:ascii="Cambria Math" w:hAnsi="Cambria Math"/>
                </w:rPr>
                <m:t>CL</m:t>
              </m:r>
              <m:sSub>
                <m:sSubPr>
                  <m:ctrlPr>
                    <w:rPr>
                      <w:rFonts w:ascii="Cambria Math" w:hAnsi="Cambria Math"/>
                      <w:i/>
                    </w:rPr>
                  </m:ctrlPr>
                </m:sSubPr>
                <m:e>
                  <m:r>
                    <w:rPr>
                      <w:rFonts w:ascii="Cambria Math" w:hAnsi="Cambria Math"/>
                    </w:rPr>
                    <m:t>P</m:t>
                  </m:r>
                </m:e>
                <m:sub>
                  <m:r>
                    <w:rPr>
                      <w:rFonts w:ascii="Cambria Math" w:hAnsi="Cambria Math"/>
                    </w:rPr>
                    <m:t>m-1,i</m:t>
                  </m:r>
                </m:sub>
              </m:sSub>
            </m:oMath>
            <w:r>
              <w:rPr>
                <w:rFonts w:ascii="Bookman Old Style" w:hAnsi="Bookman Old Style"/>
              </w:rPr>
              <w:t>:</w:t>
            </w:r>
          </w:p>
        </w:tc>
        <w:tc>
          <w:tcPr>
            <w:tcW w:w="7933" w:type="dxa"/>
          </w:tcPr>
          <w:p w:rsidR="00A322CF" w:rsidRDefault="00A322CF" w:rsidP="00A322CF">
            <w:pPr>
              <w:tabs>
                <w:tab w:val="left" w:pos="0"/>
                <w:tab w:val="left" w:pos="284"/>
              </w:tabs>
              <w:ind w:left="0"/>
              <w:jc w:val="both"/>
              <w:rPr>
                <w:rFonts w:ascii="Bookman Old Style" w:hAnsi="Bookman Old Style"/>
              </w:rPr>
            </w:pPr>
            <w:r>
              <w:rPr>
                <w:rFonts w:ascii="Bookman Old Style" w:hAnsi="Bookman Old Style"/>
              </w:rPr>
              <w:t xml:space="preserve">Energía mensual cubierta mediante los contratos de largo plazo destinados al mercado regulado adjudicados en la subasta del Ministerio de Minas y Energía al comercializador </w:t>
            </w:r>
            <w:r>
              <w:rPr>
                <w:rFonts w:ascii="Bookman Old Style" w:hAnsi="Bookman Old Style"/>
                <w:i/>
              </w:rPr>
              <w:t xml:space="preserve">i </w:t>
            </w:r>
            <w:r>
              <w:rPr>
                <w:rFonts w:ascii="Bookman Old Style" w:hAnsi="Bookman Old Style"/>
              </w:rPr>
              <w:t xml:space="preserve">en el mes </w:t>
            </w:r>
            <w:r w:rsidRPr="00A322CF">
              <w:rPr>
                <w:rFonts w:ascii="Bookman Old Style" w:hAnsi="Bookman Old Style"/>
                <w:i/>
              </w:rPr>
              <w:t>m-1</w:t>
            </w:r>
            <w:r>
              <w:rPr>
                <w:rFonts w:ascii="Bookman Old Style" w:hAnsi="Bookman Old Style"/>
              </w:rPr>
              <w:t>.</w:t>
            </w:r>
          </w:p>
          <w:p w:rsidR="00A322CF" w:rsidRPr="00A151DE" w:rsidRDefault="00A322CF" w:rsidP="00A322CF">
            <w:pPr>
              <w:tabs>
                <w:tab w:val="left" w:pos="0"/>
                <w:tab w:val="left" w:pos="284"/>
              </w:tabs>
              <w:ind w:left="0"/>
              <w:jc w:val="both"/>
              <w:rPr>
                <w:rFonts w:ascii="Bookman Old Style" w:hAnsi="Bookman Old Style"/>
              </w:rPr>
            </w:pPr>
          </w:p>
        </w:tc>
      </w:tr>
    </w:tbl>
    <w:p w:rsidR="005A6182" w:rsidRPr="003410C8" w:rsidRDefault="005A6182" w:rsidP="005A6182">
      <w:pPr>
        <w:ind w:left="0"/>
        <w:jc w:val="both"/>
        <w:rPr>
          <w:rFonts w:ascii="Bookman Old Style" w:hAnsi="Bookman Old Style"/>
        </w:rPr>
      </w:pPr>
    </w:p>
    <w:p w:rsidR="002E200E" w:rsidRPr="00CA1A93" w:rsidRDefault="002E200E" w:rsidP="002E200E">
      <w:pPr>
        <w:ind w:left="0"/>
        <w:jc w:val="both"/>
        <w:rPr>
          <w:rFonts w:ascii="Bookman Old Style" w:hAnsi="Bookman Old Style"/>
        </w:rPr>
      </w:pPr>
      <w:r w:rsidRPr="00CA1A93">
        <w:rPr>
          <w:rFonts w:ascii="Bookman Old Style" w:hAnsi="Bookman Old Style"/>
        </w:rPr>
        <w:t xml:space="preserve">Finalmente, el componente </w:t>
      </w:r>
      <m:oMath>
        <m:sSub>
          <m:sSubPr>
            <m:ctrlPr>
              <w:rPr>
                <w:rFonts w:ascii="Cambria Math" w:hAnsi="Cambria Math"/>
                <w:i/>
              </w:rPr>
            </m:ctrlPr>
          </m:sSubPr>
          <m:e>
            <m:r>
              <w:rPr>
                <w:rFonts w:ascii="Cambria Math" w:hAnsi="Cambria Math"/>
              </w:rPr>
              <m:t>G</m:t>
            </m:r>
          </m:e>
          <m:sub>
            <m:r>
              <w:rPr>
                <w:rFonts w:ascii="Cambria Math" w:hAnsi="Cambria Math"/>
              </w:rPr>
              <m:t>m,i,j</m:t>
            </m:r>
          </m:sub>
        </m:sSub>
      </m:oMath>
      <w:r w:rsidRPr="00CA1A93">
        <w:rPr>
          <w:rFonts w:ascii="Bookman Old Style" w:hAnsi="Bookman Old Style"/>
        </w:rPr>
        <w:t xml:space="preserve"> quedará definido de la siguiente forma:</w:t>
      </w:r>
    </w:p>
    <w:p w:rsidR="002E200E" w:rsidRPr="00CA1A93" w:rsidRDefault="002E200E" w:rsidP="002E200E">
      <w:pPr>
        <w:ind w:left="0"/>
        <w:jc w:val="both"/>
        <w:rPr>
          <w:rFonts w:ascii="Bookman Old Style" w:hAnsi="Bookman Old Style"/>
        </w:rPr>
      </w:pPr>
    </w:p>
    <w:p w:rsidR="002E200E" w:rsidRPr="001375AB" w:rsidRDefault="002F3937" w:rsidP="002E200E">
      <w:pPr>
        <w:jc w:val="center"/>
        <w:rPr>
          <w:rFonts w:ascii="Bookman Old Style" w:hAnsi="Bookman Old Style"/>
          <w:color w:val="000000" w:themeColor="text1"/>
          <w:sz w:val="20"/>
          <w:lang w:val="es-CO"/>
        </w:rPr>
      </w:pPr>
      <m:oMathPara>
        <m:oMath>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G</m:t>
              </m:r>
            </m:e>
            <m:sub>
              <m:r>
                <w:rPr>
                  <w:rFonts w:ascii="Cambria Math" w:hAnsi="Cambria Math"/>
                  <w:color w:val="000000" w:themeColor="text1"/>
                  <w:sz w:val="20"/>
                  <w:lang w:val="es-CO"/>
                </w:rPr>
                <m:t>m,i,j</m:t>
              </m:r>
            </m:sub>
          </m:sSub>
          <m:r>
            <w:rPr>
              <w:rFonts w:ascii="Cambria Math" w:hAnsi="Cambria Math"/>
              <w:color w:val="000000" w:themeColor="text1"/>
              <w:sz w:val="20"/>
              <w:lang w:val="es-CO"/>
            </w:rPr>
            <m:t>=</m:t>
          </m:r>
          <m:sSub>
            <m:sSubPr>
              <m:ctrlPr>
                <w:rPr>
                  <w:rFonts w:ascii="Cambria Math" w:hAnsi="Cambria Math"/>
                  <w:i/>
                  <w:sz w:val="20"/>
                </w:rPr>
              </m:ctrlPr>
            </m:sSubPr>
            <m:e>
              <m:r>
                <w:rPr>
                  <w:rFonts w:ascii="Cambria Math" w:hAnsi="Cambria Math"/>
                  <w:sz w:val="20"/>
                </w:rPr>
                <m:t>ω</m:t>
              </m:r>
            </m:e>
            <m:sub>
              <m:r>
                <w:rPr>
                  <w:rFonts w:ascii="Cambria Math" w:hAnsi="Cambria Math"/>
                  <w:sz w:val="20"/>
                </w:rPr>
                <m:t>m-1,i</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Qc</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α</m:t>
                  </m:r>
                </m:e>
                <m:sub>
                  <m:r>
                    <w:rPr>
                      <w:rFonts w:ascii="Cambria Math" w:hAnsi="Cambria Math"/>
                      <w:color w:val="000000" w:themeColor="text1"/>
                      <w:sz w:val="20"/>
                      <w:lang w:val="es-CO"/>
                    </w:rPr>
                    <m:t>i,j</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Pc</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r>
                    <w:rPr>
                      <w:rFonts w:ascii="Cambria Math" w:hAnsi="Cambria Math"/>
                      <w:color w:val="000000" w:themeColor="text1"/>
                      <w:sz w:val="20"/>
                      <w:lang w:val="es-CO"/>
                    </w:rPr>
                    <m:t>1-</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α</m:t>
                      </m:r>
                    </m:e>
                    <m:sub>
                      <m:r>
                        <w:rPr>
                          <w:rFonts w:ascii="Cambria Math" w:hAnsi="Cambria Math"/>
                          <w:color w:val="000000" w:themeColor="text1"/>
                          <w:sz w:val="20"/>
                          <w:lang w:val="es-CO"/>
                        </w:rPr>
                        <m:t>i,j</m:t>
                      </m:r>
                    </m:sub>
                  </m:sSub>
                </m:e>
              </m:d>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Mc</m:t>
                  </m:r>
                </m:e>
                <m:sub>
                  <m:r>
                    <w:rPr>
                      <w:rFonts w:ascii="Cambria Math" w:hAnsi="Cambria Math"/>
                      <w:color w:val="000000" w:themeColor="text1"/>
                      <w:sz w:val="20"/>
                      <w:lang w:val="es-CO"/>
                    </w:rPr>
                    <m:t>m-1</m:t>
                  </m:r>
                </m:sub>
              </m:sSub>
            </m:e>
          </m:d>
        </m:oMath>
      </m:oMathPara>
    </w:p>
    <w:p w:rsidR="002E200E" w:rsidRPr="001375AB" w:rsidRDefault="002E200E" w:rsidP="002E200E">
      <w:pPr>
        <w:jc w:val="center"/>
        <w:rPr>
          <w:color w:val="000000" w:themeColor="text1"/>
          <w:sz w:val="20"/>
          <w:lang w:val="es-CO"/>
        </w:rPr>
      </w:pPr>
      <m:oMathPara>
        <m:oMathParaPr>
          <m:jc m:val="center"/>
        </m:oMathParaPr>
        <m:oMath>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r>
                <w:rPr>
                  <w:rFonts w:ascii="Cambria Math" w:hAnsi="Cambria Math"/>
                  <w:color w:val="000000" w:themeColor="text1"/>
                  <w:sz w:val="20"/>
                  <w:lang w:val="es-CO"/>
                </w:rPr>
                <m:t>1-</m:t>
              </m:r>
              <m:sSub>
                <m:sSubPr>
                  <m:ctrlPr>
                    <w:rPr>
                      <w:rFonts w:ascii="Cambria Math" w:hAnsi="Cambria Math"/>
                      <w:i/>
                      <w:sz w:val="20"/>
                    </w:rPr>
                  </m:ctrlPr>
                </m:sSubPr>
                <m:e>
                  <m:r>
                    <w:rPr>
                      <w:rFonts w:ascii="Cambria Math" w:hAnsi="Cambria Math"/>
                      <w:sz w:val="20"/>
                    </w:rPr>
                    <m:t>ω</m:t>
                  </m:r>
                </m:e>
                <m:sub>
                  <m:r>
                    <w:rPr>
                      <w:rFonts w:ascii="Cambria Math" w:hAnsi="Cambria Math"/>
                      <w:sz w:val="20"/>
                    </w:rPr>
                    <m:t>m-1,i</m:t>
                  </m:r>
                </m:sub>
              </m:sSub>
              <m:ctrlPr>
                <w:rPr>
                  <w:rFonts w:ascii="Cambria Math" w:hAnsi="Cambria Math"/>
                  <w:i/>
                  <w:sz w:val="20"/>
                </w:rPr>
              </m:ctrlPr>
            </m:e>
          </m:d>
          <m:r>
            <w:rPr>
              <w:rFonts w:ascii="Cambria Math" w:hAnsi="Cambria Math"/>
              <w:sz w:val="20"/>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Qc</m:t>
              </m:r>
            </m:e>
            <m:sub>
              <m:r>
                <w:rPr>
                  <w:rFonts w:ascii="Cambria Math" w:hAnsi="Cambria Math"/>
                  <w:color w:val="000000" w:themeColor="text1"/>
                  <w:sz w:val="20"/>
                  <w:lang w:val="es-CO"/>
                </w:rPr>
                <m:t>m-1,i</m:t>
              </m:r>
            </m:sub>
          </m:sSub>
          <m:r>
            <w:rPr>
              <w:rFonts w:ascii="Cambria Math" w:hAnsi="Cambria Math"/>
              <w:color w:val="000000" w:themeColor="text1"/>
              <w:sz w:val="20"/>
              <w:lang w:val="es-CO"/>
            </w:rPr>
            <m:t>*PS</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A</m:t>
              </m:r>
            </m:e>
            <m:sub>
              <m:r>
                <w:rPr>
                  <w:rFonts w:ascii="Cambria Math" w:hAnsi="Cambria Math"/>
                  <w:color w:val="000000" w:themeColor="text1"/>
                  <w:sz w:val="20"/>
                  <w:lang w:val="es-CO"/>
                </w:rPr>
                <m:t>m-1;i</m:t>
              </m:r>
            </m:sub>
          </m:sSub>
          <m:r>
            <w:rPr>
              <w:rFonts w:ascii="Cambria Math" w:hAnsi="Cambria Math"/>
              <w:color w:val="000000" w:themeColor="text1"/>
              <w:sz w:val="20"/>
              <w:lang w:val="es-CO"/>
            </w:rPr>
            <m:t>+ CU</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G</m:t>
              </m:r>
            </m:e>
            <m:sub>
              <m:r>
                <w:rPr>
                  <w:rFonts w:ascii="Cambria Math" w:hAnsi="Cambria Math"/>
                  <w:color w:val="000000" w:themeColor="text1"/>
                  <w:sz w:val="20"/>
                  <w:lang w:val="es-CO"/>
                </w:rPr>
                <m:t>m-1,i</m:t>
              </m:r>
            </m:sub>
          </m:sSub>
          <m:r>
            <w:rPr>
              <w:rFonts w:ascii="Cambria Math" w:hAnsi="Cambria Math"/>
              <w:color w:val="000000" w:themeColor="text1"/>
              <w:sz w:val="20"/>
              <w:lang w:val="es-CO"/>
            </w:rPr>
            <m:t>-EG</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P</m:t>
              </m:r>
            </m:e>
            <m:sub>
              <m:r>
                <w:rPr>
                  <w:rFonts w:ascii="Cambria Math" w:hAnsi="Cambria Math"/>
                  <w:color w:val="000000" w:themeColor="text1"/>
                  <w:sz w:val="20"/>
                  <w:lang w:val="es-CO"/>
                </w:rPr>
                <m:t>i</m:t>
              </m:r>
            </m:sub>
          </m:sSub>
          <m:r>
            <w:rPr>
              <w:rFonts w:ascii="Cambria Math" w:hAnsi="Cambria Math"/>
              <w:color w:val="000000" w:themeColor="text1"/>
              <w:sz w:val="20"/>
              <w:lang w:val="es-CO"/>
            </w:rPr>
            <m:t>+</m:t>
          </m:r>
          <m:d>
            <m:dPr>
              <m:ctrlPr>
                <w:rPr>
                  <w:rFonts w:ascii="Cambria Math" w:hAnsi="Cambria Math"/>
                  <w:i/>
                  <w:color w:val="000000" w:themeColor="text1"/>
                  <w:sz w:val="20"/>
                  <w:lang w:val="es-CO"/>
                </w:rPr>
              </m:ctrlPr>
            </m:dPr>
            <m:e>
              <m:r>
                <w:rPr>
                  <w:rFonts w:ascii="Cambria Math" w:hAnsi="Cambria Math"/>
                  <w:color w:val="000000" w:themeColor="text1"/>
                  <w:sz w:val="20"/>
                  <w:lang w:val="es-CO"/>
                </w:rPr>
                <m:t>1-</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Qc</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Qagd</m:t>
                  </m:r>
                </m:e>
                <m:sub>
                  <m:r>
                    <w:rPr>
                      <w:rFonts w:ascii="Cambria Math" w:hAnsi="Cambria Math"/>
                      <w:color w:val="000000" w:themeColor="text1"/>
                      <w:sz w:val="20"/>
                      <w:lang w:val="es-CO"/>
                    </w:rPr>
                    <m:t>m-1,i</m:t>
                  </m:r>
                </m:sub>
              </m:sSub>
            </m:e>
          </m:d>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Pb</m:t>
              </m:r>
            </m:e>
            <m:sub>
              <m:r>
                <w:rPr>
                  <w:rFonts w:ascii="Cambria Math" w:hAnsi="Cambria Math"/>
                  <w:color w:val="000000" w:themeColor="text1"/>
                  <w:sz w:val="20"/>
                  <w:lang w:val="es-CO"/>
                </w:rPr>
                <m:t>m-1,i</m:t>
              </m:r>
            </m:sub>
          </m:sSub>
          <m:r>
            <w:rPr>
              <w:rFonts w:ascii="Cambria Math" w:hAnsi="Cambria Math"/>
              <w:color w:val="000000" w:themeColor="text1"/>
              <w:sz w:val="20"/>
              <w:lang w:val="es-CO"/>
            </w:rPr>
            <m:t>+</m:t>
          </m:r>
          <m:sSub>
            <m:sSubPr>
              <m:ctrlPr>
                <w:rPr>
                  <w:rFonts w:ascii="Cambria Math" w:hAnsi="Cambria Math"/>
                  <w:i/>
                  <w:color w:val="000000" w:themeColor="text1"/>
                  <w:sz w:val="20"/>
                  <w:lang w:val="es-CO"/>
                </w:rPr>
              </m:ctrlPr>
            </m:sSubPr>
            <m:e>
              <m:r>
                <w:rPr>
                  <w:rFonts w:ascii="Cambria Math" w:hAnsi="Cambria Math"/>
                  <w:color w:val="000000" w:themeColor="text1"/>
                  <w:sz w:val="20"/>
                  <w:lang w:val="es-CO"/>
                </w:rPr>
                <m:t>AJ</m:t>
              </m:r>
            </m:e>
            <m:sub>
              <m:r>
                <w:rPr>
                  <w:rFonts w:ascii="Cambria Math" w:hAnsi="Cambria Math"/>
                  <w:color w:val="000000" w:themeColor="text1"/>
                  <w:sz w:val="20"/>
                  <w:lang w:val="es-CO"/>
                </w:rPr>
                <m:t>m,i</m:t>
              </m:r>
            </m:sub>
          </m:sSub>
          <m:r>
            <w:rPr>
              <w:rFonts w:ascii="Cambria Math" w:hAnsi="Cambria Math"/>
              <w:sz w:val="20"/>
              <w:lang w:val="es-CO"/>
            </w:rPr>
            <m:t>+</m:t>
          </m:r>
          <m:sSub>
            <m:sSubPr>
              <m:ctrlPr>
                <w:rPr>
                  <w:rFonts w:ascii="Cambria Math" w:hAnsi="Cambria Math"/>
                  <w:i/>
                  <w:sz w:val="20"/>
                  <w:lang w:val="es-CO"/>
                </w:rPr>
              </m:ctrlPr>
            </m:sSubPr>
            <m:e>
              <m:r>
                <w:rPr>
                  <w:rFonts w:ascii="Cambria Math" w:hAnsi="Cambria Math"/>
                  <w:sz w:val="20"/>
                  <w:lang w:val="es-CO"/>
                </w:rPr>
                <m:t>G_transitorio</m:t>
              </m:r>
            </m:e>
            <m:sub>
              <m:r>
                <w:rPr>
                  <w:rFonts w:ascii="Cambria Math" w:hAnsi="Cambria Math"/>
                  <w:sz w:val="20"/>
                  <w:lang w:val="es-CO"/>
                </w:rPr>
                <m:t>m,i,j</m:t>
              </m:r>
            </m:sub>
          </m:sSub>
        </m:oMath>
      </m:oMathPara>
    </w:p>
    <w:p w:rsidR="002E200E" w:rsidRPr="00CA1A93" w:rsidRDefault="002E200E" w:rsidP="002E200E">
      <w:pPr>
        <w:ind w:left="0"/>
        <w:jc w:val="both"/>
        <w:rPr>
          <w:rFonts w:ascii="Bookman Old Style" w:hAnsi="Bookman Old Style"/>
        </w:rPr>
      </w:pPr>
    </w:p>
    <w:p w:rsidR="002E200E" w:rsidRPr="00CA1A93" w:rsidRDefault="002E200E" w:rsidP="002E200E">
      <w:pPr>
        <w:ind w:left="0"/>
        <w:jc w:val="both"/>
        <w:rPr>
          <w:rFonts w:ascii="Bookman Old Style" w:hAnsi="Bookman Old Style"/>
        </w:rPr>
      </w:pPr>
      <w:r w:rsidRPr="00CA1A93">
        <w:rPr>
          <w:rFonts w:ascii="Bookman Old Style" w:hAnsi="Bookman Old Style"/>
        </w:rPr>
        <w:t>Donde:</w:t>
      </w:r>
    </w:p>
    <w:p w:rsidR="002E200E" w:rsidRPr="00CA1A93" w:rsidRDefault="002E200E" w:rsidP="002E200E">
      <w:pPr>
        <w:ind w:left="0"/>
        <w:jc w:val="both"/>
        <w:rPr>
          <w:rFonts w:ascii="Bookman Old Style" w:hAnsi="Bookman Old Style"/>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0"/>
        <w:gridCol w:w="7366"/>
      </w:tblGrid>
      <w:tr w:rsidR="002E200E" w:rsidRPr="00CA1A93" w:rsidTr="004D5355">
        <w:trPr>
          <w:trHeight w:val="674"/>
        </w:trPr>
        <w:tc>
          <w:tcPr>
            <w:tcW w:w="1980" w:type="dxa"/>
          </w:tcPr>
          <w:p w:rsidR="002E200E" w:rsidRPr="00CA1A93" w:rsidRDefault="002E200E" w:rsidP="005C7414">
            <w:pPr>
              <w:ind w:left="0"/>
              <w:rPr>
                <w:bCs/>
              </w:rPr>
            </w:pPr>
            <m:oMath>
              <m:r>
                <w:rPr>
                  <w:rFonts w:ascii="Cambria Math" w:hAnsi="Cambria Math"/>
                </w:rPr>
                <m:t>m</m:t>
              </m:r>
            </m:oMath>
            <w:r w:rsidRPr="00CA1A93">
              <w:rPr>
                <w:bCs/>
              </w:rPr>
              <w:t xml:space="preserve">: </w:t>
            </w:r>
          </w:p>
        </w:tc>
        <w:tc>
          <w:tcPr>
            <w:tcW w:w="7366" w:type="dxa"/>
          </w:tcPr>
          <w:p w:rsidR="00D34116" w:rsidRPr="00CA1A93" w:rsidRDefault="002E200E" w:rsidP="004D5355">
            <w:pPr>
              <w:ind w:left="0"/>
              <w:jc w:val="both"/>
              <w:rPr>
                <w:rFonts w:ascii="Bookman Old Style" w:hAnsi="Bookman Old Style"/>
                <w:bCs/>
              </w:rPr>
            </w:pPr>
            <w:r w:rsidRPr="00CA1A93">
              <w:rPr>
                <w:rFonts w:ascii="Bookman Old Style" w:hAnsi="Bookman Old Style"/>
                <w:bCs/>
              </w:rPr>
              <w:t>Mes para el cual se calcula el costo unitario de prestación del servicio (CU).</w:t>
            </w:r>
          </w:p>
        </w:tc>
      </w:tr>
      <w:tr w:rsidR="002E200E" w:rsidRPr="00CA1A93" w:rsidTr="004D5355">
        <w:trPr>
          <w:trHeight w:val="428"/>
        </w:trPr>
        <w:tc>
          <w:tcPr>
            <w:tcW w:w="1980" w:type="dxa"/>
          </w:tcPr>
          <w:p w:rsidR="002E200E" w:rsidRPr="00CA1A93" w:rsidRDefault="002E200E" w:rsidP="005C7414">
            <w:pPr>
              <w:ind w:left="0"/>
              <w:rPr>
                <w:bCs/>
              </w:rPr>
            </w:pPr>
            <m:oMathPara>
              <m:oMathParaPr>
                <m:jc m:val="left"/>
              </m:oMathParaPr>
              <m:oMath>
                <m:r>
                  <w:rPr>
                    <w:rFonts w:ascii="Cambria Math" w:hAnsi="Cambria Math"/>
                  </w:rPr>
                  <m:t xml:space="preserve">i: </m:t>
                </m:r>
              </m:oMath>
            </m:oMathPara>
          </w:p>
        </w:tc>
        <w:tc>
          <w:tcPr>
            <w:tcW w:w="7366" w:type="dxa"/>
          </w:tcPr>
          <w:p w:rsidR="00D34116" w:rsidRPr="00CA1A93" w:rsidRDefault="002E200E" w:rsidP="004D5355">
            <w:pPr>
              <w:ind w:left="0"/>
              <w:jc w:val="both"/>
              <w:rPr>
                <w:rFonts w:ascii="Bookman Old Style" w:hAnsi="Bookman Old Style"/>
                <w:bCs/>
              </w:rPr>
            </w:pPr>
            <w:r w:rsidRPr="00CA1A93">
              <w:rPr>
                <w:rFonts w:ascii="Bookman Old Style" w:hAnsi="Bookman Old Style"/>
                <w:bCs/>
              </w:rPr>
              <w:t xml:space="preserve">Comercializador </w:t>
            </w:r>
            <w:r w:rsidRPr="00CA1A93">
              <w:rPr>
                <w:rFonts w:ascii="Bookman Old Style" w:hAnsi="Bookman Old Style"/>
                <w:bCs/>
                <w:i/>
              </w:rPr>
              <w:t>i.</w:t>
            </w:r>
          </w:p>
        </w:tc>
      </w:tr>
      <w:tr w:rsidR="002E200E" w:rsidRPr="00CA1A93" w:rsidTr="004D5355">
        <w:trPr>
          <w:trHeight w:val="420"/>
        </w:trPr>
        <w:tc>
          <w:tcPr>
            <w:tcW w:w="1980" w:type="dxa"/>
          </w:tcPr>
          <w:p w:rsidR="002E200E" w:rsidRPr="00CA1A93" w:rsidRDefault="002E200E" w:rsidP="005C7414">
            <w:pPr>
              <w:ind w:left="0"/>
              <w:rPr>
                <w:bCs/>
              </w:rPr>
            </w:pPr>
            <m:oMath>
              <m:r>
                <w:rPr>
                  <w:rFonts w:ascii="Cambria Math" w:hAnsi="Cambria Math"/>
                </w:rPr>
                <m:t>j</m:t>
              </m:r>
            </m:oMath>
            <w:r w:rsidRPr="00CA1A93">
              <w:rPr>
                <w:bCs/>
              </w:rPr>
              <w:t>:</w:t>
            </w:r>
          </w:p>
        </w:tc>
        <w:tc>
          <w:tcPr>
            <w:tcW w:w="7366" w:type="dxa"/>
          </w:tcPr>
          <w:p w:rsidR="002E200E" w:rsidRPr="00CA1A93" w:rsidRDefault="002E200E" w:rsidP="005C7414">
            <w:pPr>
              <w:ind w:left="0"/>
              <w:jc w:val="both"/>
              <w:rPr>
                <w:rFonts w:ascii="Bookman Old Style" w:hAnsi="Bookman Old Style"/>
                <w:bCs/>
              </w:rPr>
            </w:pPr>
            <w:r w:rsidRPr="00CA1A93">
              <w:rPr>
                <w:rFonts w:ascii="Bookman Old Style" w:hAnsi="Bookman Old Style"/>
                <w:bCs/>
              </w:rPr>
              <w:t xml:space="preserve">Mercado de comercialización </w:t>
            </w:r>
            <w:r w:rsidRPr="00CA1A93">
              <w:rPr>
                <w:rFonts w:ascii="Bookman Old Style" w:hAnsi="Bookman Old Style"/>
                <w:bCs/>
                <w:i/>
              </w:rPr>
              <w:t>j</w:t>
            </w:r>
            <w:r w:rsidRPr="00CA1A93">
              <w:rPr>
                <w:rFonts w:ascii="Bookman Old Style" w:hAnsi="Bookman Old Style"/>
                <w:bCs/>
              </w:rPr>
              <w:t>.</w:t>
            </w:r>
          </w:p>
        </w:tc>
      </w:tr>
      <w:tr w:rsidR="002E200E" w:rsidRPr="00CA1A93" w:rsidTr="004D5355">
        <w:trPr>
          <w:trHeight w:val="712"/>
        </w:trPr>
        <w:tc>
          <w:tcPr>
            <w:tcW w:w="1980" w:type="dxa"/>
          </w:tcPr>
          <w:p w:rsidR="002E200E" w:rsidRPr="00CA1A93" w:rsidRDefault="002F3937" w:rsidP="005C7414">
            <w:pPr>
              <w:tabs>
                <w:tab w:val="left" w:pos="0"/>
                <w:tab w:val="left" w:pos="284"/>
              </w:tabs>
              <w:ind w:left="0"/>
              <w:jc w:val="both"/>
              <w:rPr>
                <w:rFonts w:ascii="Bookman Old Style" w:hAnsi="Bookman Old Style"/>
              </w:rPr>
            </w:pPr>
            <m:oMath>
              <m:sSub>
                <m:sSubPr>
                  <m:ctrlPr>
                    <w:rPr>
                      <w:rFonts w:ascii="Cambria Math" w:hAnsi="Cambria Math"/>
                      <w:i/>
                    </w:rPr>
                  </m:ctrlPr>
                </m:sSubPr>
                <m:e>
                  <m:r>
                    <w:rPr>
                      <w:rFonts w:ascii="Cambria Math" w:hAnsi="Cambria Math"/>
                    </w:rPr>
                    <m:t>ω</m:t>
                  </m:r>
                </m:e>
                <m:sub>
                  <m:r>
                    <w:rPr>
                      <w:rFonts w:ascii="Cambria Math" w:hAnsi="Cambria Math"/>
                    </w:rPr>
                    <m:t>m-1,i</m:t>
                  </m:r>
                </m:sub>
              </m:sSub>
            </m:oMath>
            <w:r w:rsidR="002E200E" w:rsidRPr="00CA1A93">
              <w:rPr>
                <w:rFonts w:ascii="Bookman Old Style" w:hAnsi="Bookman Old Style"/>
              </w:rPr>
              <w:t>:</w:t>
            </w:r>
          </w:p>
        </w:tc>
        <w:tc>
          <w:tcPr>
            <w:tcW w:w="7366" w:type="dxa"/>
          </w:tcPr>
          <w:p w:rsidR="002E200E" w:rsidRPr="00CA1A93" w:rsidRDefault="002E200E" w:rsidP="005C7414">
            <w:pPr>
              <w:tabs>
                <w:tab w:val="left" w:pos="0"/>
                <w:tab w:val="left" w:pos="284"/>
              </w:tabs>
              <w:ind w:left="0"/>
              <w:jc w:val="both"/>
              <w:rPr>
                <w:rFonts w:ascii="Bookman Old Style" w:hAnsi="Bookman Old Style"/>
              </w:rPr>
            </w:pPr>
            <w:r w:rsidRPr="00CA1A93">
              <w:rPr>
                <w:rFonts w:ascii="Bookman Old Style" w:hAnsi="Bookman Old Style"/>
                <w:bCs/>
              </w:rPr>
              <w:t xml:space="preserve">Ponderador de los precios de los contratos bilaterales del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m-1.</w:t>
            </w:r>
          </w:p>
        </w:tc>
      </w:tr>
      <w:tr w:rsidR="002E200E" w:rsidRPr="00CA1A93" w:rsidTr="005C7414">
        <w:tc>
          <w:tcPr>
            <w:tcW w:w="1980" w:type="dxa"/>
          </w:tcPr>
          <w:p w:rsidR="002E200E" w:rsidRPr="00CA1A93" w:rsidRDefault="002E200E" w:rsidP="005C7414">
            <w:pPr>
              <w:tabs>
                <w:tab w:val="left" w:pos="0"/>
                <w:tab w:val="left" w:pos="284"/>
              </w:tabs>
              <w:ind w:left="0"/>
              <w:jc w:val="both"/>
              <w:rPr>
                <w:rFonts w:ascii="Bookman Old Style" w:hAnsi="Bookman Old Style"/>
              </w:rPr>
            </w:pPr>
            <m:oMath>
              <m:r>
                <w:rPr>
                  <w:rFonts w:ascii="Cambria Math" w:hAnsi="Cambria Math"/>
                </w:rPr>
                <m:t>Q</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A1A93">
              <w:rPr>
                <w:rFonts w:ascii="Bookman Old Style" w:hAnsi="Bookman Old Style"/>
              </w:rPr>
              <w:t>:</w:t>
            </w:r>
          </w:p>
        </w:tc>
        <w:tc>
          <w:tcPr>
            <w:tcW w:w="7366" w:type="dxa"/>
          </w:tcPr>
          <w:p w:rsidR="00F52111" w:rsidRPr="00CA1A93" w:rsidRDefault="002E200E" w:rsidP="00D34116">
            <w:pPr>
              <w:tabs>
                <w:tab w:val="left" w:pos="0"/>
                <w:tab w:val="left" w:pos="284"/>
              </w:tabs>
              <w:ind w:left="0"/>
              <w:jc w:val="both"/>
              <w:rPr>
                <w:rFonts w:ascii="Bookman Old Style" w:hAnsi="Bookman Old Style"/>
                <w:bCs/>
                <w:color w:val="000000"/>
              </w:rPr>
            </w:pPr>
            <w:r w:rsidRPr="00CA1A93">
              <w:rPr>
                <w:rFonts w:ascii="Bookman Old Style" w:hAnsi="Bookman Old Style"/>
                <w:bCs/>
              </w:rPr>
              <w:t xml:space="preserve">Es el menor valor entre 1 y el resultante de la relación energía comprada por el comercializador </w:t>
            </w:r>
            <w:r w:rsidRPr="00CA1A93">
              <w:rPr>
                <w:rFonts w:ascii="Bookman Old Style" w:hAnsi="Bookman Old Style"/>
                <w:bCs/>
                <w:i/>
              </w:rPr>
              <w:t>i</w:t>
            </w:r>
            <w:r w:rsidRPr="00CA1A93">
              <w:rPr>
                <w:rFonts w:ascii="Bookman Old Style" w:hAnsi="Bookman Old Style"/>
                <w:bCs/>
              </w:rPr>
              <w:t xml:space="preserve"> mediante contratos </w:t>
            </w:r>
            <w:r w:rsidRPr="00CA1A93">
              <w:rPr>
                <w:rFonts w:ascii="Bookman Old Style" w:hAnsi="Bookman Old Style"/>
                <w:bCs/>
                <w:color w:val="000000"/>
              </w:rPr>
              <w:t xml:space="preserve">bilaterales </w:t>
            </w:r>
            <w:r w:rsidRPr="00CA1A93">
              <w:rPr>
                <w:rFonts w:ascii="Bookman Old Style" w:hAnsi="Bookman Old Style"/>
                <w:color w:val="000000"/>
                <w:lang w:val="es-CO"/>
              </w:rPr>
              <w:t xml:space="preserve">con destino al mercado regulado </w:t>
            </w:r>
            <w:r w:rsidRPr="00CA1A93">
              <w:rPr>
                <w:rFonts w:ascii="Bookman Old Style" w:hAnsi="Bookman Old Style"/>
                <w:bCs/>
                <w:color w:val="000000"/>
              </w:rPr>
              <w:t xml:space="preserve">y la </w:t>
            </w:r>
            <w:r w:rsidRPr="00CA1A93">
              <w:rPr>
                <w:rFonts w:ascii="Bookman Old Style" w:hAnsi="Bookman Old Style"/>
                <w:bCs/>
                <w:color w:val="0D0D0D"/>
              </w:rPr>
              <w:t>demanda comercial del mercado regulado</w:t>
            </w:r>
            <w:r w:rsidRPr="00CA1A93">
              <w:rPr>
                <w:rFonts w:ascii="Bookman Old Style" w:hAnsi="Bookman Old Style"/>
                <w:bCs/>
                <w:color w:val="000000"/>
              </w:rPr>
              <w:t xml:space="preserve"> del comercializador </w:t>
            </w:r>
            <w:r w:rsidRPr="00CA1A93">
              <w:rPr>
                <w:rFonts w:ascii="Bookman Old Style" w:hAnsi="Bookman Old Style"/>
                <w:bCs/>
                <w:i/>
                <w:color w:val="000000"/>
              </w:rPr>
              <w:t>i</w:t>
            </w:r>
            <w:r w:rsidRPr="00CA1A93">
              <w:rPr>
                <w:rFonts w:ascii="Bookman Old Style" w:hAnsi="Bookman Old Style"/>
                <w:bCs/>
                <w:color w:val="000000"/>
              </w:rPr>
              <w:t xml:space="preserve">, en el mes </w:t>
            </w:r>
            <w:r w:rsidRPr="00CA1A93">
              <w:rPr>
                <w:rFonts w:ascii="Bookman Old Style" w:hAnsi="Bookman Old Style"/>
                <w:bCs/>
                <w:i/>
                <w:color w:val="000000"/>
              </w:rPr>
              <w:t>m-1</w:t>
            </w:r>
            <w:r w:rsidRPr="00CA1A93">
              <w:rPr>
                <w:rFonts w:ascii="Bookman Old Style" w:hAnsi="Bookman Old Style"/>
                <w:bCs/>
                <w:color w:val="000000"/>
              </w:rPr>
              <w:t>.</w:t>
            </w:r>
          </w:p>
          <w:p w:rsidR="00D34116" w:rsidRPr="00CA1A93" w:rsidRDefault="00D34116" w:rsidP="00D34116">
            <w:pPr>
              <w:tabs>
                <w:tab w:val="left" w:pos="0"/>
                <w:tab w:val="left" w:pos="284"/>
              </w:tabs>
              <w:ind w:left="0"/>
              <w:jc w:val="both"/>
              <w:rPr>
                <w:rFonts w:ascii="Bookman Old Style" w:hAnsi="Bookman Old Style"/>
              </w:rPr>
            </w:pPr>
          </w:p>
        </w:tc>
      </w:tr>
      <w:tr w:rsidR="00F52111" w:rsidRPr="00CA1A93" w:rsidTr="005C7414">
        <w:tc>
          <w:tcPr>
            <w:tcW w:w="1980" w:type="dxa"/>
          </w:tcPr>
          <w:p w:rsidR="00F52111" w:rsidRPr="00F26EB6" w:rsidRDefault="002F3937" w:rsidP="005C7414">
            <w:pPr>
              <w:tabs>
                <w:tab w:val="left" w:pos="0"/>
                <w:tab w:val="left" w:pos="284"/>
              </w:tabs>
              <w:ind w:left="0"/>
              <w:jc w:val="both"/>
            </w:pPr>
            <m:oMathPara>
              <m:oMathParaPr>
                <m:jc m:val="left"/>
              </m:oMathParaPr>
              <m:oMath>
                <m:sSub>
                  <m:sSubPr>
                    <m:ctrlPr>
                      <w:rPr>
                        <w:rFonts w:ascii="Cambria Math" w:hAnsi="Cambria Math"/>
                        <w:i/>
                        <w:color w:val="000000" w:themeColor="text1"/>
                        <w:lang w:val="es-CO"/>
                      </w:rPr>
                    </m:ctrlPr>
                  </m:sSubPr>
                  <m:e>
                    <m:r>
                      <w:rPr>
                        <w:rFonts w:ascii="Cambria Math" w:hAnsi="Cambria Math"/>
                        <w:color w:val="000000" w:themeColor="text1"/>
                        <w:lang w:val="es-CO"/>
                      </w:rPr>
                      <m:t>Qagd</m:t>
                    </m:r>
                  </m:e>
                  <m:sub>
                    <m:r>
                      <w:rPr>
                        <w:rFonts w:ascii="Cambria Math" w:hAnsi="Cambria Math"/>
                        <w:color w:val="000000" w:themeColor="text1"/>
                        <w:lang w:val="es-CO"/>
                      </w:rPr>
                      <m:t>m-1,i</m:t>
                    </m:r>
                  </m:sub>
                </m:sSub>
              </m:oMath>
            </m:oMathPara>
          </w:p>
        </w:tc>
        <w:tc>
          <w:tcPr>
            <w:tcW w:w="7366" w:type="dxa"/>
          </w:tcPr>
          <w:p w:rsidR="00F52111" w:rsidRDefault="00F52111" w:rsidP="00D34116">
            <w:pPr>
              <w:tabs>
                <w:tab w:val="left" w:pos="0"/>
                <w:tab w:val="left" w:pos="284"/>
              </w:tabs>
              <w:ind w:left="0"/>
              <w:jc w:val="both"/>
              <w:rPr>
                <w:rFonts w:ascii="Bookman Old Style" w:hAnsi="Bookman Old Style"/>
                <w:bCs/>
              </w:rPr>
            </w:pPr>
            <w:r w:rsidRPr="00FF3158">
              <w:rPr>
                <w:rFonts w:ascii="Bookman Old Style" w:hAnsi="Bookman Old Style"/>
                <w:bCs/>
              </w:rPr>
              <w:t xml:space="preserve">Suma de compras de AGPE y GD del </w:t>
            </w:r>
            <w:r>
              <w:rPr>
                <w:rFonts w:ascii="Bookman Old Style" w:hAnsi="Bookman Old Style"/>
                <w:bCs/>
              </w:rPr>
              <w:t xml:space="preserve">comercializador </w:t>
            </w:r>
            <w:r w:rsidRPr="00502040">
              <w:rPr>
                <w:rFonts w:ascii="Bookman Old Style" w:hAnsi="Bookman Old Style"/>
                <w:bCs/>
                <w:i/>
              </w:rPr>
              <w:t>i</w:t>
            </w:r>
            <w:r>
              <w:rPr>
                <w:rFonts w:ascii="Bookman Old Style" w:hAnsi="Bookman Old Style"/>
                <w:bCs/>
              </w:rPr>
              <w:t xml:space="preserve"> en el mes </w:t>
            </w:r>
            <w:r w:rsidRPr="00502040">
              <w:rPr>
                <w:rFonts w:ascii="Bookman Old Style" w:hAnsi="Bookman Old Style"/>
                <w:bCs/>
                <w:i/>
              </w:rPr>
              <w:t>m-1</w:t>
            </w:r>
            <w:r>
              <w:rPr>
                <w:rFonts w:ascii="Bookman Old Style" w:hAnsi="Bookman Old Style"/>
                <w:bCs/>
              </w:rPr>
              <w:t xml:space="preserve"> de acuerdo con lo establecido en el </w:t>
            </w:r>
            <w:r w:rsidR="00B51531">
              <w:rPr>
                <w:rFonts w:ascii="Bookman Old Style" w:hAnsi="Bookman Old Style"/>
                <w:bCs/>
              </w:rPr>
              <w:t>A</w:t>
            </w:r>
            <w:r>
              <w:rPr>
                <w:rFonts w:ascii="Bookman Old Style" w:hAnsi="Bookman Old Style"/>
                <w:bCs/>
              </w:rPr>
              <w:t>nexo 2 de la Resolución CREG 030 de 2018.</w:t>
            </w:r>
          </w:p>
          <w:p w:rsidR="00F52111" w:rsidRPr="00CA1A93" w:rsidRDefault="00F52111" w:rsidP="00D34116">
            <w:pPr>
              <w:tabs>
                <w:tab w:val="left" w:pos="0"/>
                <w:tab w:val="left" w:pos="284"/>
              </w:tabs>
              <w:ind w:left="0"/>
              <w:jc w:val="both"/>
              <w:rPr>
                <w:rFonts w:ascii="Bookman Old Style" w:hAnsi="Bookman Old Style"/>
                <w:bCs/>
              </w:rPr>
            </w:pPr>
          </w:p>
        </w:tc>
      </w:tr>
      <w:tr w:rsidR="002E200E" w:rsidRPr="00CA1A93" w:rsidTr="004D5355">
        <w:trPr>
          <w:trHeight w:val="990"/>
        </w:trPr>
        <w:tc>
          <w:tcPr>
            <w:tcW w:w="1980" w:type="dxa"/>
          </w:tcPr>
          <w:p w:rsidR="002E200E" w:rsidRPr="00CA1A93" w:rsidRDefault="002E200E" w:rsidP="005C7414">
            <w:pPr>
              <w:tabs>
                <w:tab w:val="left" w:pos="0"/>
                <w:tab w:val="left" w:pos="284"/>
              </w:tabs>
              <w:ind w:left="0"/>
              <w:jc w:val="both"/>
              <w:rPr>
                <w:rFonts w:ascii="Bookman Old Style" w:hAnsi="Bookman Old Style"/>
              </w:rPr>
            </w:pPr>
            <m:oMath>
              <m:r>
                <w:rPr>
                  <w:rFonts w:ascii="Cambria Math" w:hAnsi="Cambria Math"/>
                </w:rPr>
                <m:t>C</m:t>
              </m:r>
              <m:sSub>
                <m:sSubPr>
                  <m:ctrlPr>
                    <w:rPr>
                      <w:rFonts w:ascii="Cambria Math" w:hAnsi="Cambria Math"/>
                      <w:i/>
                    </w:rPr>
                  </m:ctrlPr>
                </m:sSubPr>
                <m:e>
                  <m:r>
                    <w:rPr>
                      <w:rFonts w:ascii="Cambria Math" w:hAnsi="Cambria Math"/>
                    </w:rPr>
                    <m:t>c</m:t>
                  </m:r>
                </m:e>
                <m:sub>
                  <m:r>
                    <w:rPr>
                      <w:rFonts w:ascii="Cambria Math" w:hAnsi="Cambria Math"/>
                    </w:rPr>
                    <m:t>m-1,i</m:t>
                  </m:r>
                </m:sub>
              </m:sSub>
            </m:oMath>
            <w:r w:rsidRPr="00CA1A93">
              <w:rPr>
                <w:rFonts w:ascii="Bookman Old Style" w:hAnsi="Bookman Old Style"/>
              </w:rPr>
              <w:t>:</w:t>
            </w:r>
          </w:p>
        </w:tc>
        <w:tc>
          <w:tcPr>
            <w:tcW w:w="7366" w:type="dxa"/>
          </w:tcPr>
          <w:p w:rsidR="00D34116" w:rsidRPr="00CA1A93" w:rsidRDefault="002E200E" w:rsidP="004D5355">
            <w:pPr>
              <w:tabs>
                <w:tab w:val="left" w:pos="0"/>
                <w:tab w:val="left" w:pos="284"/>
              </w:tabs>
              <w:ind w:left="0"/>
              <w:jc w:val="both"/>
              <w:rPr>
                <w:rFonts w:ascii="Bookman Old Style" w:hAnsi="Bookman Old Style"/>
              </w:rPr>
            </w:pPr>
            <w:r w:rsidRPr="00CA1A93">
              <w:rPr>
                <w:rFonts w:ascii="Bookman Old Style" w:hAnsi="Bookman Old Style"/>
                <w:bCs/>
              </w:rPr>
              <w:t xml:space="preserve">Energía cubierta mediante contratos bilaterales por el comercializador </w:t>
            </w:r>
            <w:r w:rsidRPr="00CA1A93">
              <w:rPr>
                <w:rFonts w:ascii="Bookman Old Style" w:hAnsi="Bookman Old Style"/>
                <w:bCs/>
                <w:i/>
              </w:rPr>
              <w:t xml:space="preserve">i </w:t>
            </w:r>
            <w:r w:rsidRPr="00CA1A93">
              <w:rPr>
                <w:rFonts w:ascii="Bookman Old Style" w:hAnsi="Bookman Old Style"/>
                <w:bCs/>
              </w:rPr>
              <w:t>con destino al mercado regulado en el mes</w:t>
            </w:r>
            <w:r w:rsidRPr="00CA1A93">
              <w:rPr>
                <w:rFonts w:ascii="Bookman Old Style" w:hAnsi="Bookman Old Style"/>
                <w:bCs/>
                <w:i/>
              </w:rPr>
              <w:t xml:space="preserve"> m</w:t>
            </w:r>
            <w:r w:rsidRPr="00CA1A93">
              <w:rPr>
                <w:rFonts w:ascii="Bookman Old Style" w:hAnsi="Bookman Old Style"/>
                <w:bCs/>
              </w:rPr>
              <w:t>-</w:t>
            </w:r>
            <w:r w:rsidRPr="00CA1A93">
              <w:rPr>
                <w:rFonts w:ascii="Bookman Old Style" w:hAnsi="Bookman Old Style"/>
                <w:bCs/>
                <w:i/>
              </w:rPr>
              <w:t>1</w:t>
            </w:r>
            <w:r w:rsidRPr="00CA1A93">
              <w:rPr>
                <w:rFonts w:ascii="Bookman Old Style" w:hAnsi="Bookman Old Style"/>
                <w:bCs/>
              </w:rPr>
              <w:t>.</w:t>
            </w:r>
          </w:p>
        </w:tc>
      </w:tr>
      <w:tr w:rsidR="002E200E" w:rsidRPr="00CA1A93" w:rsidTr="005C7414">
        <w:tc>
          <w:tcPr>
            <w:tcW w:w="1980" w:type="dxa"/>
          </w:tcPr>
          <w:p w:rsidR="002E200E" w:rsidRPr="00CA1A93" w:rsidRDefault="002F3937" w:rsidP="005C7414">
            <w:pPr>
              <w:tabs>
                <w:tab w:val="left" w:pos="0"/>
                <w:tab w:val="left" w:pos="284"/>
              </w:tabs>
              <w:ind w:left="0"/>
              <w:jc w:val="both"/>
              <w:rPr>
                <w:rFonts w:ascii="Bookman Old Style" w:hAnsi="Bookman Old Style"/>
              </w:rPr>
            </w:pPr>
            <m:oMath>
              <m:sSub>
                <m:sSubPr>
                  <m:ctrlPr>
                    <w:rPr>
                      <w:rFonts w:ascii="Cambria Math" w:hAnsi="Cambria Math"/>
                      <w:i/>
                      <w:color w:val="000000" w:themeColor="text1"/>
                      <w:lang w:val="es-CO"/>
                    </w:rPr>
                  </m:ctrlPr>
                </m:sSubPr>
                <m:e>
                  <m:r>
                    <w:rPr>
                      <w:rFonts w:ascii="Cambria Math" w:hAnsi="Cambria Math"/>
                      <w:color w:val="000000" w:themeColor="text1"/>
                      <w:lang w:val="es-CO"/>
                    </w:rPr>
                    <m:t>Pc</m:t>
                  </m:r>
                </m:e>
                <m:sub>
                  <m:r>
                    <w:rPr>
                      <w:rFonts w:ascii="Cambria Math" w:hAnsi="Cambria Math"/>
                      <w:color w:val="000000" w:themeColor="text1"/>
                      <w:lang w:val="es-CO"/>
                    </w:rPr>
                    <m:t>m-1,i</m:t>
                  </m:r>
                </m:sub>
              </m:sSub>
              <m:r>
                <w:rPr>
                  <w:rFonts w:ascii="Cambria Math" w:hAnsi="Cambria Math"/>
                  <w:color w:val="000000" w:themeColor="text1"/>
                  <w:lang w:val="es-CO"/>
                </w:rPr>
                <m:t>:</m:t>
              </m:r>
            </m:oMath>
            <w:r w:rsidR="002E200E" w:rsidRPr="00CA1A93">
              <w:rPr>
                <w:color w:val="000000" w:themeColor="text1"/>
                <w:lang w:val="es-CO"/>
              </w:rPr>
              <w:t xml:space="preserve"> </w:t>
            </w:r>
          </w:p>
        </w:tc>
        <w:tc>
          <w:tcPr>
            <w:tcW w:w="7366" w:type="dxa"/>
          </w:tcPr>
          <w:p w:rsidR="002E200E" w:rsidRPr="00CA1A93" w:rsidRDefault="002E200E" w:rsidP="00D34116">
            <w:pPr>
              <w:tabs>
                <w:tab w:val="left" w:pos="0"/>
                <w:tab w:val="left" w:pos="284"/>
              </w:tabs>
              <w:ind w:left="0"/>
              <w:jc w:val="both"/>
              <w:rPr>
                <w:rFonts w:ascii="Bookman Old Style" w:hAnsi="Bookman Old Style"/>
              </w:rPr>
            </w:pPr>
            <w:r w:rsidRPr="00CA1A93">
              <w:rPr>
                <w:rFonts w:ascii="Bookman Old Style" w:hAnsi="Bookman Old Style"/>
                <w:bCs/>
              </w:rPr>
              <w:t xml:space="preserve">Costo promedio ponderado por energía, </w:t>
            </w:r>
            <w:r w:rsidRPr="00CA1A93">
              <w:rPr>
                <w:rFonts w:ascii="Bookman Old Style" w:hAnsi="Bookman Old Style"/>
              </w:rPr>
              <w:t>expresado en pesos por kilovatio hora (COP/kWh)</w:t>
            </w:r>
            <w:r w:rsidRPr="00CA1A93">
              <w:rPr>
                <w:rFonts w:ascii="Bookman Old Style" w:hAnsi="Bookman Old Style"/>
                <w:bCs/>
              </w:rPr>
              <w:t xml:space="preserve">, de las compras propias del comercializador </w:t>
            </w:r>
            <w:r w:rsidRPr="00CA1A93">
              <w:rPr>
                <w:rFonts w:ascii="Bookman Old Style" w:hAnsi="Bookman Old Style"/>
                <w:bCs/>
                <w:i/>
              </w:rPr>
              <w:t>i</w:t>
            </w:r>
            <w:r w:rsidRPr="00CA1A93">
              <w:rPr>
                <w:rFonts w:ascii="Bookman Old Style" w:hAnsi="Bookman Old Style"/>
                <w:bCs/>
              </w:rPr>
              <w:t xml:space="preserve"> mediante contratos bilaterales con destino al mercado regulado, liquidados en el mes </w:t>
            </w:r>
            <w:r w:rsidRPr="00CA1A93">
              <w:rPr>
                <w:rFonts w:ascii="Bookman Old Style" w:hAnsi="Bookman Old Style"/>
                <w:bCs/>
                <w:i/>
              </w:rPr>
              <w:t>m-1</w:t>
            </w:r>
            <w:r w:rsidRPr="00CA1A93">
              <w:rPr>
                <w:rFonts w:ascii="Bookman Old Style" w:hAnsi="Bookman Old Style"/>
                <w:bCs/>
              </w:rPr>
              <w:t>.</w:t>
            </w:r>
          </w:p>
        </w:tc>
      </w:tr>
      <w:tr w:rsidR="002E200E" w:rsidRPr="00CA1A93" w:rsidTr="005C7414">
        <w:tc>
          <w:tcPr>
            <w:tcW w:w="1980" w:type="dxa"/>
          </w:tcPr>
          <w:p w:rsidR="002E200E" w:rsidRPr="00CA1A93" w:rsidRDefault="002F3937" w:rsidP="005C7414">
            <w:pPr>
              <w:spacing w:before="120" w:after="120"/>
              <w:ind w:left="0"/>
              <w:jc w:val="both"/>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Mc</m:t>
                  </m:r>
                </m:e>
                <m:sub>
                  <m:r>
                    <w:rPr>
                      <w:rFonts w:ascii="Cambria Math" w:hAnsi="Cambria Math"/>
                      <w:color w:val="000000" w:themeColor="text1"/>
                      <w:lang w:val="es-CO"/>
                    </w:rPr>
                    <m:t>m-1</m:t>
                  </m:r>
                </m:sub>
              </m:sSub>
              <m:r>
                <w:rPr>
                  <w:rFonts w:ascii="Cambria Math" w:hAnsi="Cambria Math"/>
                  <w:color w:val="000000" w:themeColor="text1"/>
                  <w:lang w:val="es-CO"/>
                </w:rPr>
                <m:t xml:space="preserve">: </m:t>
              </m:r>
            </m:oMath>
            <w:r w:rsidR="002E200E" w:rsidRPr="00CA1A93">
              <w:rPr>
                <w:color w:val="000000" w:themeColor="text1"/>
                <w:lang w:val="es-CO"/>
              </w:rPr>
              <w:t xml:space="preserve"> </w:t>
            </w:r>
          </w:p>
        </w:tc>
        <w:tc>
          <w:tcPr>
            <w:tcW w:w="7366" w:type="dxa"/>
          </w:tcPr>
          <w:p w:rsidR="002E200E" w:rsidRPr="00CA1A93" w:rsidRDefault="002E200E" w:rsidP="005C7414">
            <w:pPr>
              <w:spacing w:before="120" w:after="120"/>
              <w:ind w:left="0"/>
              <w:jc w:val="both"/>
              <w:rPr>
                <w:rFonts w:ascii="Bookman Old Style" w:hAnsi="Bookman Old Style"/>
                <w:bCs/>
              </w:rPr>
            </w:pPr>
            <w:r w:rsidRPr="00CA1A93">
              <w:rPr>
                <w:rFonts w:ascii="Bookman Old Style" w:hAnsi="Bookman Old Style"/>
                <w:bCs/>
              </w:rPr>
              <w:t xml:space="preserve">Costo promedio ponderado por energía, </w:t>
            </w:r>
            <w:r w:rsidRPr="00CA1A93">
              <w:rPr>
                <w:rFonts w:ascii="Bookman Old Style" w:hAnsi="Bookman Old Style"/>
              </w:rPr>
              <w:t>expresado en pesos por kilovatio hora (COP/kWh)</w:t>
            </w:r>
            <w:r w:rsidRPr="00CA1A93">
              <w:rPr>
                <w:rFonts w:ascii="Bookman Old Style" w:hAnsi="Bookman Old Style"/>
                <w:bCs/>
              </w:rPr>
              <w:t xml:space="preserve">, de todos los contratos bilaterales liquidados en el Mercado de Energía Mayorista en el mes </w:t>
            </w:r>
            <w:r w:rsidRPr="00CA1A93">
              <w:rPr>
                <w:rFonts w:ascii="Bookman Old Style" w:hAnsi="Bookman Old Style"/>
                <w:bCs/>
                <w:i/>
              </w:rPr>
              <w:t>m-1</w:t>
            </w:r>
            <w:r w:rsidRPr="00CA1A93">
              <w:rPr>
                <w:rFonts w:ascii="Bookman Old Style" w:hAnsi="Bookman Old Style"/>
                <w:bCs/>
              </w:rPr>
              <w:t xml:space="preserve"> con destino al mercado regulado.</w:t>
            </w:r>
          </w:p>
        </w:tc>
      </w:tr>
      <w:tr w:rsidR="002E200E" w:rsidRPr="00CA1A93" w:rsidTr="005C7414">
        <w:tc>
          <w:tcPr>
            <w:tcW w:w="1980" w:type="dxa"/>
          </w:tcPr>
          <w:p w:rsidR="002E200E" w:rsidRPr="00CA1A93" w:rsidRDefault="002F3937" w:rsidP="005C7414">
            <w:pPr>
              <w:spacing w:before="120" w:after="120"/>
              <w:ind w:left="0"/>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α</m:t>
                  </m:r>
                </m:e>
                <m:sub>
                  <m:r>
                    <w:rPr>
                      <w:rFonts w:ascii="Cambria Math" w:hAnsi="Cambria Math"/>
                      <w:color w:val="000000" w:themeColor="text1"/>
                      <w:lang w:val="es-CO"/>
                    </w:rPr>
                    <m:t>i,j</m:t>
                  </m:r>
                </m:sub>
              </m:sSub>
            </m:oMath>
            <w:r w:rsidR="002E200E" w:rsidRPr="00CA1A93">
              <w:rPr>
                <w:color w:val="000000" w:themeColor="text1"/>
                <w:lang w:val="es-CO"/>
              </w:rPr>
              <w:t xml:space="preserve">: </w:t>
            </w:r>
          </w:p>
        </w:tc>
        <w:tc>
          <w:tcPr>
            <w:tcW w:w="7366" w:type="dxa"/>
          </w:tcPr>
          <w:p w:rsidR="002E200E" w:rsidRPr="00CA1A93" w:rsidRDefault="002E200E" w:rsidP="00D34116">
            <w:pPr>
              <w:spacing w:before="120" w:after="120"/>
              <w:ind w:left="0"/>
              <w:jc w:val="both"/>
              <w:rPr>
                <w:rFonts w:ascii="Bookman Old Style" w:hAnsi="Bookman Old Style"/>
                <w:bCs/>
              </w:rPr>
            </w:pPr>
            <w:r w:rsidRPr="00CA1A93">
              <w:rPr>
                <w:rFonts w:ascii="Bookman Old Style" w:hAnsi="Bookman Old Style"/>
                <w:bCs/>
              </w:rPr>
              <w:t xml:space="preserve">Valor de </w:t>
            </w:r>
            <m:oMath>
              <m:r>
                <w:rPr>
                  <w:rFonts w:ascii="Cambria Math" w:hAnsi="Cambria Math"/>
                </w:rPr>
                <m:t>α</m:t>
              </m:r>
            </m:oMath>
            <w:r w:rsidRPr="00CA1A93">
              <w:rPr>
                <w:rFonts w:ascii="Bookman Old Style" w:hAnsi="Bookman Old Style"/>
                <w:bCs/>
              </w:rPr>
              <w:t xml:space="preserve"> del comercializador </w:t>
            </w:r>
            <w:r w:rsidRPr="00CA1A93">
              <w:rPr>
                <w:rFonts w:ascii="Bookman Old Style" w:hAnsi="Bookman Old Style"/>
                <w:bCs/>
                <w:i/>
              </w:rPr>
              <w:t>i</w:t>
            </w:r>
            <w:r w:rsidRPr="00CA1A93">
              <w:rPr>
                <w:rFonts w:ascii="Bookman Old Style" w:hAnsi="Bookman Old Style"/>
                <w:bCs/>
              </w:rPr>
              <w:t xml:space="preserve"> en el mercado de comercialización </w:t>
            </w:r>
            <w:r w:rsidRPr="00CA1A93">
              <w:rPr>
                <w:rFonts w:ascii="Bookman Old Style" w:hAnsi="Bookman Old Style"/>
                <w:bCs/>
                <w:i/>
              </w:rPr>
              <w:t>j</w:t>
            </w:r>
            <w:r w:rsidRPr="00CA1A93">
              <w:rPr>
                <w:rFonts w:ascii="Bookman Old Style" w:hAnsi="Bookman Old Style"/>
                <w:bCs/>
              </w:rPr>
              <w:t xml:space="preserve"> para el mes de enero de 2007, calculado conforme la metodología de la Resolución CREG 031 de 1997.</w:t>
            </w:r>
          </w:p>
        </w:tc>
      </w:tr>
      <w:tr w:rsidR="002E200E" w:rsidRPr="00CA1A93" w:rsidTr="005C7414">
        <w:tc>
          <w:tcPr>
            <w:tcW w:w="1980" w:type="dxa"/>
          </w:tcPr>
          <w:p w:rsidR="002E200E" w:rsidRPr="00CA1A93" w:rsidRDefault="002E200E" w:rsidP="005C7414">
            <w:pPr>
              <w:tabs>
                <w:tab w:val="left" w:pos="0"/>
                <w:tab w:val="left" w:pos="284"/>
              </w:tabs>
              <w:ind w:left="0"/>
              <w:jc w:val="both"/>
              <w:rPr>
                <w:rFonts w:ascii="Bookman Old Style" w:hAnsi="Bookman Old Style"/>
              </w:rPr>
            </w:pPr>
            <m:oMath>
              <m:r>
                <w:rPr>
                  <w:rFonts w:ascii="Cambria Math" w:hAnsi="Cambria Math"/>
                </w:rPr>
                <m:t>PS</m:t>
              </m:r>
              <m:sSub>
                <m:sSubPr>
                  <m:ctrlPr>
                    <w:rPr>
                      <w:rFonts w:ascii="Cambria Math" w:hAnsi="Cambria Math"/>
                      <w:i/>
                    </w:rPr>
                  </m:ctrlPr>
                </m:sSubPr>
                <m:e>
                  <m:r>
                    <w:rPr>
                      <w:rFonts w:ascii="Cambria Math" w:hAnsi="Cambria Math"/>
                    </w:rPr>
                    <m:t>A</m:t>
                  </m:r>
                </m:e>
                <m:sub>
                  <m:r>
                    <w:rPr>
                      <w:rFonts w:ascii="Cambria Math" w:hAnsi="Cambria Math"/>
                    </w:rPr>
                    <m:t>m-1,i</m:t>
                  </m:r>
                </m:sub>
              </m:sSub>
            </m:oMath>
            <w:r w:rsidRPr="00CA1A93">
              <w:rPr>
                <w:rFonts w:ascii="Bookman Old Style" w:hAnsi="Bookman Old Style"/>
              </w:rPr>
              <w:t>:</w:t>
            </w:r>
          </w:p>
        </w:tc>
        <w:tc>
          <w:tcPr>
            <w:tcW w:w="7366" w:type="dxa"/>
          </w:tcPr>
          <w:p w:rsidR="002E200E" w:rsidRPr="00CA1A93" w:rsidRDefault="002E200E" w:rsidP="00D34116">
            <w:pPr>
              <w:tabs>
                <w:tab w:val="left" w:pos="0"/>
                <w:tab w:val="left" w:pos="284"/>
              </w:tabs>
              <w:ind w:left="0"/>
              <w:jc w:val="both"/>
              <w:rPr>
                <w:rFonts w:ascii="Bookman Old Style" w:hAnsi="Bookman Old Style"/>
              </w:rPr>
            </w:pPr>
            <w:r w:rsidRPr="00CA1A93">
              <w:rPr>
                <w:rFonts w:ascii="Bookman Old Style" w:hAnsi="Bookman Old Style"/>
              </w:rPr>
              <w:t xml:space="preserve">Precio promedio ponderado asociado a los contratos de largo plazo adjudicados en la subasta del </w:t>
            </w:r>
            <w:r w:rsidRPr="00CA1A93">
              <w:rPr>
                <w:rFonts w:ascii="Bookman Old Style" w:hAnsi="Bookman Old Style"/>
                <w:bCs/>
              </w:rPr>
              <w:t>Ministerio de Minas y Energía</w:t>
            </w:r>
            <w:r w:rsidRPr="00CA1A93">
              <w:rPr>
                <w:rFonts w:ascii="Bookman Old Style" w:hAnsi="Bookman Old Style"/>
              </w:rPr>
              <w:t xml:space="preserve"> al comercializador </w:t>
            </w:r>
            <w:r w:rsidRPr="00CA1A93">
              <w:rPr>
                <w:rFonts w:ascii="Bookman Old Style" w:hAnsi="Bookman Old Style"/>
                <w:i/>
              </w:rPr>
              <w:t>i</w:t>
            </w:r>
            <w:r w:rsidRPr="00CA1A93">
              <w:rPr>
                <w:rFonts w:ascii="Bookman Old Style" w:hAnsi="Bookman Old Style"/>
              </w:rPr>
              <w:t xml:space="preserve"> actualizado para el mes </w:t>
            </w:r>
            <w:r w:rsidRPr="00CA1A93">
              <w:rPr>
                <w:rFonts w:ascii="Bookman Old Style" w:hAnsi="Bookman Old Style"/>
                <w:i/>
              </w:rPr>
              <w:t xml:space="preserve">m-1, </w:t>
            </w:r>
            <w:r w:rsidRPr="00CA1A93">
              <w:rPr>
                <w:rFonts w:ascii="Bookman Old Style" w:hAnsi="Bookman Old Style"/>
              </w:rPr>
              <w:t>expresado en pesos por kilovatio hora (COP/kWh).</w:t>
            </w:r>
          </w:p>
        </w:tc>
      </w:tr>
      <w:tr w:rsidR="002E200E" w:rsidRPr="00CA1A93" w:rsidTr="005C7414">
        <w:tc>
          <w:tcPr>
            <w:tcW w:w="1980" w:type="dxa"/>
          </w:tcPr>
          <w:p w:rsidR="002E200E" w:rsidRPr="00CA1A93" w:rsidRDefault="00674078" w:rsidP="005C7414">
            <w:pPr>
              <w:spacing w:before="120" w:after="120"/>
              <w:ind w:left="0"/>
              <w:rPr>
                <w:bCs/>
              </w:rPr>
            </w:pPr>
            <m:oMath>
              <m:r>
                <w:rPr>
                  <w:rFonts w:ascii="Cambria Math" w:hAnsi="Cambria Math"/>
                  <w:color w:val="000000" w:themeColor="text1"/>
                  <w:lang w:val="es-CO"/>
                </w:rPr>
                <m:t>CU</m:t>
              </m:r>
              <m:sSub>
                <m:sSubPr>
                  <m:ctrlPr>
                    <w:rPr>
                      <w:rFonts w:ascii="Cambria Math" w:hAnsi="Cambria Math"/>
                      <w:i/>
                      <w:color w:val="000000" w:themeColor="text1"/>
                      <w:lang w:val="es-CO"/>
                    </w:rPr>
                  </m:ctrlPr>
                </m:sSubPr>
                <m:e>
                  <m:r>
                    <w:rPr>
                      <w:rFonts w:ascii="Cambria Math" w:hAnsi="Cambria Math"/>
                      <w:color w:val="000000" w:themeColor="text1"/>
                      <w:lang w:val="es-CO"/>
                    </w:rPr>
                    <m:t>G</m:t>
                  </m:r>
                </m:e>
                <m:sub>
                  <m:r>
                    <w:rPr>
                      <w:rFonts w:ascii="Cambria Math" w:hAnsi="Cambria Math"/>
                      <w:color w:val="000000" w:themeColor="text1"/>
                      <w:lang w:val="es-CO"/>
                    </w:rPr>
                    <m:t>m-1,i</m:t>
                  </m:r>
                </m:sub>
              </m:sSub>
            </m:oMath>
            <w:r w:rsidR="002E200E" w:rsidRPr="00CA1A93">
              <w:rPr>
                <w:color w:val="000000" w:themeColor="text1"/>
                <w:lang w:val="es-CO"/>
              </w:rPr>
              <w:t>:</w:t>
            </w:r>
          </w:p>
        </w:tc>
        <w:tc>
          <w:tcPr>
            <w:tcW w:w="7366" w:type="dxa"/>
          </w:tcPr>
          <w:p w:rsidR="002E200E" w:rsidRPr="00CA1A93" w:rsidRDefault="00520904" w:rsidP="007C0036">
            <w:pPr>
              <w:spacing w:before="120" w:after="120"/>
              <w:ind w:left="0"/>
              <w:jc w:val="both"/>
              <w:rPr>
                <w:rFonts w:ascii="Bookman Old Style" w:hAnsi="Bookman Old Style"/>
                <w:bCs/>
              </w:rPr>
            </w:pPr>
            <w:r>
              <w:rPr>
                <w:rFonts w:ascii="Bookman Old Style" w:hAnsi="Bookman Old Style"/>
              </w:rPr>
              <w:t xml:space="preserve">Este valor </w:t>
            </w:r>
            <w:r w:rsidR="007C0036">
              <w:rPr>
                <w:rFonts w:ascii="Bookman Old Style" w:hAnsi="Bookman Old Style"/>
              </w:rPr>
              <w:t xml:space="preserve">corresponde al costo financiero de la garantía de pago del mes </w:t>
            </w:r>
            <w:r w:rsidR="007C0036" w:rsidRPr="007C0036">
              <w:rPr>
                <w:rFonts w:ascii="Bookman Old Style" w:hAnsi="Bookman Old Style"/>
                <w:i/>
              </w:rPr>
              <w:t>m-1</w:t>
            </w:r>
            <w:r w:rsidR="007C0036">
              <w:rPr>
                <w:rFonts w:ascii="Bookman Old Style" w:hAnsi="Bookman Old Style"/>
              </w:rPr>
              <w:t xml:space="preserve"> de los contratos adjudicados en la subasta del Ministerio de Minas y Energía al comercializador </w:t>
            </w:r>
            <w:r w:rsidR="007C0036" w:rsidRPr="007C0036">
              <w:rPr>
                <w:rFonts w:ascii="Bookman Old Style" w:hAnsi="Bookman Old Style"/>
                <w:i/>
              </w:rPr>
              <w:t>i</w:t>
            </w:r>
            <w:r w:rsidR="007C0036">
              <w:rPr>
                <w:rFonts w:ascii="Bookman Old Style" w:hAnsi="Bookman Old Style"/>
              </w:rPr>
              <w:t xml:space="preserve"> </w:t>
            </w:r>
            <w:r w:rsidR="007C0036">
              <w:rPr>
                <w:rFonts w:ascii="Bookman Old Style" w:hAnsi="Bookman Old Style"/>
              </w:rPr>
              <w:lastRenderedPageBreak/>
              <w:t xml:space="preserve">destinados al mercado regulado, dividido por la demanda regulada de este comercializador. </w:t>
            </w:r>
            <w:r w:rsidR="005B54D6" w:rsidRPr="00F26EB6">
              <w:rPr>
                <w:rFonts w:ascii="Bookman Old Style" w:hAnsi="Bookman Old Style"/>
              </w:rPr>
              <w:t>El valor máximo de esta variable es de un peso (1 COP/kWh).</w:t>
            </w:r>
            <w:r w:rsidR="007C0036">
              <w:rPr>
                <w:rFonts w:ascii="Bookman Old Style" w:hAnsi="Bookman Old Style"/>
              </w:rPr>
              <w:t xml:space="preserve"> La garantía de pago a la que se refiere este componente es la que trata el</w:t>
            </w:r>
            <w:r w:rsidR="007C0036">
              <w:rPr>
                <w:rFonts w:ascii="Bookman Old Style" w:hAnsi="Bookman Old Style"/>
                <w:bCs/>
              </w:rPr>
              <w:t xml:space="preserve"> artículo 35 de la Resolución 40590 de 2019 del Ministerio de Minas y Energía.</w:t>
            </w:r>
            <w:r w:rsidR="007C0036">
              <w:rPr>
                <w:rFonts w:ascii="Bookman Old Style" w:hAnsi="Bookman Old Style"/>
              </w:rPr>
              <w:t xml:space="preserve"> </w:t>
            </w:r>
          </w:p>
        </w:tc>
      </w:tr>
      <w:tr w:rsidR="00C70FC9" w:rsidRPr="00CA1A93" w:rsidTr="005C7414">
        <w:trPr>
          <w:trHeight w:val="1027"/>
        </w:trPr>
        <w:tc>
          <w:tcPr>
            <w:tcW w:w="1980" w:type="dxa"/>
          </w:tcPr>
          <w:p w:rsidR="00C70FC9" w:rsidRPr="00F26EB6" w:rsidRDefault="00674078" w:rsidP="00674078">
            <w:pPr>
              <w:spacing w:before="120" w:after="120"/>
              <w:ind w:left="0"/>
              <w:rPr>
                <w:color w:val="000000" w:themeColor="text1"/>
                <w:highlight w:val="yellow"/>
                <w:lang w:val="es-CO"/>
              </w:rPr>
            </w:pPr>
            <m:oMathPara>
              <m:oMathParaPr>
                <m:jc m:val="left"/>
              </m:oMathParaPr>
              <m:oMath>
                <m:r>
                  <w:rPr>
                    <w:rFonts w:ascii="Cambria Math" w:hAnsi="Cambria Math"/>
                    <w:color w:val="000000" w:themeColor="text1"/>
                    <w:lang w:val="es-CO"/>
                  </w:rPr>
                  <w:lastRenderedPageBreak/>
                  <m:t>EG</m:t>
                </m:r>
                <m:sSub>
                  <m:sSubPr>
                    <m:ctrlPr>
                      <w:rPr>
                        <w:rFonts w:ascii="Cambria Math" w:hAnsi="Cambria Math"/>
                        <w:i/>
                        <w:color w:val="000000" w:themeColor="text1"/>
                        <w:lang w:val="es-CO"/>
                      </w:rPr>
                    </m:ctrlPr>
                  </m:sSubPr>
                  <m:e>
                    <m:r>
                      <w:rPr>
                        <w:rFonts w:ascii="Cambria Math" w:hAnsi="Cambria Math"/>
                        <w:color w:val="000000" w:themeColor="text1"/>
                        <w:lang w:val="es-CO"/>
                      </w:rPr>
                      <m:t>P</m:t>
                    </m:r>
                  </m:e>
                  <m:sub>
                    <m:r>
                      <w:rPr>
                        <w:rFonts w:ascii="Cambria Math" w:hAnsi="Cambria Math"/>
                        <w:color w:val="000000" w:themeColor="text1"/>
                        <w:lang w:val="es-CO"/>
                      </w:rPr>
                      <m:t>i</m:t>
                    </m:r>
                  </m:sub>
                </m:sSub>
                <m:r>
                  <w:rPr>
                    <w:rFonts w:ascii="Cambria Math" w:hAnsi="Cambria Math"/>
                    <w:color w:val="000000" w:themeColor="text1"/>
                    <w:lang w:val="es-CO"/>
                  </w:rPr>
                  <m:t>:</m:t>
                </m:r>
              </m:oMath>
            </m:oMathPara>
          </w:p>
        </w:tc>
        <w:tc>
          <w:tcPr>
            <w:tcW w:w="7366" w:type="dxa"/>
          </w:tcPr>
          <w:p w:rsidR="00C70FC9" w:rsidRPr="00C70FC9" w:rsidRDefault="000631AE" w:rsidP="00410EFE">
            <w:pPr>
              <w:spacing w:before="120" w:after="120"/>
              <w:ind w:left="0"/>
              <w:jc w:val="both"/>
              <w:rPr>
                <w:rFonts w:ascii="Bookman Old Style" w:hAnsi="Bookman Old Style"/>
                <w:bCs/>
                <w:highlight w:val="yellow"/>
              </w:rPr>
            </w:pPr>
            <w:r w:rsidRPr="00F26EB6">
              <w:rPr>
                <w:rFonts w:ascii="Bookman Old Style" w:hAnsi="Bookman Old Style"/>
                <w:bCs/>
              </w:rPr>
              <w:t>V</w:t>
            </w:r>
            <w:r w:rsidR="00876953" w:rsidRPr="00F26EB6">
              <w:rPr>
                <w:rFonts w:ascii="Bookman Old Style" w:hAnsi="Bookman Old Style"/>
                <w:bCs/>
              </w:rPr>
              <w:t xml:space="preserve">alor unitario de la devolución que </w:t>
            </w:r>
            <w:r w:rsidR="00520904" w:rsidRPr="00F26EB6">
              <w:rPr>
                <w:rFonts w:ascii="Bookman Old Style" w:hAnsi="Bookman Old Style"/>
                <w:bCs/>
              </w:rPr>
              <w:t xml:space="preserve">el comercializador </w:t>
            </w:r>
            <w:r w:rsidR="00520904" w:rsidRPr="00F26EB6">
              <w:rPr>
                <w:rFonts w:ascii="Bookman Old Style" w:hAnsi="Bookman Old Style"/>
                <w:bCs/>
                <w:i/>
              </w:rPr>
              <w:t xml:space="preserve">i </w:t>
            </w:r>
            <w:r w:rsidR="007C7C84" w:rsidRPr="00F26EB6">
              <w:rPr>
                <w:rFonts w:ascii="Bookman Old Style" w:hAnsi="Bookman Old Style"/>
                <w:bCs/>
              </w:rPr>
              <w:t xml:space="preserve">debe hacer </w:t>
            </w:r>
            <w:r w:rsidR="00876953" w:rsidRPr="00F26EB6">
              <w:rPr>
                <w:rFonts w:ascii="Bookman Old Style" w:hAnsi="Bookman Old Style"/>
                <w:bCs/>
              </w:rPr>
              <w:t>a</w:t>
            </w:r>
            <w:r w:rsidR="00793758" w:rsidRPr="00F26EB6">
              <w:rPr>
                <w:rFonts w:ascii="Bookman Old Style" w:hAnsi="Bookman Old Style"/>
                <w:bCs/>
              </w:rPr>
              <w:t xml:space="preserve"> favor de</w:t>
            </w:r>
            <w:r w:rsidR="00876953" w:rsidRPr="00F26EB6">
              <w:rPr>
                <w:rFonts w:ascii="Bookman Old Style" w:hAnsi="Bookman Old Style"/>
                <w:bCs/>
              </w:rPr>
              <w:t xml:space="preserve">l usuario, en caso de </w:t>
            </w:r>
            <w:r w:rsidR="00520904" w:rsidRPr="00F26EB6">
              <w:rPr>
                <w:rFonts w:ascii="Bookman Old Style" w:hAnsi="Bookman Old Style"/>
                <w:bCs/>
              </w:rPr>
              <w:t>que</w:t>
            </w:r>
            <w:r w:rsidR="009537CD">
              <w:rPr>
                <w:rFonts w:ascii="Bookman Old Style" w:hAnsi="Bookman Old Style"/>
                <w:bCs/>
              </w:rPr>
              <w:t>,</w:t>
            </w:r>
            <w:r w:rsidR="00520904" w:rsidRPr="00F26EB6">
              <w:rPr>
                <w:rFonts w:ascii="Bookman Old Style" w:hAnsi="Bookman Old Style"/>
                <w:bCs/>
              </w:rPr>
              <w:t xml:space="preserve"> por incumplimiento de un vendedor</w:t>
            </w:r>
            <w:r w:rsidR="00051E7C" w:rsidRPr="00F26EB6">
              <w:rPr>
                <w:rFonts w:ascii="Bookman Old Style" w:hAnsi="Bookman Old Style"/>
                <w:bCs/>
              </w:rPr>
              <w:t>,</w:t>
            </w:r>
            <w:r w:rsidR="00520904" w:rsidRPr="00F26EB6">
              <w:rPr>
                <w:rFonts w:ascii="Bookman Old Style" w:hAnsi="Bookman Old Style"/>
                <w:bCs/>
              </w:rPr>
              <w:t xml:space="preserve"> se ejecute la garantía de</w:t>
            </w:r>
            <w:r w:rsidR="00F26EB6" w:rsidRPr="00F26EB6">
              <w:rPr>
                <w:rFonts w:ascii="Bookman Old Style" w:hAnsi="Bookman Old Style"/>
                <w:bCs/>
              </w:rPr>
              <w:t xml:space="preserve"> cumplimiento de</w:t>
            </w:r>
            <w:r w:rsidR="00520904" w:rsidRPr="00F26EB6">
              <w:rPr>
                <w:rFonts w:ascii="Bookman Old Style" w:hAnsi="Bookman Old Style"/>
                <w:bCs/>
              </w:rPr>
              <w:t xml:space="preserve"> la que trata el artículo </w:t>
            </w:r>
            <w:r w:rsidR="007C7C84" w:rsidRPr="00F26EB6">
              <w:rPr>
                <w:rFonts w:ascii="Bookman Old Style" w:hAnsi="Bookman Old Style"/>
                <w:bCs/>
              </w:rPr>
              <w:t>34</w:t>
            </w:r>
            <w:r w:rsidR="00520904" w:rsidRPr="00F26EB6">
              <w:rPr>
                <w:rFonts w:ascii="Bookman Old Style" w:hAnsi="Bookman Old Style"/>
                <w:bCs/>
              </w:rPr>
              <w:t xml:space="preserve"> de la Resolución 40590 </w:t>
            </w:r>
            <w:r w:rsidR="00051E7C" w:rsidRPr="00F26EB6">
              <w:rPr>
                <w:rFonts w:ascii="Bookman Old Style" w:hAnsi="Bookman Old Style"/>
                <w:bCs/>
              </w:rPr>
              <w:t xml:space="preserve">de 2019 </w:t>
            </w:r>
            <w:r w:rsidR="00520904" w:rsidRPr="00F26EB6">
              <w:rPr>
                <w:rFonts w:ascii="Bookman Old Style" w:hAnsi="Bookman Old Style"/>
                <w:bCs/>
              </w:rPr>
              <w:t xml:space="preserve">del Ministerio de Minas y Energía, </w:t>
            </w:r>
            <w:r w:rsidR="007C7C84" w:rsidRPr="00F26EB6">
              <w:rPr>
                <w:rFonts w:ascii="Bookman Old Style" w:hAnsi="Bookman Old Style"/>
                <w:bCs/>
              </w:rPr>
              <w:t xml:space="preserve">asociada </w:t>
            </w:r>
            <w:r w:rsidR="00410EFE">
              <w:rPr>
                <w:rFonts w:ascii="Bookman Old Style" w:hAnsi="Bookman Old Style"/>
                <w:bCs/>
              </w:rPr>
              <w:t xml:space="preserve">a los </w:t>
            </w:r>
            <w:r w:rsidR="007C7C84" w:rsidRPr="00F26EB6">
              <w:rPr>
                <w:rFonts w:ascii="Bookman Old Style" w:hAnsi="Bookman Old Style"/>
                <w:bCs/>
              </w:rPr>
              <w:t>contrato</w:t>
            </w:r>
            <w:r w:rsidR="00410EFE">
              <w:rPr>
                <w:rFonts w:ascii="Bookman Old Style" w:hAnsi="Bookman Old Style"/>
                <w:bCs/>
              </w:rPr>
              <w:t>s</w:t>
            </w:r>
            <w:r w:rsidR="00B51531" w:rsidRPr="00F26EB6">
              <w:rPr>
                <w:rFonts w:ascii="Bookman Old Style" w:hAnsi="Bookman Old Style"/>
                <w:bCs/>
              </w:rPr>
              <w:t xml:space="preserve"> asignado</w:t>
            </w:r>
            <w:r w:rsidR="00410EFE">
              <w:rPr>
                <w:rFonts w:ascii="Bookman Old Style" w:hAnsi="Bookman Old Style"/>
                <w:bCs/>
              </w:rPr>
              <w:t>s</w:t>
            </w:r>
            <w:r w:rsidR="00B51531" w:rsidRPr="00F26EB6">
              <w:rPr>
                <w:rFonts w:ascii="Bookman Old Style" w:hAnsi="Bookman Old Style"/>
                <w:bCs/>
              </w:rPr>
              <w:t xml:space="preserve"> </w:t>
            </w:r>
            <w:r w:rsidR="00410EFE">
              <w:rPr>
                <w:rFonts w:ascii="Bookman Old Style" w:hAnsi="Bookman Old Style"/>
                <w:bCs/>
              </w:rPr>
              <w:t>en</w:t>
            </w:r>
            <w:r w:rsidR="00520904" w:rsidRPr="00F26EB6">
              <w:rPr>
                <w:rFonts w:ascii="Bookman Old Style" w:hAnsi="Bookman Old Style"/>
                <w:bCs/>
              </w:rPr>
              <w:t xml:space="preserve"> </w:t>
            </w:r>
            <w:r w:rsidR="00B51531" w:rsidRPr="00F26EB6">
              <w:rPr>
                <w:rFonts w:ascii="Bookman Old Style" w:hAnsi="Bookman Old Style"/>
                <w:bCs/>
              </w:rPr>
              <w:t>l</w:t>
            </w:r>
            <w:r w:rsidR="00520904" w:rsidRPr="00F26EB6">
              <w:rPr>
                <w:rFonts w:ascii="Bookman Old Style" w:hAnsi="Bookman Old Style"/>
                <w:bCs/>
              </w:rPr>
              <w:t>a</w:t>
            </w:r>
            <w:r w:rsidR="00B51531" w:rsidRPr="00F26EB6">
              <w:rPr>
                <w:rFonts w:ascii="Bookman Old Style" w:hAnsi="Bookman Old Style"/>
                <w:bCs/>
              </w:rPr>
              <w:t xml:space="preserve"> </w:t>
            </w:r>
            <w:r w:rsidR="00520904" w:rsidRPr="00F26EB6">
              <w:rPr>
                <w:rFonts w:ascii="Bookman Old Style" w:hAnsi="Bookman Old Style"/>
                <w:bCs/>
              </w:rPr>
              <w:t>subasta del Ministerio de Minas</w:t>
            </w:r>
            <w:r w:rsidR="00051E7C" w:rsidRPr="00F26EB6">
              <w:rPr>
                <w:rFonts w:ascii="Bookman Old Style" w:hAnsi="Bookman Old Style"/>
                <w:bCs/>
              </w:rPr>
              <w:t xml:space="preserve"> </w:t>
            </w:r>
            <w:r w:rsidR="00520904" w:rsidRPr="00F26EB6">
              <w:rPr>
                <w:rFonts w:ascii="Bookman Old Style" w:hAnsi="Bookman Old Style"/>
                <w:bCs/>
              </w:rPr>
              <w:t>y Energía</w:t>
            </w:r>
            <w:r w:rsidR="00410EFE">
              <w:rPr>
                <w:rFonts w:ascii="Bookman Old Style" w:hAnsi="Bookman Old Style"/>
                <w:bCs/>
              </w:rPr>
              <w:t xml:space="preserve"> con destino al mercado regulado</w:t>
            </w:r>
            <w:r w:rsidR="00520904" w:rsidRPr="00F26EB6">
              <w:rPr>
                <w:rFonts w:ascii="Bookman Old Style" w:hAnsi="Bookman Old Style"/>
                <w:bCs/>
              </w:rPr>
              <w:t>.</w:t>
            </w:r>
            <w:r w:rsidR="00F26EB6">
              <w:rPr>
                <w:rFonts w:ascii="Bookman Old Style" w:hAnsi="Bookman Old Style"/>
                <w:bCs/>
              </w:rPr>
              <w:t xml:space="preserve"> El comercializador debe devolver a sus usuarios la totalidad del monto resultante de la ejecución de la garantía de cumplimiento</w:t>
            </w:r>
            <w:r w:rsidR="000958B5">
              <w:rPr>
                <w:rFonts w:ascii="Bookman Old Style" w:hAnsi="Bookman Old Style"/>
                <w:bCs/>
              </w:rPr>
              <w:t>, el mes siguiente a la ejecución</w:t>
            </w:r>
            <w:r w:rsidR="00F26EB6">
              <w:rPr>
                <w:rFonts w:ascii="Bookman Old Style" w:hAnsi="Bookman Old Style"/>
                <w:bCs/>
              </w:rPr>
              <w:t>.</w:t>
            </w:r>
          </w:p>
        </w:tc>
      </w:tr>
      <w:tr w:rsidR="002E200E" w:rsidRPr="00CA1A93" w:rsidTr="005C7414">
        <w:tc>
          <w:tcPr>
            <w:tcW w:w="1980" w:type="dxa"/>
          </w:tcPr>
          <w:p w:rsidR="002E200E" w:rsidRPr="00CA1A93" w:rsidRDefault="002F3937" w:rsidP="005C7414">
            <w:pPr>
              <w:spacing w:before="120" w:after="120"/>
              <w:ind w:left="0"/>
              <w:rPr>
                <w:b/>
                <w:color w:val="000000" w:themeColor="text1"/>
                <w:lang w:val="es-CO"/>
              </w:rPr>
            </w:pPr>
            <m:oMath>
              <m:sSub>
                <m:sSubPr>
                  <m:ctrlPr>
                    <w:rPr>
                      <w:rFonts w:ascii="Cambria Math" w:hAnsi="Cambria Math"/>
                      <w:i/>
                      <w:color w:val="000000" w:themeColor="text1"/>
                      <w:lang w:val="es-CO"/>
                    </w:rPr>
                  </m:ctrlPr>
                </m:sSubPr>
                <m:e>
                  <m:r>
                    <w:rPr>
                      <w:rFonts w:ascii="Cambria Math" w:hAnsi="Cambria Math"/>
                      <w:color w:val="000000" w:themeColor="text1"/>
                      <w:lang w:val="es-CO"/>
                    </w:rPr>
                    <m:t>Pb</m:t>
                  </m:r>
                </m:e>
                <m:sub>
                  <m:r>
                    <w:rPr>
                      <w:rFonts w:ascii="Cambria Math" w:hAnsi="Cambria Math"/>
                      <w:color w:val="000000" w:themeColor="text1"/>
                      <w:lang w:val="es-CO"/>
                    </w:rPr>
                    <m:t>m-1,i</m:t>
                  </m:r>
                </m:sub>
              </m:sSub>
            </m:oMath>
            <w:r w:rsidR="002E200E" w:rsidRPr="00CA1A93">
              <w:rPr>
                <w:color w:val="000000" w:themeColor="text1"/>
                <w:lang w:val="es-CO"/>
              </w:rPr>
              <w:t>:</w:t>
            </w:r>
          </w:p>
        </w:tc>
        <w:tc>
          <w:tcPr>
            <w:tcW w:w="7366" w:type="dxa"/>
          </w:tcPr>
          <w:p w:rsidR="002E200E" w:rsidRPr="00CA1A93" w:rsidRDefault="002E200E" w:rsidP="004D5355">
            <w:pPr>
              <w:spacing w:before="120" w:after="120"/>
              <w:ind w:left="0"/>
              <w:jc w:val="both"/>
              <w:rPr>
                <w:rFonts w:ascii="Bookman Old Style" w:hAnsi="Bookman Old Style"/>
                <w:b/>
                <w:bCs/>
              </w:rPr>
            </w:pPr>
            <w:r w:rsidRPr="00CA1A93">
              <w:rPr>
                <w:rFonts w:ascii="Bookman Old Style" w:hAnsi="Bookman Old Style"/>
                <w:bCs/>
              </w:rPr>
              <w:t xml:space="preserve">Precio de la energía comprada en Bolsa por 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m-1</w:t>
            </w:r>
            <w:r w:rsidRPr="00CA1A93">
              <w:rPr>
                <w:rFonts w:ascii="Bookman Old Style" w:hAnsi="Bookman Old Style"/>
                <w:bCs/>
              </w:rPr>
              <w:t xml:space="preserve">, </w:t>
            </w:r>
            <w:r w:rsidRPr="00CA1A93">
              <w:rPr>
                <w:rFonts w:ascii="Bookman Old Style" w:hAnsi="Bookman Old Style"/>
              </w:rPr>
              <w:t>expresado en pesos por kilovatio hora (COP/kWh)</w:t>
            </w:r>
            <w:r w:rsidRPr="00CA1A93">
              <w:rPr>
                <w:rFonts w:ascii="Bookman Old Style" w:hAnsi="Bookman Old Style"/>
                <w:bCs/>
              </w:rPr>
              <w:t xml:space="preserve">, cuando las cantidades adquiridas en contratos no cubran la totalidad de la demanda regulada. Este valor se calcula de acuerdo con lo establecido en la Resolución CREG 119 de 2007 y el </w:t>
            </w:r>
            <w:r w:rsidR="004D5355">
              <w:rPr>
                <w:rFonts w:ascii="Bookman Old Style" w:hAnsi="Bookman Old Style"/>
                <w:bCs/>
              </w:rPr>
              <w:t>A</w:t>
            </w:r>
            <w:r w:rsidRPr="00CA1A93">
              <w:rPr>
                <w:rFonts w:ascii="Bookman Old Style" w:hAnsi="Bookman Old Style"/>
                <w:bCs/>
              </w:rPr>
              <w:t>nexo 2 de la Resolución CREG 030 de 2018.</w:t>
            </w:r>
          </w:p>
        </w:tc>
      </w:tr>
      <w:tr w:rsidR="002E200E" w:rsidRPr="00CA1A93" w:rsidTr="005C7414">
        <w:tc>
          <w:tcPr>
            <w:tcW w:w="1980" w:type="dxa"/>
          </w:tcPr>
          <w:p w:rsidR="002E200E" w:rsidRPr="00465A70" w:rsidRDefault="002F3937" w:rsidP="005C7414">
            <w:pPr>
              <w:spacing w:before="120" w:after="120"/>
              <w:ind w:left="0"/>
              <w:rPr>
                <w:bCs/>
              </w:rPr>
            </w:pPr>
            <m:oMath>
              <m:sSub>
                <m:sSubPr>
                  <m:ctrlPr>
                    <w:rPr>
                      <w:rFonts w:ascii="Cambria Math" w:hAnsi="Cambria Math"/>
                      <w:i/>
                      <w:color w:val="000000" w:themeColor="text1"/>
                      <w:lang w:val="es-CO"/>
                    </w:rPr>
                  </m:ctrlPr>
                </m:sSubPr>
                <m:e>
                  <m:r>
                    <w:rPr>
                      <w:rFonts w:ascii="Cambria Math" w:hAnsi="Cambria Math"/>
                      <w:color w:val="000000" w:themeColor="text1"/>
                      <w:lang w:val="es-CO"/>
                    </w:rPr>
                    <m:t>AJ</m:t>
                  </m:r>
                </m:e>
                <m:sub>
                  <m:r>
                    <w:rPr>
                      <w:rFonts w:ascii="Cambria Math" w:hAnsi="Cambria Math"/>
                      <w:color w:val="000000" w:themeColor="text1"/>
                      <w:lang w:val="es-CO"/>
                    </w:rPr>
                    <m:t>m,i</m:t>
                  </m:r>
                </m:sub>
              </m:sSub>
            </m:oMath>
            <w:r w:rsidR="002E200E" w:rsidRPr="00465A70">
              <w:rPr>
                <w:color w:val="000000" w:themeColor="text1"/>
                <w:lang w:val="es-CO"/>
              </w:rPr>
              <w:t xml:space="preserve">: </w:t>
            </w:r>
          </w:p>
        </w:tc>
        <w:tc>
          <w:tcPr>
            <w:tcW w:w="7366" w:type="dxa"/>
          </w:tcPr>
          <w:p w:rsidR="002E200E" w:rsidRPr="00465A70" w:rsidRDefault="002E200E" w:rsidP="00465A70">
            <w:pPr>
              <w:spacing w:after="120"/>
              <w:ind w:left="0"/>
              <w:jc w:val="both"/>
              <w:rPr>
                <w:rFonts w:ascii="Bookman Old Style" w:hAnsi="Bookman Old Style"/>
                <w:bCs/>
              </w:rPr>
            </w:pPr>
            <w:r w:rsidRPr="00465A70">
              <w:rPr>
                <w:rFonts w:ascii="Bookman Old Style" w:hAnsi="Bookman Old Style"/>
                <w:bCs/>
              </w:rPr>
              <w:t xml:space="preserve">Factor de ajuste que se aplica al costo máximo de compra de energía, </w:t>
            </w:r>
            <w:r w:rsidRPr="00465A70">
              <w:rPr>
                <w:rFonts w:ascii="Bookman Old Style" w:hAnsi="Bookman Old Style"/>
              </w:rPr>
              <w:t>expresado en pesos por kilovatio hora (COP/kWh)</w:t>
            </w:r>
            <w:r w:rsidRPr="00465A70">
              <w:rPr>
                <w:rFonts w:ascii="Bookman Old Style" w:hAnsi="Bookman Old Style"/>
                <w:bCs/>
              </w:rPr>
              <w:t xml:space="preserve">, del comercializador </w:t>
            </w:r>
            <w:r w:rsidRPr="00465A70">
              <w:rPr>
                <w:rFonts w:ascii="Bookman Old Style" w:hAnsi="Bookman Old Style"/>
                <w:bCs/>
                <w:i/>
              </w:rPr>
              <w:t>i</w:t>
            </w:r>
            <w:r w:rsidRPr="00465A70">
              <w:rPr>
                <w:rFonts w:ascii="Bookman Old Style" w:hAnsi="Bookman Old Style"/>
                <w:bCs/>
              </w:rPr>
              <w:t xml:space="preserve"> para el mes </w:t>
            </w:r>
            <w:r w:rsidRPr="00465A70">
              <w:rPr>
                <w:rFonts w:ascii="Bookman Old Style" w:hAnsi="Bookman Old Style"/>
                <w:bCs/>
                <w:i/>
              </w:rPr>
              <w:t>m</w:t>
            </w:r>
            <w:r w:rsidRPr="00465A70">
              <w:rPr>
                <w:rFonts w:ascii="Bookman Old Style" w:hAnsi="Bookman Old Style"/>
                <w:bCs/>
              </w:rPr>
              <w:t xml:space="preserve">, calculado conforme al </w:t>
            </w:r>
            <w:r w:rsidR="008F6B07" w:rsidRPr="00465A70">
              <w:rPr>
                <w:rFonts w:ascii="Bookman Old Style" w:hAnsi="Bookman Old Style"/>
                <w:bCs/>
              </w:rPr>
              <w:t>A</w:t>
            </w:r>
            <w:r w:rsidRPr="00465A70">
              <w:rPr>
                <w:rFonts w:ascii="Bookman Old Style" w:hAnsi="Bookman Old Style"/>
                <w:bCs/>
              </w:rPr>
              <w:t xml:space="preserve">nexo 1 de la Resolución CREG </w:t>
            </w:r>
            <w:r w:rsidR="00465A70" w:rsidRPr="00465A70">
              <w:rPr>
                <w:rFonts w:ascii="Bookman Old Style" w:hAnsi="Bookman Old Style"/>
                <w:bCs/>
              </w:rPr>
              <w:t>119</w:t>
            </w:r>
            <w:r w:rsidRPr="00465A70">
              <w:rPr>
                <w:rFonts w:ascii="Bookman Old Style" w:hAnsi="Bookman Old Style"/>
                <w:bCs/>
              </w:rPr>
              <w:t xml:space="preserve"> de 20</w:t>
            </w:r>
            <w:r w:rsidR="00465A70" w:rsidRPr="00465A70">
              <w:rPr>
                <w:rFonts w:ascii="Bookman Old Style" w:hAnsi="Bookman Old Style"/>
                <w:bCs/>
              </w:rPr>
              <w:t>07</w:t>
            </w:r>
            <w:r w:rsidRPr="00465A70">
              <w:rPr>
                <w:rFonts w:ascii="Bookman Old Style" w:hAnsi="Bookman Old Style"/>
                <w:bCs/>
              </w:rPr>
              <w:t>.</w:t>
            </w:r>
          </w:p>
        </w:tc>
      </w:tr>
      <w:tr w:rsidR="002E200E" w:rsidRPr="003410C8" w:rsidTr="005C7414">
        <w:tc>
          <w:tcPr>
            <w:tcW w:w="1980" w:type="dxa"/>
          </w:tcPr>
          <w:p w:rsidR="002E200E" w:rsidRPr="00CA1A93" w:rsidRDefault="002F3937" w:rsidP="005C7414">
            <w:pPr>
              <w:spacing w:before="120" w:after="120"/>
            </w:pPr>
            <m:oMathPara>
              <m:oMath>
                <m:sSub>
                  <m:sSubPr>
                    <m:ctrlPr>
                      <w:rPr>
                        <w:rFonts w:ascii="Cambria Math" w:hAnsi="Cambria Math"/>
                        <w:i/>
                        <w:lang w:val="es-CO"/>
                      </w:rPr>
                    </m:ctrlPr>
                  </m:sSubPr>
                  <m:e>
                    <m:r>
                      <w:rPr>
                        <w:rFonts w:ascii="Cambria Math" w:hAnsi="Cambria Math"/>
                        <w:lang w:val="es-CO"/>
                      </w:rPr>
                      <m:t>G_transitorio</m:t>
                    </m:r>
                  </m:e>
                  <m:sub>
                    <m:r>
                      <w:rPr>
                        <w:rFonts w:ascii="Cambria Math" w:hAnsi="Cambria Math"/>
                        <w:lang w:val="es-CO"/>
                      </w:rPr>
                      <m:t>m,i,j</m:t>
                    </m:r>
                  </m:sub>
                </m:sSub>
              </m:oMath>
            </m:oMathPara>
          </w:p>
        </w:tc>
        <w:tc>
          <w:tcPr>
            <w:tcW w:w="7366" w:type="dxa"/>
          </w:tcPr>
          <w:p w:rsidR="002E200E" w:rsidRPr="003410C8" w:rsidRDefault="002E200E" w:rsidP="007514D0">
            <w:pPr>
              <w:spacing w:before="120" w:after="120"/>
              <w:ind w:left="0"/>
              <w:jc w:val="both"/>
              <w:rPr>
                <w:rFonts w:ascii="Bookman Old Style" w:hAnsi="Bookman Old Style"/>
                <w:bCs/>
              </w:rPr>
            </w:pPr>
            <w:r w:rsidRPr="00CA1A93">
              <w:rPr>
                <w:rFonts w:ascii="Bookman Old Style" w:hAnsi="Bookman Old Style"/>
                <w:bCs/>
              </w:rPr>
              <w:t xml:space="preserve">Costo de compra de energía a AGPE y GD por parte del comercializador </w:t>
            </w:r>
            <w:r w:rsidRPr="00CA1A93">
              <w:rPr>
                <w:rFonts w:ascii="Bookman Old Style" w:hAnsi="Bookman Old Style"/>
                <w:bCs/>
                <w:i/>
              </w:rPr>
              <w:t>i</w:t>
            </w:r>
            <w:r w:rsidRPr="00CA1A93">
              <w:rPr>
                <w:rFonts w:ascii="Bookman Old Style" w:hAnsi="Bookman Old Style"/>
                <w:bCs/>
              </w:rPr>
              <w:t xml:space="preserve"> en el mes </w:t>
            </w:r>
            <w:r w:rsidRPr="00CA1A93">
              <w:rPr>
                <w:rFonts w:ascii="Bookman Old Style" w:hAnsi="Bookman Old Style"/>
                <w:bCs/>
                <w:i/>
              </w:rPr>
              <w:t>m</w:t>
            </w:r>
            <w:r w:rsidRPr="00CA1A93">
              <w:rPr>
                <w:rFonts w:ascii="Bookman Old Style" w:hAnsi="Bookman Old Style"/>
                <w:bCs/>
              </w:rPr>
              <w:t xml:space="preserve">, para el mercado de comercialización </w:t>
            </w:r>
            <w:r w:rsidRPr="00CA1A93">
              <w:rPr>
                <w:rFonts w:ascii="Bookman Old Style" w:hAnsi="Bookman Old Style"/>
                <w:bCs/>
                <w:i/>
              </w:rPr>
              <w:t>j</w:t>
            </w:r>
            <w:r w:rsidRPr="00CA1A93">
              <w:rPr>
                <w:rFonts w:ascii="Bookman Old Style" w:hAnsi="Bookman Old Style"/>
                <w:bCs/>
              </w:rPr>
              <w:t xml:space="preserve"> acuerdo con lo establecido en el </w:t>
            </w:r>
            <w:r w:rsidR="007514D0">
              <w:rPr>
                <w:rFonts w:ascii="Bookman Old Style" w:hAnsi="Bookman Old Style"/>
                <w:bCs/>
              </w:rPr>
              <w:t>A</w:t>
            </w:r>
            <w:r w:rsidRPr="00CA1A93">
              <w:rPr>
                <w:rFonts w:ascii="Bookman Old Style" w:hAnsi="Bookman Old Style"/>
                <w:bCs/>
              </w:rPr>
              <w:t>nexo 2 de la Resolución CREG 030 de 2018.</w:t>
            </w:r>
          </w:p>
        </w:tc>
      </w:tr>
    </w:tbl>
    <w:p w:rsidR="007514D0" w:rsidRDefault="007514D0" w:rsidP="008F6B07">
      <w:pPr>
        <w:pStyle w:val="Prrafodelista"/>
        <w:tabs>
          <w:tab w:val="left" w:pos="0"/>
          <w:tab w:val="left" w:pos="284"/>
        </w:tabs>
        <w:ind w:left="0"/>
        <w:jc w:val="both"/>
        <w:rPr>
          <w:rFonts w:ascii="Bookman Old Style" w:hAnsi="Bookman Old Style"/>
          <w:b/>
          <w:sz w:val="24"/>
          <w:szCs w:val="24"/>
        </w:rPr>
      </w:pPr>
    </w:p>
    <w:p w:rsidR="00FF07E5" w:rsidRPr="00CB1407" w:rsidRDefault="00FF07E5" w:rsidP="00FF07E5">
      <w:pPr>
        <w:pStyle w:val="Prrafodelista"/>
        <w:numPr>
          <w:ilvl w:val="0"/>
          <w:numId w:val="33"/>
        </w:numPr>
        <w:tabs>
          <w:tab w:val="left" w:pos="0"/>
          <w:tab w:val="left" w:pos="284"/>
        </w:tabs>
        <w:ind w:left="0" w:firstLine="0"/>
        <w:jc w:val="both"/>
        <w:rPr>
          <w:rFonts w:ascii="Bookman Old Style" w:hAnsi="Bookman Old Style"/>
          <w:b/>
          <w:sz w:val="24"/>
          <w:szCs w:val="24"/>
        </w:rPr>
      </w:pPr>
      <w:r w:rsidRPr="00CB1407">
        <w:rPr>
          <w:rFonts w:ascii="Bookman Old Style" w:hAnsi="Bookman Old Style"/>
          <w:b/>
          <w:sz w:val="24"/>
          <w:szCs w:val="24"/>
        </w:rPr>
        <w:t>Vigencia.</w:t>
      </w:r>
      <w:r w:rsidRPr="00CB1407">
        <w:rPr>
          <w:rFonts w:ascii="Bookman Old Style" w:hAnsi="Bookman Old Style"/>
          <w:sz w:val="24"/>
          <w:szCs w:val="24"/>
        </w:rPr>
        <w:t xml:space="preserve"> </w:t>
      </w:r>
      <w:r w:rsidRPr="009C612F">
        <w:rPr>
          <w:rFonts w:ascii="Bookman Old Style" w:hAnsi="Bookman Old Style"/>
          <w:sz w:val="24"/>
          <w:szCs w:val="24"/>
        </w:rPr>
        <w:t xml:space="preserve">La presente resolución </w:t>
      </w:r>
      <w:r w:rsidR="006C2A67" w:rsidRPr="009C612F">
        <w:rPr>
          <w:rFonts w:ascii="Bookman Old Style" w:hAnsi="Bookman Old Style"/>
          <w:sz w:val="24"/>
          <w:szCs w:val="24"/>
        </w:rPr>
        <w:t>deroga lo dispuesto en la Resolución CREG 020 de 2019</w:t>
      </w:r>
      <w:r w:rsidR="006C2A67">
        <w:rPr>
          <w:rFonts w:ascii="Bookman Old Style" w:hAnsi="Bookman Old Style"/>
          <w:sz w:val="24"/>
          <w:szCs w:val="24"/>
        </w:rPr>
        <w:t xml:space="preserve"> y </w:t>
      </w:r>
      <w:r w:rsidRPr="00CB1407">
        <w:rPr>
          <w:rFonts w:ascii="Bookman Old Style" w:hAnsi="Bookman Old Style"/>
          <w:sz w:val="24"/>
          <w:szCs w:val="24"/>
        </w:rPr>
        <w:t xml:space="preserve">rige a partir de su publicación en el </w:t>
      </w:r>
      <w:r w:rsidRPr="00957194">
        <w:rPr>
          <w:rFonts w:ascii="Bookman Old Style" w:hAnsi="Bookman Old Style"/>
          <w:i/>
          <w:sz w:val="24"/>
          <w:szCs w:val="24"/>
        </w:rPr>
        <w:t>Diario</w:t>
      </w:r>
      <w:r w:rsidRPr="00CB1407">
        <w:rPr>
          <w:rFonts w:ascii="Bookman Old Style" w:hAnsi="Bookman Old Style"/>
          <w:i/>
          <w:sz w:val="24"/>
          <w:szCs w:val="24"/>
        </w:rPr>
        <w:t xml:space="preserve"> Oficial</w:t>
      </w:r>
      <w:r w:rsidRPr="00CB1407">
        <w:rPr>
          <w:rFonts w:ascii="Bookman Old Style" w:hAnsi="Bookman Old Style"/>
          <w:sz w:val="24"/>
          <w:szCs w:val="24"/>
        </w:rPr>
        <w:t>.</w:t>
      </w:r>
    </w:p>
    <w:p w:rsidR="006C2A67" w:rsidRDefault="006C2A67" w:rsidP="00045D3D">
      <w:pPr>
        <w:jc w:val="center"/>
        <w:rPr>
          <w:rFonts w:ascii="Bookman Old Style" w:hAnsi="Bookman Old Style"/>
          <w:b/>
        </w:rPr>
      </w:pPr>
    </w:p>
    <w:p w:rsidR="00045D3D" w:rsidRPr="00C435C3" w:rsidRDefault="00045D3D" w:rsidP="00045D3D">
      <w:pPr>
        <w:jc w:val="center"/>
        <w:rPr>
          <w:rFonts w:ascii="Bookman Old Style" w:hAnsi="Bookman Old Style"/>
          <w:b/>
        </w:rPr>
      </w:pPr>
      <w:r w:rsidRPr="00C435C3">
        <w:rPr>
          <w:rFonts w:ascii="Bookman Old Style" w:hAnsi="Bookman Old Style"/>
          <w:b/>
        </w:rPr>
        <w:t>PU</w:t>
      </w:r>
      <w:r w:rsidR="00CA03C8">
        <w:rPr>
          <w:rFonts w:ascii="Bookman Old Style" w:hAnsi="Bookman Old Style"/>
          <w:b/>
        </w:rPr>
        <w:t>B</w:t>
      </w:r>
      <w:r w:rsidRPr="00C435C3">
        <w:rPr>
          <w:rFonts w:ascii="Bookman Old Style" w:hAnsi="Bookman Old Style"/>
          <w:b/>
        </w:rPr>
        <w:t>LÍQUESE Y CÚMPLASE</w:t>
      </w:r>
    </w:p>
    <w:p w:rsidR="00246929" w:rsidRDefault="00246929" w:rsidP="00246929">
      <w:pPr>
        <w:ind w:left="0"/>
        <w:rPr>
          <w:rFonts w:ascii="Bookman Old Style" w:hAnsi="Bookman Old Style"/>
        </w:rPr>
      </w:pPr>
    </w:p>
    <w:p w:rsidR="00246929" w:rsidRDefault="002E200E" w:rsidP="00246929">
      <w:pPr>
        <w:ind w:left="0"/>
        <w:rPr>
          <w:rFonts w:ascii="Bookman Old Style" w:hAnsi="Bookman Old Style"/>
        </w:rPr>
      </w:pPr>
      <w:r w:rsidRPr="00C12792">
        <w:rPr>
          <w:rFonts w:ascii="Bookman Old Style" w:hAnsi="Bookman Old Style"/>
        </w:rPr>
        <w:t xml:space="preserve">Dada en Bogotá D.C, </w:t>
      </w:r>
    </w:p>
    <w:p w:rsidR="00722E22" w:rsidRDefault="00722E22" w:rsidP="00246929">
      <w:pPr>
        <w:ind w:left="0"/>
        <w:rPr>
          <w:rFonts w:ascii="Bookman Old Style" w:hAnsi="Bookman Old Style"/>
        </w:rPr>
      </w:pPr>
    </w:p>
    <w:p w:rsidR="000958B5" w:rsidRDefault="000958B5" w:rsidP="00246929">
      <w:pPr>
        <w:ind w:left="0"/>
        <w:rPr>
          <w:rFonts w:ascii="Bookman Old Style" w:hAnsi="Bookman Old Style"/>
        </w:rPr>
      </w:pPr>
    </w:p>
    <w:p w:rsidR="00722E22" w:rsidRDefault="00722E22" w:rsidP="00246929">
      <w:pPr>
        <w:ind w:left="0"/>
        <w:rPr>
          <w:rFonts w:ascii="Bookman Old Style" w:hAnsi="Bookman Old Style"/>
        </w:rPr>
      </w:pPr>
    </w:p>
    <w:p w:rsidR="00722E22" w:rsidRDefault="00722E22" w:rsidP="00246929">
      <w:pPr>
        <w:ind w:left="0"/>
        <w:rPr>
          <w:rFonts w:ascii="Bookman Old Style" w:hAnsi="Bookman Old Style"/>
        </w:rPr>
      </w:pPr>
    </w:p>
    <w:p w:rsidR="00246929" w:rsidRPr="00C435C3" w:rsidRDefault="00246929" w:rsidP="00246929">
      <w:pPr>
        <w:ind w:left="0"/>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5033"/>
        <w:gridCol w:w="4465"/>
      </w:tblGrid>
      <w:tr w:rsidR="00722E22" w:rsidRPr="00BF69C9" w:rsidTr="00B22954">
        <w:trPr>
          <w:tblCellSpacing w:w="0" w:type="dxa"/>
          <w:jc w:val="center"/>
        </w:trPr>
        <w:tc>
          <w:tcPr>
            <w:tcW w:w="5033" w:type="dxa"/>
          </w:tcPr>
          <w:p w:rsidR="00722E22" w:rsidRPr="00722E22" w:rsidRDefault="00722E22" w:rsidP="00B22954">
            <w:pPr>
              <w:ind w:left="66"/>
              <w:jc w:val="center"/>
              <w:rPr>
                <w:rFonts w:ascii="Bookman Old Style" w:hAnsi="Bookman Old Style" w:cs="Arial"/>
                <w:b/>
              </w:rPr>
            </w:pPr>
            <w:r w:rsidRPr="00722E22">
              <w:rPr>
                <w:rFonts w:ascii="Bookman Old Style" w:hAnsi="Bookman Old Style" w:cs="Arial"/>
                <w:b/>
              </w:rPr>
              <w:t>DIEGO MESA PUYO</w:t>
            </w:r>
          </w:p>
        </w:tc>
        <w:tc>
          <w:tcPr>
            <w:tcW w:w="4465" w:type="dxa"/>
          </w:tcPr>
          <w:p w:rsidR="00722E22" w:rsidRPr="00722E22" w:rsidRDefault="00722E22" w:rsidP="00B22954">
            <w:pPr>
              <w:ind w:left="69"/>
              <w:jc w:val="center"/>
              <w:rPr>
                <w:rFonts w:ascii="Bookman Old Style" w:hAnsi="Bookman Old Style" w:cs="Arial"/>
                <w:b/>
              </w:rPr>
            </w:pPr>
            <w:r w:rsidRPr="00722E22">
              <w:rPr>
                <w:rFonts w:ascii="Bookman Old Style" w:hAnsi="Bookman Old Style" w:cs="Arial"/>
                <w:b/>
              </w:rPr>
              <w:t xml:space="preserve">CHRISTIAN JARAMILLO HERRERA </w:t>
            </w:r>
          </w:p>
        </w:tc>
      </w:tr>
      <w:tr w:rsidR="00722E22" w:rsidRPr="00BF69C9" w:rsidTr="00B22954">
        <w:trPr>
          <w:tblCellSpacing w:w="0" w:type="dxa"/>
          <w:jc w:val="center"/>
        </w:trPr>
        <w:tc>
          <w:tcPr>
            <w:tcW w:w="5033" w:type="dxa"/>
            <w:hideMark/>
          </w:tcPr>
          <w:p w:rsidR="00722E22" w:rsidRPr="00722E22" w:rsidRDefault="00722E22" w:rsidP="00B22954">
            <w:pPr>
              <w:ind w:left="66"/>
              <w:jc w:val="center"/>
              <w:rPr>
                <w:rFonts w:ascii="Bookman Old Style" w:eastAsia="Arial Unicode MS" w:hAnsi="Bookman Old Style" w:cs="Arial"/>
                <w:color w:val="000000"/>
              </w:rPr>
            </w:pPr>
            <w:r w:rsidRPr="00722E22">
              <w:rPr>
                <w:rFonts w:ascii="Bookman Old Style" w:hAnsi="Bookman Old Style" w:cs="Arial"/>
              </w:rPr>
              <w:t>Viceministro de Energía, delegado de la Ministra de Minas y Energía</w:t>
            </w:r>
          </w:p>
        </w:tc>
        <w:tc>
          <w:tcPr>
            <w:tcW w:w="4465" w:type="dxa"/>
            <w:hideMark/>
          </w:tcPr>
          <w:p w:rsidR="00722E22" w:rsidRPr="00722E22" w:rsidRDefault="00722E22" w:rsidP="00B22954">
            <w:pPr>
              <w:jc w:val="center"/>
              <w:rPr>
                <w:rFonts w:ascii="Bookman Old Style" w:eastAsia="Arial Unicode MS" w:hAnsi="Bookman Old Style" w:cs="Arial"/>
                <w:color w:val="000000"/>
              </w:rPr>
            </w:pPr>
            <w:r w:rsidRPr="00722E22">
              <w:rPr>
                <w:rFonts w:ascii="Bookman Old Style" w:hAnsi="Bookman Old Style" w:cs="Arial"/>
              </w:rPr>
              <w:t xml:space="preserve">Director Ejecutivo </w:t>
            </w:r>
          </w:p>
        </w:tc>
      </w:tr>
      <w:tr w:rsidR="00722E22" w:rsidRPr="00CF2A2D" w:rsidTr="00B22954">
        <w:trPr>
          <w:tblCellSpacing w:w="0" w:type="dxa"/>
          <w:jc w:val="center"/>
        </w:trPr>
        <w:tc>
          <w:tcPr>
            <w:tcW w:w="5033" w:type="dxa"/>
            <w:hideMark/>
          </w:tcPr>
          <w:p w:rsidR="00722E22" w:rsidRPr="00722E22" w:rsidRDefault="00722E22" w:rsidP="00B22954">
            <w:pPr>
              <w:ind w:left="66"/>
              <w:jc w:val="center"/>
              <w:rPr>
                <w:rFonts w:ascii="Bookman Old Style" w:eastAsia="Arial Unicode MS" w:hAnsi="Bookman Old Style" w:cs="Arial"/>
                <w:color w:val="000000"/>
              </w:rPr>
            </w:pPr>
            <w:r w:rsidRPr="00722E22">
              <w:rPr>
                <w:rFonts w:ascii="Bookman Old Style" w:hAnsi="Bookman Old Style" w:cs="Arial"/>
              </w:rPr>
              <w:t>Presidente</w:t>
            </w:r>
          </w:p>
        </w:tc>
        <w:tc>
          <w:tcPr>
            <w:tcW w:w="4465" w:type="dxa"/>
          </w:tcPr>
          <w:p w:rsidR="00722E22" w:rsidRPr="00722E22" w:rsidRDefault="00722E22" w:rsidP="00B22954">
            <w:pPr>
              <w:jc w:val="center"/>
              <w:rPr>
                <w:rFonts w:ascii="Bookman Old Style" w:eastAsia="Arial Unicode MS" w:hAnsi="Bookman Old Style" w:cs="Arial"/>
                <w:color w:val="000000"/>
              </w:rPr>
            </w:pPr>
          </w:p>
        </w:tc>
      </w:tr>
    </w:tbl>
    <w:p w:rsidR="00FF07E5" w:rsidRDefault="00FF07E5" w:rsidP="00045D3D">
      <w:pPr>
        <w:ind w:left="0"/>
        <w:rPr>
          <w:rFonts w:ascii="Bookman Old Style" w:hAnsi="Bookman Old Style"/>
        </w:rPr>
      </w:pPr>
    </w:p>
    <w:sectPr w:rsidR="00FF07E5" w:rsidSect="00722E22">
      <w:headerReference w:type="default" r:id="rId11"/>
      <w:headerReference w:type="first" r:id="rId12"/>
      <w:type w:val="continuous"/>
      <w:pgSz w:w="12242" w:h="18722" w:code="123"/>
      <w:pgMar w:top="2562"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058B" w:rsidRDefault="0067058B">
      <w:r>
        <w:separator/>
      </w:r>
    </w:p>
  </w:endnote>
  <w:endnote w:type="continuationSeparator" w:id="0">
    <w:p w:rsidR="0067058B" w:rsidRDefault="00670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058B" w:rsidRDefault="0067058B">
      <w:r>
        <w:separator/>
      </w:r>
    </w:p>
  </w:footnote>
  <w:footnote w:type="continuationSeparator" w:id="0">
    <w:p w:rsidR="0067058B" w:rsidRDefault="0067058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4055" w:rsidRPr="00722E22" w:rsidRDefault="00544055" w:rsidP="00951F79">
    <w:pPr>
      <w:pStyle w:val="Ttulo1"/>
      <w:ind w:right="6"/>
      <w:jc w:val="left"/>
      <w:rPr>
        <w:rFonts w:ascii="Bookman Old Style" w:hAnsi="Bookman Old Style" w:cs="Arial"/>
        <w:b w:val="0"/>
        <w:sz w:val="22"/>
        <w:szCs w:val="22"/>
      </w:rPr>
    </w:pPr>
  </w:p>
  <w:p w:rsidR="00544055" w:rsidRPr="00951F79" w:rsidRDefault="00544055"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2F3937">
      <w:rPr>
        <w:rFonts w:ascii="Bookman Old Style" w:hAnsi="Bookman Old Style" w:cs="Arial"/>
        <w:b w:val="0"/>
        <w:noProof/>
        <w:sz w:val="22"/>
        <w:szCs w:val="22"/>
      </w:rPr>
      <w:t>10</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2F3937">
      <w:fldChar w:fldCharType="begin"/>
    </w:r>
    <w:r w:rsidR="002F3937">
      <w:instrText xml:space="preserve"> NUMPAGES  \* MERGEFORMAT </w:instrText>
    </w:r>
    <w:r w:rsidR="002F3937">
      <w:fldChar w:fldCharType="separate"/>
    </w:r>
    <w:r w:rsidR="002F3937" w:rsidRPr="002F3937">
      <w:rPr>
        <w:rFonts w:ascii="Bookman Old Style" w:hAnsi="Bookman Old Style" w:cs="Arial"/>
        <w:b w:val="0"/>
        <w:noProof/>
        <w:sz w:val="22"/>
        <w:szCs w:val="22"/>
      </w:rPr>
      <w:t>10</w:t>
    </w:r>
    <w:r w:rsidR="002F3937">
      <w:rPr>
        <w:rFonts w:ascii="Bookman Old Style" w:hAnsi="Bookman Old Style" w:cs="Arial"/>
        <w:b w:val="0"/>
        <w:noProof/>
        <w:sz w:val="22"/>
        <w:szCs w:val="22"/>
      </w:rPr>
      <w:fldChar w:fldCharType="end"/>
    </w:r>
  </w:p>
  <w:p w:rsidR="00544055" w:rsidRDefault="00544055" w:rsidP="00AD01E4">
    <w:pPr>
      <w:ind w:left="142" w:right="148"/>
      <w:rPr>
        <w:rFonts w:ascii="Bookman Old Style" w:hAnsi="Bookman Old Style" w:cs="Arial"/>
      </w:rPr>
    </w:pPr>
    <w:r w:rsidRPr="0042068C">
      <w:rPr>
        <w:noProof/>
        <w:lang w:val="es-CO" w:eastAsia="es-CO"/>
      </w:rPr>
      <mc:AlternateContent>
        <mc:Choice Requires="wps">
          <w:drawing>
            <wp:anchor distT="0" distB="0" distL="114300" distR="114300" simplePos="0" relativeHeight="251657216" behindDoc="0" locked="0" layoutInCell="1" allowOverlap="1" wp14:anchorId="64BACB00" wp14:editId="6D0AA905">
              <wp:simplePos x="0" y="0"/>
              <wp:positionH relativeFrom="column">
                <wp:posOffset>-175260</wp:posOffset>
              </wp:positionH>
              <wp:positionV relativeFrom="paragraph">
                <wp:posOffset>139065</wp:posOffset>
              </wp:positionV>
              <wp:extent cx="6267450" cy="9900920"/>
              <wp:effectExtent l="9525" t="12065" r="9525" b="1206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BEA5C8"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722E22" w:rsidRDefault="00722E22" w:rsidP="00722E22">
    <w:pPr>
      <w:pBdr>
        <w:bottom w:val="single" w:sz="12" w:space="3" w:color="auto"/>
      </w:pBdr>
      <w:ind w:left="0"/>
      <w:jc w:val="both"/>
      <w:rPr>
        <w:rFonts w:ascii="Bookman Old Style" w:hAnsi="Bookman Old Style"/>
        <w:sz w:val="22"/>
        <w:szCs w:val="22"/>
      </w:rPr>
    </w:pPr>
    <w:r w:rsidRPr="00722E22">
      <w:rPr>
        <w:rFonts w:ascii="Bookman Old Style" w:hAnsi="Bookman Old Style"/>
        <w:sz w:val="22"/>
        <w:szCs w:val="22"/>
      </w:rPr>
      <w:t>Fórmula de traslado en el componente de compras de energía al usuario regulado de los precios del mecanismo de contratación establecido en la Resolución 40590 de 2019 del Ministerio de Minas y Energía</w:t>
    </w:r>
    <w:r w:rsidR="00544055" w:rsidRPr="00722E22">
      <w:rPr>
        <w:rFonts w:ascii="Bookman Old Style" w:hAnsi="Bookman Old Style"/>
        <w:sz w:val="22"/>
        <w:szCs w:val="22"/>
      </w:rPr>
      <w:t>.</w:t>
    </w:r>
  </w:p>
  <w:p w:rsidR="00722E22" w:rsidRDefault="00722E22" w:rsidP="00722E22">
    <w:pPr>
      <w:pBdr>
        <w:bottom w:val="single" w:sz="12" w:space="3" w:color="auto"/>
      </w:pBdr>
      <w:ind w:left="0"/>
      <w:jc w:val="both"/>
      <w:rPr>
        <w:rFonts w:ascii="Bookman Old Style" w:hAnsi="Bookman Old Style"/>
        <w:sz w:val="22"/>
        <w:szCs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4055" w:rsidRDefault="00544055"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544055" w:rsidRDefault="00544055">
    <w:pPr>
      <w:pStyle w:val="Encabezado"/>
      <w:jc w:val="center"/>
      <w:rPr>
        <w:rFonts w:ascii="Arial" w:hAnsi="Arial" w:cs="Arial"/>
        <w:spacing w:val="20"/>
        <w:sz w:val="20"/>
      </w:rPr>
    </w:pPr>
  </w:p>
  <w:p w:rsidR="00544055" w:rsidRDefault="00544055"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4D0325D8" wp14:editId="0CCFA138">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B93624"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2801E2"/>
    <w:multiLevelType w:val="hybridMultilevel"/>
    <w:tmpl w:val="DBD61922"/>
    <w:lvl w:ilvl="0" w:tplc="240A000F">
      <w:start w:val="1"/>
      <w:numFmt w:val="decimal"/>
      <w:lvlText w:val="%1."/>
      <w:lvlJc w:val="left"/>
      <w:pPr>
        <w:ind w:left="1287" w:hanging="360"/>
      </w:pPr>
    </w:lvl>
    <w:lvl w:ilvl="1" w:tplc="240A0019">
      <w:start w:val="1"/>
      <w:numFmt w:val="lowerLetter"/>
      <w:lvlText w:val="%2."/>
      <w:lvlJc w:val="left"/>
      <w:pPr>
        <w:ind w:left="2007" w:hanging="360"/>
      </w:pPr>
    </w:lvl>
    <w:lvl w:ilvl="2" w:tplc="240A001B">
      <w:start w:val="1"/>
      <w:numFmt w:val="lowerRoman"/>
      <w:lvlText w:val="%3."/>
      <w:lvlJc w:val="right"/>
      <w:pPr>
        <w:ind w:left="2727" w:hanging="180"/>
      </w:pPr>
    </w:lvl>
    <w:lvl w:ilvl="3" w:tplc="240A000F">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A4E167B"/>
    <w:multiLevelType w:val="hybridMultilevel"/>
    <w:tmpl w:val="C9F4302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DF34E68"/>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7B704D3"/>
    <w:multiLevelType w:val="hybridMultilevel"/>
    <w:tmpl w:val="BAC227F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199F1C7E"/>
    <w:multiLevelType w:val="hybridMultilevel"/>
    <w:tmpl w:val="AB9E58D8"/>
    <w:lvl w:ilvl="0" w:tplc="2990F024">
      <w:start w:val="1"/>
      <w:numFmt w:val="decimal"/>
      <w:lvlText w:val="Artículo %1."/>
      <w:lvlJc w:val="left"/>
      <w:pPr>
        <w:ind w:left="720" w:hanging="360"/>
      </w:pPr>
      <w:rPr>
        <w:rFonts w:hint="default"/>
        <w:b/>
        <w:i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A543BDE"/>
    <w:multiLevelType w:val="hybridMultilevel"/>
    <w:tmpl w:val="88C69FD6"/>
    <w:lvl w:ilvl="0" w:tplc="7EC2704A">
      <w:start w:val="1"/>
      <w:numFmt w:val="decimal"/>
      <w:lvlText w:val="%1."/>
      <w:lvlJc w:val="left"/>
      <w:pPr>
        <w:ind w:left="720" w:hanging="360"/>
      </w:pPr>
      <w:rPr>
        <w:rFonts w:hint="default"/>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36397C"/>
    <w:multiLevelType w:val="hybridMultilevel"/>
    <w:tmpl w:val="7A2C4BCA"/>
    <w:lvl w:ilvl="0" w:tplc="240A0001">
      <w:start w:val="1"/>
      <w:numFmt w:val="bullet"/>
      <w:lvlText w:val=""/>
      <w:lvlJc w:val="left"/>
      <w:pPr>
        <w:ind w:left="1522" w:hanging="360"/>
      </w:pPr>
      <w:rPr>
        <w:rFonts w:ascii="Symbol" w:hAnsi="Symbol" w:hint="default"/>
      </w:rPr>
    </w:lvl>
    <w:lvl w:ilvl="1" w:tplc="240A0003" w:tentative="1">
      <w:start w:val="1"/>
      <w:numFmt w:val="bullet"/>
      <w:lvlText w:val="o"/>
      <w:lvlJc w:val="left"/>
      <w:pPr>
        <w:ind w:left="2242" w:hanging="360"/>
      </w:pPr>
      <w:rPr>
        <w:rFonts w:ascii="Courier New" w:hAnsi="Courier New" w:cs="Courier New" w:hint="default"/>
      </w:rPr>
    </w:lvl>
    <w:lvl w:ilvl="2" w:tplc="240A0005" w:tentative="1">
      <w:start w:val="1"/>
      <w:numFmt w:val="bullet"/>
      <w:lvlText w:val=""/>
      <w:lvlJc w:val="left"/>
      <w:pPr>
        <w:ind w:left="2962" w:hanging="360"/>
      </w:pPr>
      <w:rPr>
        <w:rFonts w:ascii="Wingdings" w:hAnsi="Wingdings" w:hint="default"/>
      </w:rPr>
    </w:lvl>
    <w:lvl w:ilvl="3" w:tplc="240A0001" w:tentative="1">
      <w:start w:val="1"/>
      <w:numFmt w:val="bullet"/>
      <w:lvlText w:val=""/>
      <w:lvlJc w:val="left"/>
      <w:pPr>
        <w:ind w:left="3682" w:hanging="360"/>
      </w:pPr>
      <w:rPr>
        <w:rFonts w:ascii="Symbol" w:hAnsi="Symbol" w:hint="default"/>
      </w:rPr>
    </w:lvl>
    <w:lvl w:ilvl="4" w:tplc="240A0003" w:tentative="1">
      <w:start w:val="1"/>
      <w:numFmt w:val="bullet"/>
      <w:lvlText w:val="o"/>
      <w:lvlJc w:val="left"/>
      <w:pPr>
        <w:ind w:left="4402" w:hanging="360"/>
      </w:pPr>
      <w:rPr>
        <w:rFonts w:ascii="Courier New" w:hAnsi="Courier New" w:cs="Courier New" w:hint="default"/>
      </w:rPr>
    </w:lvl>
    <w:lvl w:ilvl="5" w:tplc="240A0005" w:tentative="1">
      <w:start w:val="1"/>
      <w:numFmt w:val="bullet"/>
      <w:lvlText w:val=""/>
      <w:lvlJc w:val="left"/>
      <w:pPr>
        <w:ind w:left="5122" w:hanging="360"/>
      </w:pPr>
      <w:rPr>
        <w:rFonts w:ascii="Wingdings" w:hAnsi="Wingdings" w:hint="default"/>
      </w:rPr>
    </w:lvl>
    <w:lvl w:ilvl="6" w:tplc="240A0001" w:tentative="1">
      <w:start w:val="1"/>
      <w:numFmt w:val="bullet"/>
      <w:lvlText w:val=""/>
      <w:lvlJc w:val="left"/>
      <w:pPr>
        <w:ind w:left="5842" w:hanging="360"/>
      </w:pPr>
      <w:rPr>
        <w:rFonts w:ascii="Symbol" w:hAnsi="Symbol" w:hint="default"/>
      </w:rPr>
    </w:lvl>
    <w:lvl w:ilvl="7" w:tplc="240A0003" w:tentative="1">
      <w:start w:val="1"/>
      <w:numFmt w:val="bullet"/>
      <w:lvlText w:val="o"/>
      <w:lvlJc w:val="left"/>
      <w:pPr>
        <w:ind w:left="6562" w:hanging="360"/>
      </w:pPr>
      <w:rPr>
        <w:rFonts w:ascii="Courier New" w:hAnsi="Courier New" w:cs="Courier New" w:hint="default"/>
      </w:rPr>
    </w:lvl>
    <w:lvl w:ilvl="8" w:tplc="240A0005" w:tentative="1">
      <w:start w:val="1"/>
      <w:numFmt w:val="bullet"/>
      <w:lvlText w:val=""/>
      <w:lvlJc w:val="left"/>
      <w:pPr>
        <w:ind w:left="7282" w:hanging="360"/>
      </w:pPr>
      <w:rPr>
        <w:rFonts w:ascii="Wingdings" w:hAnsi="Wingdings" w:hint="default"/>
      </w:rPr>
    </w:lvl>
  </w:abstractNum>
  <w:abstractNum w:abstractNumId="13" w15:restartNumberingAfterBreak="0">
    <w:nsid w:val="24D95FE5"/>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26ED1131"/>
    <w:multiLevelType w:val="hybridMultilevel"/>
    <w:tmpl w:val="D27A25D0"/>
    <w:lvl w:ilvl="0" w:tplc="240A0001">
      <w:numFmt w:val="bullet"/>
      <w:lvlText w:val=""/>
      <w:lvlJc w:val="left"/>
      <w:pPr>
        <w:ind w:left="720" w:hanging="360"/>
      </w:pPr>
      <w:rPr>
        <w:rFonts w:ascii="Symbol" w:eastAsia="Times New Roman" w:hAnsi="Symbol" w:cs="Times New Roman"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6F3645B"/>
    <w:multiLevelType w:val="hybridMultilevel"/>
    <w:tmpl w:val="1694859A"/>
    <w:lvl w:ilvl="0" w:tplc="C40C8C5C">
      <w:numFmt w:val="bullet"/>
      <w:lvlText w:val=""/>
      <w:lvlJc w:val="left"/>
      <w:pPr>
        <w:ind w:left="645" w:hanging="360"/>
      </w:pPr>
      <w:rPr>
        <w:rFonts w:ascii="Symbol" w:eastAsia="Times New Roman" w:hAnsi="Symbol" w:cs="Times New Roman" w:hint="default"/>
      </w:rPr>
    </w:lvl>
    <w:lvl w:ilvl="1" w:tplc="240A0003" w:tentative="1">
      <w:start w:val="1"/>
      <w:numFmt w:val="bullet"/>
      <w:lvlText w:val="o"/>
      <w:lvlJc w:val="left"/>
      <w:pPr>
        <w:ind w:left="1365" w:hanging="360"/>
      </w:pPr>
      <w:rPr>
        <w:rFonts w:ascii="Courier New" w:hAnsi="Courier New" w:cs="Courier New" w:hint="default"/>
      </w:rPr>
    </w:lvl>
    <w:lvl w:ilvl="2" w:tplc="240A0005" w:tentative="1">
      <w:start w:val="1"/>
      <w:numFmt w:val="bullet"/>
      <w:lvlText w:val=""/>
      <w:lvlJc w:val="left"/>
      <w:pPr>
        <w:ind w:left="2085" w:hanging="360"/>
      </w:pPr>
      <w:rPr>
        <w:rFonts w:ascii="Wingdings" w:hAnsi="Wingdings" w:hint="default"/>
      </w:rPr>
    </w:lvl>
    <w:lvl w:ilvl="3" w:tplc="240A0001" w:tentative="1">
      <w:start w:val="1"/>
      <w:numFmt w:val="bullet"/>
      <w:lvlText w:val=""/>
      <w:lvlJc w:val="left"/>
      <w:pPr>
        <w:ind w:left="2805" w:hanging="360"/>
      </w:pPr>
      <w:rPr>
        <w:rFonts w:ascii="Symbol" w:hAnsi="Symbol" w:hint="default"/>
      </w:rPr>
    </w:lvl>
    <w:lvl w:ilvl="4" w:tplc="240A0003" w:tentative="1">
      <w:start w:val="1"/>
      <w:numFmt w:val="bullet"/>
      <w:lvlText w:val="o"/>
      <w:lvlJc w:val="left"/>
      <w:pPr>
        <w:ind w:left="3525" w:hanging="360"/>
      </w:pPr>
      <w:rPr>
        <w:rFonts w:ascii="Courier New" w:hAnsi="Courier New" w:cs="Courier New" w:hint="default"/>
      </w:rPr>
    </w:lvl>
    <w:lvl w:ilvl="5" w:tplc="240A0005" w:tentative="1">
      <w:start w:val="1"/>
      <w:numFmt w:val="bullet"/>
      <w:lvlText w:val=""/>
      <w:lvlJc w:val="left"/>
      <w:pPr>
        <w:ind w:left="4245" w:hanging="360"/>
      </w:pPr>
      <w:rPr>
        <w:rFonts w:ascii="Wingdings" w:hAnsi="Wingdings" w:hint="default"/>
      </w:rPr>
    </w:lvl>
    <w:lvl w:ilvl="6" w:tplc="240A0001" w:tentative="1">
      <w:start w:val="1"/>
      <w:numFmt w:val="bullet"/>
      <w:lvlText w:val=""/>
      <w:lvlJc w:val="left"/>
      <w:pPr>
        <w:ind w:left="4965" w:hanging="360"/>
      </w:pPr>
      <w:rPr>
        <w:rFonts w:ascii="Symbol" w:hAnsi="Symbol" w:hint="default"/>
      </w:rPr>
    </w:lvl>
    <w:lvl w:ilvl="7" w:tplc="240A0003" w:tentative="1">
      <w:start w:val="1"/>
      <w:numFmt w:val="bullet"/>
      <w:lvlText w:val="o"/>
      <w:lvlJc w:val="left"/>
      <w:pPr>
        <w:ind w:left="5685" w:hanging="360"/>
      </w:pPr>
      <w:rPr>
        <w:rFonts w:ascii="Courier New" w:hAnsi="Courier New" w:cs="Courier New" w:hint="default"/>
      </w:rPr>
    </w:lvl>
    <w:lvl w:ilvl="8" w:tplc="240A0005" w:tentative="1">
      <w:start w:val="1"/>
      <w:numFmt w:val="bullet"/>
      <w:lvlText w:val=""/>
      <w:lvlJc w:val="left"/>
      <w:pPr>
        <w:ind w:left="6405" w:hanging="360"/>
      </w:pPr>
      <w:rPr>
        <w:rFonts w:ascii="Wingdings" w:hAnsi="Wingdings" w:hint="default"/>
      </w:rPr>
    </w:lvl>
  </w:abstractNum>
  <w:abstractNum w:abstractNumId="18" w15:restartNumberingAfterBreak="0">
    <w:nsid w:val="299161C9"/>
    <w:multiLevelType w:val="hybridMultilevel"/>
    <w:tmpl w:val="E5C09086"/>
    <w:lvl w:ilvl="0" w:tplc="CB0AE6F4">
      <w:start w:val="1"/>
      <w:numFmt w:val="decimal"/>
      <w:lvlText w:val="%1."/>
      <w:lvlJc w:val="left"/>
      <w:pPr>
        <w:ind w:left="1800" w:hanging="360"/>
      </w:pPr>
      <w:rPr>
        <w:rFonts w:hint="default"/>
        <w:b/>
      </w:rPr>
    </w:lvl>
    <w:lvl w:ilvl="1" w:tplc="240A0019">
      <w:start w:val="1"/>
      <w:numFmt w:val="lowerLetter"/>
      <w:lvlText w:val="%2."/>
      <w:lvlJc w:val="left"/>
      <w:pPr>
        <w:ind w:left="2520" w:hanging="360"/>
      </w:pPr>
    </w:lvl>
    <w:lvl w:ilvl="2" w:tplc="240A001B" w:tentative="1">
      <w:start w:val="1"/>
      <w:numFmt w:val="lowerRoman"/>
      <w:lvlText w:val="%3."/>
      <w:lvlJc w:val="right"/>
      <w:pPr>
        <w:ind w:left="3240" w:hanging="180"/>
      </w:pPr>
    </w:lvl>
    <w:lvl w:ilvl="3" w:tplc="240A000F" w:tentative="1">
      <w:start w:val="1"/>
      <w:numFmt w:val="decimal"/>
      <w:lvlText w:val="%4."/>
      <w:lvlJc w:val="left"/>
      <w:pPr>
        <w:ind w:left="3960" w:hanging="360"/>
      </w:pPr>
    </w:lvl>
    <w:lvl w:ilvl="4" w:tplc="240A0019" w:tentative="1">
      <w:start w:val="1"/>
      <w:numFmt w:val="lowerLetter"/>
      <w:lvlText w:val="%5."/>
      <w:lvlJc w:val="left"/>
      <w:pPr>
        <w:ind w:left="4680" w:hanging="360"/>
      </w:pPr>
    </w:lvl>
    <w:lvl w:ilvl="5" w:tplc="240A001B" w:tentative="1">
      <w:start w:val="1"/>
      <w:numFmt w:val="lowerRoman"/>
      <w:lvlText w:val="%6."/>
      <w:lvlJc w:val="right"/>
      <w:pPr>
        <w:ind w:left="5400" w:hanging="180"/>
      </w:pPr>
    </w:lvl>
    <w:lvl w:ilvl="6" w:tplc="240A000F" w:tentative="1">
      <w:start w:val="1"/>
      <w:numFmt w:val="decimal"/>
      <w:lvlText w:val="%7."/>
      <w:lvlJc w:val="left"/>
      <w:pPr>
        <w:ind w:left="6120" w:hanging="360"/>
      </w:pPr>
    </w:lvl>
    <w:lvl w:ilvl="7" w:tplc="240A0019" w:tentative="1">
      <w:start w:val="1"/>
      <w:numFmt w:val="lowerLetter"/>
      <w:lvlText w:val="%8."/>
      <w:lvlJc w:val="left"/>
      <w:pPr>
        <w:ind w:left="6840" w:hanging="360"/>
      </w:pPr>
    </w:lvl>
    <w:lvl w:ilvl="8" w:tplc="240A001B" w:tentative="1">
      <w:start w:val="1"/>
      <w:numFmt w:val="lowerRoman"/>
      <w:lvlText w:val="%9."/>
      <w:lvlJc w:val="right"/>
      <w:pPr>
        <w:ind w:left="7560" w:hanging="180"/>
      </w:pPr>
    </w:lvl>
  </w:abstractNum>
  <w:abstractNum w:abstractNumId="19" w15:restartNumberingAfterBreak="0">
    <w:nsid w:val="2BEE0B56"/>
    <w:multiLevelType w:val="multilevel"/>
    <w:tmpl w:val="7F7AFBB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0"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1"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463922"/>
    <w:multiLevelType w:val="hybridMultilevel"/>
    <w:tmpl w:val="23327FA2"/>
    <w:lvl w:ilvl="0" w:tplc="240A0001">
      <w:start w:val="1"/>
      <w:numFmt w:val="bullet"/>
      <w:lvlText w:val=""/>
      <w:lvlJc w:val="left"/>
      <w:pPr>
        <w:ind w:left="1004" w:hanging="360"/>
      </w:pPr>
      <w:rPr>
        <w:rFonts w:ascii="Symbol" w:hAnsi="Symbol" w:hint="default"/>
      </w:rPr>
    </w:lvl>
    <w:lvl w:ilvl="1" w:tplc="240A0003" w:tentative="1">
      <w:start w:val="1"/>
      <w:numFmt w:val="bullet"/>
      <w:lvlText w:val="o"/>
      <w:lvlJc w:val="left"/>
      <w:pPr>
        <w:ind w:left="1724" w:hanging="360"/>
      </w:pPr>
      <w:rPr>
        <w:rFonts w:ascii="Courier New" w:hAnsi="Courier New" w:cs="Courier New" w:hint="default"/>
      </w:rPr>
    </w:lvl>
    <w:lvl w:ilvl="2" w:tplc="240A0005" w:tentative="1">
      <w:start w:val="1"/>
      <w:numFmt w:val="bullet"/>
      <w:lvlText w:val=""/>
      <w:lvlJc w:val="left"/>
      <w:pPr>
        <w:ind w:left="2444" w:hanging="360"/>
      </w:pPr>
      <w:rPr>
        <w:rFonts w:ascii="Wingdings" w:hAnsi="Wingdings" w:hint="default"/>
      </w:rPr>
    </w:lvl>
    <w:lvl w:ilvl="3" w:tplc="240A0001" w:tentative="1">
      <w:start w:val="1"/>
      <w:numFmt w:val="bullet"/>
      <w:lvlText w:val=""/>
      <w:lvlJc w:val="left"/>
      <w:pPr>
        <w:ind w:left="3164" w:hanging="360"/>
      </w:pPr>
      <w:rPr>
        <w:rFonts w:ascii="Symbol" w:hAnsi="Symbol" w:hint="default"/>
      </w:rPr>
    </w:lvl>
    <w:lvl w:ilvl="4" w:tplc="240A0003" w:tentative="1">
      <w:start w:val="1"/>
      <w:numFmt w:val="bullet"/>
      <w:lvlText w:val="o"/>
      <w:lvlJc w:val="left"/>
      <w:pPr>
        <w:ind w:left="3884" w:hanging="360"/>
      </w:pPr>
      <w:rPr>
        <w:rFonts w:ascii="Courier New" w:hAnsi="Courier New" w:cs="Courier New" w:hint="default"/>
      </w:rPr>
    </w:lvl>
    <w:lvl w:ilvl="5" w:tplc="240A0005" w:tentative="1">
      <w:start w:val="1"/>
      <w:numFmt w:val="bullet"/>
      <w:lvlText w:val=""/>
      <w:lvlJc w:val="left"/>
      <w:pPr>
        <w:ind w:left="4604" w:hanging="360"/>
      </w:pPr>
      <w:rPr>
        <w:rFonts w:ascii="Wingdings" w:hAnsi="Wingdings" w:hint="default"/>
      </w:rPr>
    </w:lvl>
    <w:lvl w:ilvl="6" w:tplc="240A0001" w:tentative="1">
      <w:start w:val="1"/>
      <w:numFmt w:val="bullet"/>
      <w:lvlText w:val=""/>
      <w:lvlJc w:val="left"/>
      <w:pPr>
        <w:ind w:left="5324" w:hanging="360"/>
      </w:pPr>
      <w:rPr>
        <w:rFonts w:ascii="Symbol" w:hAnsi="Symbol" w:hint="default"/>
      </w:rPr>
    </w:lvl>
    <w:lvl w:ilvl="7" w:tplc="240A0003" w:tentative="1">
      <w:start w:val="1"/>
      <w:numFmt w:val="bullet"/>
      <w:lvlText w:val="o"/>
      <w:lvlJc w:val="left"/>
      <w:pPr>
        <w:ind w:left="6044" w:hanging="360"/>
      </w:pPr>
      <w:rPr>
        <w:rFonts w:ascii="Courier New" w:hAnsi="Courier New" w:cs="Courier New" w:hint="default"/>
      </w:rPr>
    </w:lvl>
    <w:lvl w:ilvl="8" w:tplc="240A0005" w:tentative="1">
      <w:start w:val="1"/>
      <w:numFmt w:val="bullet"/>
      <w:lvlText w:val=""/>
      <w:lvlJc w:val="left"/>
      <w:pPr>
        <w:ind w:left="6764" w:hanging="360"/>
      </w:pPr>
      <w:rPr>
        <w:rFonts w:ascii="Wingdings" w:hAnsi="Wingdings" w:hint="default"/>
      </w:rPr>
    </w:lvl>
  </w:abstractNum>
  <w:abstractNum w:abstractNumId="24"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5"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7" w15:restartNumberingAfterBreak="0">
    <w:nsid w:val="4A2F3B37"/>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BD56427"/>
    <w:multiLevelType w:val="hybridMultilevel"/>
    <w:tmpl w:val="DC10F046"/>
    <w:lvl w:ilvl="0" w:tplc="240A0019">
      <w:start w:val="1"/>
      <w:numFmt w:val="lowerLetter"/>
      <w:lvlText w:val="%1."/>
      <w:lvlJc w:val="left"/>
      <w:pPr>
        <w:ind w:left="1647" w:hanging="360"/>
      </w:pPr>
    </w:lvl>
    <w:lvl w:ilvl="1" w:tplc="3C5A937A">
      <w:start w:val="1"/>
      <w:numFmt w:val="decimal"/>
      <w:lvlText w:val="%2."/>
      <w:lvlJc w:val="left"/>
      <w:pPr>
        <w:ind w:left="2407" w:hanging="400"/>
      </w:pPr>
      <w:rPr>
        <w:rFonts w:hint="default"/>
        <w:b/>
      </w:r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29"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0" w15:restartNumberingAfterBreak="0">
    <w:nsid w:val="559E657D"/>
    <w:multiLevelType w:val="hybridMultilevel"/>
    <w:tmpl w:val="C61803D6"/>
    <w:lvl w:ilvl="0" w:tplc="9ED4A452">
      <w:start w:val="1"/>
      <w:numFmt w:val="decimal"/>
      <w:lvlText w:val="%1."/>
      <w:lvlJc w:val="left"/>
      <w:pPr>
        <w:ind w:left="720" w:hanging="360"/>
      </w:pPr>
      <w:rPr>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A1F1FB5"/>
    <w:multiLevelType w:val="hybridMultilevel"/>
    <w:tmpl w:val="46C2CFBA"/>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32" w15:restartNumberingAfterBreak="0">
    <w:nsid w:val="5AAC48EB"/>
    <w:multiLevelType w:val="hybridMultilevel"/>
    <w:tmpl w:val="8430B1EE"/>
    <w:lvl w:ilvl="0" w:tplc="6A640600">
      <w:start w:val="1"/>
      <w:numFmt w:val="decimal"/>
      <w:pStyle w:val="Numeracin"/>
      <w:lvlText w:val="%1."/>
      <w:lvlJc w:val="left"/>
      <w:pPr>
        <w:ind w:left="927" w:hanging="360"/>
      </w:pPr>
      <w:rPr>
        <w:rFonts w:hint="default"/>
      </w:rPr>
    </w:lvl>
    <w:lvl w:ilvl="1" w:tplc="240A0019">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3"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5" w15:restartNumberingAfterBreak="0">
    <w:nsid w:val="5F4B150F"/>
    <w:multiLevelType w:val="hybridMultilevel"/>
    <w:tmpl w:val="562099D2"/>
    <w:lvl w:ilvl="0" w:tplc="820C94B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7" w15:restartNumberingAfterBreak="0">
    <w:nsid w:val="654562F2"/>
    <w:multiLevelType w:val="hybridMultilevel"/>
    <w:tmpl w:val="4C1C4CD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9" w15:restartNumberingAfterBreak="0">
    <w:nsid w:val="6E185A88"/>
    <w:multiLevelType w:val="multilevel"/>
    <w:tmpl w:val="87C28E4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3240" w:hanging="144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40"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78F23FCF"/>
    <w:multiLevelType w:val="multilevel"/>
    <w:tmpl w:val="240A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3"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4"/>
  </w:num>
  <w:num w:numId="2">
    <w:abstractNumId w:val="8"/>
  </w:num>
  <w:num w:numId="3">
    <w:abstractNumId w:val="42"/>
  </w:num>
  <w:num w:numId="4">
    <w:abstractNumId w:val="14"/>
  </w:num>
  <w:num w:numId="5">
    <w:abstractNumId w:val="33"/>
  </w:num>
  <w:num w:numId="6">
    <w:abstractNumId w:val="5"/>
  </w:num>
  <w:num w:numId="7">
    <w:abstractNumId w:val="4"/>
  </w:num>
  <w:num w:numId="8">
    <w:abstractNumId w:val="36"/>
  </w:num>
  <w:num w:numId="9">
    <w:abstractNumId w:val="34"/>
  </w:num>
  <w:num w:numId="10">
    <w:abstractNumId w:val="25"/>
  </w:num>
  <w:num w:numId="11">
    <w:abstractNumId w:val="43"/>
  </w:num>
  <w:num w:numId="12">
    <w:abstractNumId w:val="40"/>
  </w:num>
  <w:num w:numId="13">
    <w:abstractNumId w:val="22"/>
  </w:num>
  <w:num w:numId="14">
    <w:abstractNumId w:val="3"/>
  </w:num>
  <w:num w:numId="15">
    <w:abstractNumId w:val="26"/>
  </w:num>
  <w:num w:numId="16">
    <w:abstractNumId w:val="1"/>
  </w:num>
  <w:num w:numId="17">
    <w:abstractNumId w:val="21"/>
  </w:num>
  <w:num w:numId="18">
    <w:abstractNumId w:val="0"/>
  </w:num>
  <w:num w:numId="19">
    <w:abstractNumId w:val="38"/>
  </w:num>
  <w:num w:numId="20">
    <w:abstractNumId w:val="29"/>
  </w:num>
  <w:num w:numId="21">
    <w:abstractNumId w:val="15"/>
  </w:num>
  <w:num w:numId="22">
    <w:abstractNumId w:val="20"/>
  </w:num>
  <w:num w:numId="23">
    <w:abstractNumId w:val="32"/>
  </w:num>
  <w:num w:numId="24">
    <w:abstractNumId w:val="2"/>
  </w:num>
  <w:num w:numId="25">
    <w:abstractNumId w:val="28"/>
  </w:num>
  <w:num w:numId="26">
    <w:abstractNumId w:val="31"/>
  </w:num>
  <w:num w:numId="27">
    <w:abstractNumId w:val="41"/>
  </w:num>
  <w:num w:numId="28">
    <w:abstractNumId w:val="27"/>
  </w:num>
  <w:num w:numId="29">
    <w:abstractNumId w:val="13"/>
  </w:num>
  <w:num w:numId="30">
    <w:abstractNumId w:val="32"/>
    <w:lvlOverride w:ilvl="0">
      <w:startOverride w:val="1"/>
    </w:lvlOverride>
  </w:num>
  <w:num w:numId="31">
    <w:abstractNumId w:val="32"/>
    <w:lvlOverride w:ilvl="0">
      <w:startOverride w:val="1"/>
    </w:lvlOverride>
  </w:num>
  <w:num w:numId="32">
    <w:abstractNumId w:val="10"/>
  </w:num>
  <w:num w:numId="33">
    <w:abstractNumId w:val="7"/>
  </w:num>
  <w:num w:numId="34">
    <w:abstractNumId w:val="19"/>
  </w:num>
  <w:num w:numId="35">
    <w:abstractNumId w:val="6"/>
  </w:num>
  <w:num w:numId="36">
    <w:abstractNumId w:val="12"/>
  </w:num>
  <w:num w:numId="37">
    <w:abstractNumId w:val="9"/>
  </w:num>
  <w:num w:numId="38">
    <w:abstractNumId w:val="39"/>
  </w:num>
  <w:num w:numId="39">
    <w:abstractNumId w:val="11"/>
  </w:num>
  <w:num w:numId="40">
    <w:abstractNumId w:val="35"/>
  </w:num>
  <w:num w:numId="41">
    <w:abstractNumId w:val="18"/>
  </w:num>
  <w:num w:numId="42">
    <w:abstractNumId w:val="23"/>
  </w:num>
  <w:num w:numId="43">
    <w:abstractNumId w:val="30"/>
  </w:num>
  <w:num w:numId="44">
    <w:abstractNumId w:val="17"/>
  </w:num>
  <w:num w:numId="45">
    <w:abstractNumId w:val="37"/>
  </w:num>
  <w:num w:numId="4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_tradnl" w:vendorID="64" w:dllVersion="131078" w:nlCheck="1" w:checkStyle="0"/>
  <w:activeWritingStyle w:appName="MSWord" w:lang="es-ES" w:vendorID="64" w:dllVersion="131078" w:nlCheck="1" w:checkStyle="0"/>
  <w:activeWritingStyle w:appName="MSWord" w:lang="es-CO" w:vendorID="64" w:dllVersion="131078" w:nlCheck="1" w:checkStyle="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6AE2"/>
    <w:rsid w:val="000076A1"/>
    <w:rsid w:val="00012259"/>
    <w:rsid w:val="0001333F"/>
    <w:rsid w:val="00021561"/>
    <w:rsid w:val="00025383"/>
    <w:rsid w:val="00034B45"/>
    <w:rsid w:val="00045D3D"/>
    <w:rsid w:val="00051E7C"/>
    <w:rsid w:val="000631AE"/>
    <w:rsid w:val="00063657"/>
    <w:rsid w:val="000675D6"/>
    <w:rsid w:val="00067C79"/>
    <w:rsid w:val="00076680"/>
    <w:rsid w:val="00076A1D"/>
    <w:rsid w:val="0008073E"/>
    <w:rsid w:val="00091CDB"/>
    <w:rsid w:val="000958B5"/>
    <w:rsid w:val="000A19AC"/>
    <w:rsid w:val="000B02FF"/>
    <w:rsid w:val="000B2EC9"/>
    <w:rsid w:val="000C1FB2"/>
    <w:rsid w:val="000D20D7"/>
    <w:rsid w:val="000D26F8"/>
    <w:rsid w:val="00106654"/>
    <w:rsid w:val="00114B6C"/>
    <w:rsid w:val="00117F4A"/>
    <w:rsid w:val="00123238"/>
    <w:rsid w:val="00126F52"/>
    <w:rsid w:val="00133C2E"/>
    <w:rsid w:val="0013526C"/>
    <w:rsid w:val="001375AB"/>
    <w:rsid w:val="001405C6"/>
    <w:rsid w:val="00141013"/>
    <w:rsid w:val="0014651F"/>
    <w:rsid w:val="001523D4"/>
    <w:rsid w:val="00155E9A"/>
    <w:rsid w:val="00172F9F"/>
    <w:rsid w:val="00177292"/>
    <w:rsid w:val="00192CBF"/>
    <w:rsid w:val="00192FF1"/>
    <w:rsid w:val="001A4478"/>
    <w:rsid w:val="001A5F1B"/>
    <w:rsid w:val="001B1C22"/>
    <w:rsid w:val="001B34C6"/>
    <w:rsid w:val="001D7832"/>
    <w:rsid w:val="001E3149"/>
    <w:rsid w:val="001E33AE"/>
    <w:rsid w:val="001F1DF8"/>
    <w:rsid w:val="001F2BAB"/>
    <w:rsid w:val="0020281D"/>
    <w:rsid w:val="00210DC1"/>
    <w:rsid w:val="00211D34"/>
    <w:rsid w:val="00214F04"/>
    <w:rsid w:val="002161CB"/>
    <w:rsid w:val="00227820"/>
    <w:rsid w:val="0023420A"/>
    <w:rsid w:val="002352B9"/>
    <w:rsid w:val="0024135D"/>
    <w:rsid w:val="00246929"/>
    <w:rsid w:val="00251DC4"/>
    <w:rsid w:val="00254494"/>
    <w:rsid w:val="00266CD6"/>
    <w:rsid w:val="002673AC"/>
    <w:rsid w:val="002710F5"/>
    <w:rsid w:val="002734A8"/>
    <w:rsid w:val="00275DAB"/>
    <w:rsid w:val="00282A84"/>
    <w:rsid w:val="002861E1"/>
    <w:rsid w:val="002903C0"/>
    <w:rsid w:val="002A782A"/>
    <w:rsid w:val="002B11E2"/>
    <w:rsid w:val="002B24B8"/>
    <w:rsid w:val="002B70E4"/>
    <w:rsid w:val="002C00C5"/>
    <w:rsid w:val="002C110D"/>
    <w:rsid w:val="002D3AE9"/>
    <w:rsid w:val="002D4510"/>
    <w:rsid w:val="002E036E"/>
    <w:rsid w:val="002E200E"/>
    <w:rsid w:val="002E41B4"/>
    <w:rsid w:val="002F0734"/>
    <w:rsid w:val="002F0EC9"/>
    <w:rsid w:val="002F3937"/>
    <w:rsid w:val="002F46E7"/>
    <w:rsid w:val="003101DA"/>
    <w:rsid w:val="003111C3"/>
    <w:rsid w:val="00314757"/>
    <w:rsid w:val="003163BC"/>
    <w:rsid w:val="003211CE"/>
    <w:rsid w:val="00334FC4"/>
    <w:rsid w:val="0033702A"/>
    <w:rsid w:val="00344DD9"/>
    <w:rsid w:val="00345D60"/>
    <w:rsid w:val="00347E90"/>
    <w:rsid w:val="0035403A"/>
    <w:rsid w:val="0036394B"/>
    <w:rsid w:val="00366DB6"/>
    <w:rsid w:val="00370799"/>
    <w:rsid w:val="003709B5"/>
    <w:rsid w:val="003759C2"/>
    <w:rsid w:val="003811F8"/>
    <w:rsid w:val="00397365"/>
    <w:rsid w:val="003A31F6"/>
    <w:rsid w:val="003A6389"/>
    <w:rsid w:val="003B6055"/>
    <w:rsid w:val="003C3447"/>
    <w:rsid w:val="003D076C"/>
    <w:rsid w:val="003D4B0F"/>
    <w:rsid w:val="003E12C3"/>
    <w:rsid w:val="003E78B5"/>
    <w:rsid w:val="003F7032"/>
    <w:rsid w:val="00407C94"/>
    <w:rsid w:val="00410E0C"/>
    <w:rsid w:val="00410EFE"/>
    <w:rsid w:val="00411E78"/>
    <w:rsid w:val="00415905"/>
    <w:rsid w:val="00415BAB"/>
    <w:rsid w:val="00415ED2"/>
    <w:rsid w:val="0042068C"/>
    <w:rsid w:val="00432C1E"/>
    <w:rsid w:val="0044318E"/>
    <w:rsid w:val="00443B35"/>
    <w:rsid w:val="00451B33"/>
    <w:rsid w:val="00465A70"/>
    <w:rsid w:val="00466234"/>
    <w:rsid w:val="00466269"/>
    <w:rsid w:val="0047122B"/>
    <w:rsid w:val="00473B7A"/>
    <w:rsid w:val="00487406"/>
    <w:rsid w:val="004960E9"/>
    <w:rsid w:val="004A2E88"/>
    <w:rsid w:val="004A5305"/>
    <w:rsid w:val="004A58F9"/>
    <w:rsid w:val="004B0B3A"/>
    <w:rsid w:val="004D2890"/>
    <w:rsid w:val="004D347A"/>
    <w:rsid w:val="004D5355"/>
    <w:rsid w:val="004D7634"/>
    <w:rsid w:val="004E2497"/>
    <w:rsid w:val="004E611A"/>
    <w:rsid w:val="004F5841"/>
    <w:rsid w:val="004F6460"/>
    <w:rsid w:val="00510208"/>
    <w:rsid w:val="00515D2C"/>
    <w:rsid w:val="00520904"/>
    <w:rsid w:val="005300D3"/>
    <w:rsid w:val="00542A10"/>
    <w:rsid w:val="00544055"/>
    <w:rsid w:val="00544F82"/>
    <w:rsid w:val="005509D2"/>
    <w:rsid w:val="00560208"/>
    <w:rsid w:val="0057713A"/>
    <w:rsid w:val="00590172"/>
    <w:rsid w:val="0059170C"/>
    <w:rsid w:val="00593C4F"/>
    <w:rsid w:val="005946A8"/>
    <w:rsid w:val="005A4407"/>
    <w:rsid w:val="005A59EF"/>
    <w:rsid w:val="005A6182"/>
    <w:rsid w:val="005B1C7E"/>
    <w:rsid w:val="005B54D6"/>
    <w:rsid w:val="005B662D"/>
    <w:rsid w:val="005C0254"/>
    <w:rsid w:val="005C4B83"/>
    <w:rsid w:val="005C6976"/>
    <w:rsid w:val="005C72B5"/>
    <w:rsid w:val="005C7414"/>
    <w:rsid w:val="005D3884"/>
    <w:rsid w:val="005D4914"/>
    <w:rsid w:val="005D62A4"/>
    <w:rsid w:val="005F3098"/>
    <w:rsid w:val="005F6F41"/>
    <w:rsid w:val="00602F23"/>
    <w:rsid w:val="006215CC"/>
    <w:rsid w:val="00625DC6"/>
    <w:rsid w:val="00640B15"/>
    <w:rsid w:val="0064391D"/>
    <w:rsid w:val="00651821"/>
    <w:rsid w:val="00654384"/>
    <w:rsid w:val="00654EB9"/>
    <w:rsid w:val="00664A85"/>
    <w:rsid w:val="006675CD"/>
    <w:rsid w:val="0067058B"/>
    <w:rsid w:val="00674078"/>
    <w:rsid w:val="00683BDF"/>
    <w:rsid w:val="00684D9B"/>
    <w:rsid w:val="0068510A"/>
    <w:rsid w:val="006928D7"/>
    <w:rsid w:val="00697556"/>
    <w:rsid w:val="006A2EE6"/>
    <w:rsid w:val="006B09FF"/>
    <w:rsid w:val="006B2722"/>
    <w:rsid w:val="006B4647"/>
    <w:rsid w:val="006B4C2B"/>
    <w:rsid w:val="006B5559"/>
    <w:rsid w:val="006B6194"/>
    <w:rsid w:val="006B6D47"/>
    <w:rsid w:val="006C2A67"/>
    <w:rsid w:val="006C5AFE"/>
    <w:rsid w:val="006D0F6D"/>
    <w:rsid w:val="006E40B7"/>
    <w:rsid w:val="006E6A60"/>
    <w:rsid w:val="006F2EC8"/>
    <w:rsid w:val="006F6D95"/>
    <w:rsid w:val="00706F13"/>
    <w:rsid w:val="007072E8"/>
    <w:rsid w:val="0071618D"/>
    <w:rsid w:val="00722E22"/>
    <w:rsid w:val="00725FA4"/>
    <w:rsid w:val="00740446"/>
    <w:rsid w:val="007438A9"/>
    <w:rsid w:val="0074491E"/>
    <w:rsid w:val="007514D0"/>
    <w:rsid w:val="007519F8"/>
    <w:rsid w:val="0076247A"/>
    <w:rsid w:val="00775964"/>
    <w:rsid w:val="007765FE"/>
    <w:rsid w:val="00776DF9"/>
    <w:rsid w:val="007857C1"/>
    <w:rsid w:val="00785E91"/>
    <w:rsid w:val="00786BF6"/>
    <w:rsid w:val="00791EF8"/>
    <w:rsid w:val="00793758"/>
    <w:rsid w:val="00794E2E"/>
    <w:rsid w:val="00795BFB"/>
    <w:rsid w:val="007A4A18"/>
    <w:rsid w:val="007B2760"/>
    <w:rsid w:val="007C0036"/>
    <w:rsid w:val="007C0C8B"/>
    <w:rsid w:val="007C7C84"/>
    <w:rsid w:val="007D69FA"/>
    <w:rsid w:val="007E421F"/>
    <w:rsid w:val="007F521F"/>
    <w:rsid w:val="00803E5F"/>
    <w:rsid w:val="00806C01"/>
    <w:rsid w:val="008074C9"/>
    <w:rsid w:val="00812264"/>
    <w:rsid w:val="00813BE7"/>
    <w:rsid w:val="008148CC"/>
    <w:rsid w:val="008211A4"/>
    <w:rsid w:val="008378F9"/>
    <w:rsid w:val="00837EBB"/>
    <w:rsid w:val="0084693A"/>
    <w:rsid w:val="0085180C"/>
    <w:rsid w:val="00856B1B"/>
    <w:rsid w:val="00873150"/>
    <w:rsid w:val="0087657D"/>
    <w:rsid w:val="00876953"/>
    <w:rsid w:val="008807D5"/>
    <w:rsid w:val="00880832"/>
    <w:rsid w:val="00882C61"/>
    <w:rsid w:val="00885879"/>
    <w:rsid w:val="00886EE1"/>
    <w:rsid w:val="0088727D"/>
    <w:rsid w:val="00895819"/>
    <w:rsid w:val="00897C75"/>
    <w:rsid w:val="008A7037"/>
    <w:rsid w:val="008B075F"/>
    <w:rsid w:val="008B0A03"/>
    <w:rsid w:val="008C1130"/>
    <w:rsid w:val="008C71D2"/>
    <w:rsid w:val="008D18E6"/>
    <w:rsid w:val="008D7A9B"/>
    <w:rsid w:val="008E0060"/>
    <w:rsid w:val="008E360C"/>
    <w:rsid w:val="008E7091"/>
    <w:rsid w:val="008E76AC"/>
    <w:rsid w:val="008F21F6"/>
    <w:rsid w:val="008F6B07"/>
    <w:rsid w:val="00905B39"/>
    <w:rsid w:val="00921870"/>
    <w:rsid w:val="009315A8"/>
    <w:rsid w:val="009325BB"/>
    <w:rsid w:val="00951F79"/>
    <w:rsid w:val="009537CD"/>
    <w:rsid w:val="00957194"/>
    <w:rsid w:val="00960CE9"/>
    <w:rsid w:val="00974AB5"/>
    <w:rsid w:val="00982BDC"/>
    <w:rsid w:val="0098706D"/>
    <w:rsid w:val="00991C29"/>
    <w:rsid w:val="009935FB"/>
    <w:rsid w:val="009B135D"/>
    <w:rsid w:val="009B14BF"/>
    <w:rsid w:val="009B2F67"/>
    <w:rsid w:val="009B443C"/>
    <w:rsid w:val="009C2787"/>
    <w:rsid w:val="009C612F"/>
    <w:rsid w:val="009C6640"/>
    <w:rsid w:val="009F4A54"/>
    <w:rsid w:val="009F4BEC"/>
    <w:rsid w:val="009F5874"/>
    <w:rsid w:val="00A02BB9"/>
    <w:rsid w:val="00A179DD"/>
    <w:rsid w:val="00A25FD7"/>
    <w:rsid w:val="00A322CF"/>
    <w:rsid w:val="00A42534"/>
    <w:rsid w:val="00A43AFF"/>
    <w:rsid w:val="00A45BEA"/>
    <w:rsid w:val="00A51FD9"/>
    <w:rsid w:val="00A71FDB"/>
    <w:rsid w:val="00A736C3"/>
    <w:rsid w:val="00A7793A"/>
    <w:rsid w:val="00A96C85"/>
    <w:rsid w:val="00AA0674"/>
    <w:rsid w:val="00AA4CC7"/>
    <w:rsid w:val="00AA5E8E"/>
    <w:rsid w:val="00AB04E5"/>
    <w:rsid w:val="00AB2BAD"/>
    <w:rsid w:val="00AB6CA7"/>
    <w:rsid w:val="00AC50FF"/>
    <w:rsid w:val="00AC7E8C"/>
    <w:rsid w:val="00AD01E4"/>
    <w:rsid w:val="00AD0858"/>
    <w:rsid w:val="00AD1538"/>
    <w:rsid w:val="00AE02E3"/>
    <w:rsid w:val="00AE7340"/>
    <w:rsid w:val="00AF1526"/>
    <w:rsid w:val="00AF1BBD"/>
    <w:rsid w:val="00B03A23"/>
    <w:rsid w:val="00B10207"/>
    <w:rsid w:val="00B141E7"/>
    <w:rsid w:val="00B20D8E"/>
    <w:rsid w:val="00B21011"/>
    <w:rsid w:val="00B230DB"/>
    <w:rsid w:val="00B23DA8"/>
    <w:rsid w:val="00B351B4"/>
    <w:rsid w:val="00B368C1"/>
    <w:rsid w:val="00B41E66"/>
    <w:rsid w:val="00B45CD8"/>
    <w:rsid w:val="00B46BCA"/>
    <w:rsid w:val="00B478AA"/>
    <w:rsid w:val="00B51531"/>
    <w:rsid w:val="00B567F8"/>
    <w:rsid w:val="00B6562C"/>
    <w:rsid w:val="00B66FB7"/>
    <w:rsid w:val="00B702B3"/>
    <w:rsid w:val="00B84F72"/>
    <w:rsid w:val="00B875BC"/>
    <w:rsid w:val="00B87806"/>
    <w:rsid w:val="00B87EC9"/>
    <w:rsid w:val="00B938BD"/>
    <w:rsid w:val="00B94B5C"/>
    <w:rsid w:val="00BA3410"/>
    <w:rsid w:val="00BB673D"/>
    <w:rsid w:val="00BC1061"/>
    <w:rsid w:val="00BC38FD"/>
    <w:rsid w:val="00BC606A"/>
    <w:rsid w:val="00BE288F"/>
    <w:rsid w:val="00C034CB"/>
    <w:rsid w:val="00C051A8"/>
    <w:rsid w:val="00C054BC"/>
    <w:rsid w:val="00C0681D"/>
    <w:rsid w:val="00C077BB"/>
    <w:rsid w:val="00C12792"/>
    <w:rsid w:val="00C17897"/>
    <w:rsid w:val="00C2093A"/>
    <w:rsid w:val="00C239D2"/>
    <w:rsid w:val="00C3173D"/>
    <w:rsid w:val="00C32BBC"/>
    <w:rsid w:val="00C409D5"/>
    <w:rsid w:val="00C435C3"/>
    <w:rsid w:val="00C4486D"/>
    <w:rsid w:val="00C44E5F"/>
    <w:rsid w:val="00C44EF2"/>
    <w:rsid w:val="00C47DA4"/>
    <w:rsid w:val="00C51B7C"/>
    <w:rsid w:val="00C56158"/>
    <w:rsid w:val="00C617E6"/>
    <w:rsid w:val="00C6234B"/>
    <w:rsid w:val="00C63EAE"/>
    <w:rsid w:val="00C70FC9"/>
    <w:rsid w:val="00C73260"/>
    <w:rsid w:val="00C7629F"/>
    <w:rsid w:val="00C8661B"/>
    <w:rsid w:val="00CA03C8"/>
    <w:rsid w:val="00CA0DF3"/>
    <w:rsid w:val="00CA139A"/>
    <w:rsid w:val="00CA1A93"/>
    <w:rsid w:val="00CA2899"/>
    <w:rsid w:val="00CA3A3D"/>
    <w:rsid w:val="00CA3AA6"/>
    <w:rsid w:val="00CA4926"/>
    <w:rsid w:val="00CA4B2F"/>
    <w:rsid w:val="00CA77FB"/>
    <w:rsid w:val="00CB1407"/>
    <w:rsid w:val="00CB379B"/>
    <w:rsid w:val="00CB5DD0"/>
    <w:rsid w:val="00CC51D4"/>
    <w:rsid w:val="00CC65DA"/>
    <w:rsid w:val="00CE4A26"/>
    <w:rsid w:val="00CF21B9"/>
    <w:rsid w:val="00CF3F1F"/>
    <w:rsid w:val="00CF6BF9"/>
    <w:rsid w:val="00D03800"/>
    <w:rsid w:val="00D05EE0"/>
    <w:rsid w:val="00D065D3"/>
    <w:rsid w:val="00D11479"/>
    <w:rsid w:val="00D14C94"/>
    <w:rsid w:val="00D22DA3"/>
    <w:rsid w:val="00D34116"/>
    <w:rsid w:val="00D342A6"/>
    <w:rsid w:val="00D3586C"/>
    <w:rsid w:val="00D36951"/>
    <w:rsid w:val="00D44F42"/>
    <w:rsid w:val="00D45CA6"/>
    <w:rsid w:val="00D464BF"/>
    <w:rsid w:val="00D53D9C"/>
    <w:rsid w:val="00D53E26"/>
    <w:rsid w:val="00D66884"/>
    <w:rsid w:val="00D86966"/>
    <w:rsid w:val="00DA382B"/>
    <w:rsid w:val="00DB182C"/>
    <w:rsid w:val="00DC04E0"/>
    <w:rsid w:val="00DC6851"/>
    <w:rsid w:val="00DD438F"/>
    <w:rsid w:val="00DD4F0E"/>
    <w:rsid w:val="00DD6F0F"/>
    <w:rsid w:val="00DE0EAF"/>
    <w:rsid w:val="00DE43A3"/>
    <w:rsid w:val="00DF0BF0"/>
    <w:rsid w:val="00DF2CD7"/>
    <w:rsid w:val="00DF3CA2"/>
    <w:rsid w:val="00E01463"/>
    <w:rsid w:val="00E05E0A"/>
    <w:rsid w:val="00E060BE"/>
    <w:rsid w:val="00E16667"/>
    <w:rsid w:val="00E16FA1"/>
    <w:rsid w:val="00E32450"/>
    <w:rsid w:val="00E37D4A"/>
    <w:rsid w:val="00E534CF"/>
    <w:rsid w:val="00E56DE1"/>
    <w:rsid w:val="00E625D8"/>
    <w:rsid w:val="00E74A13"/>
    <w:rsid w:val="00E77C50"/>
    <w:rsid w:val="00E81CB4"/>
    <w:rsid w:val="00E8235C"/>
    <w:rsid w:val="00E8585B"/>
    <w:rsid w:val="00E865BD"/>
    <w:rsid w:val="00E87F41"/>
    <w:rsid w:val="00E90A4C"/>
    <w:rsid w:val="00EA2F07"/>
    <w:rsid w:val="00EA3F15"/>
    <w:rsid w:val="00EA7481"/>
    <w:rsid w:val="00EA7847"/>
    <w:rsid w:val="00EA7EB1"/>
    <w:rsid w:val="00EB464F"/>
    <w:rsid w:val="00EB4AFA"/>
    <w:rsid w:val="00EB4C2F"/>
    <w:rsid w:val="00EE2E6E"/>
    <w:rsid w:val="00F03EF9"/>
    <w:rsid w:val="00F0759E"/>
    <w:rsid w:val="00F12950"/>
    <w:rsid w:val="00F16A43"/>
    <w:rsid w:val="00F26EB6"/>
    <w:rsid w:val="00F2765F"/>
    <w:rsid w:val="00F46780"/>
    <w:rsid w:val="00F52111"/>
    <w:rsid w:val="00F55A4B"/>
    <w:rsid w:val="00F749B3"/>
    <w:rsid w:val="00F77D2D"/>
    <w:rsid w:val="00F821A3"/>
    <w:rsid w:val="00F9314A"/>
    <w:rsid w:val="00F940B2"/>
    <w:rsid w:val="00FA117B"/>
    <w:rsid w:val="00FB56EC"/>
    <w:rsid w:val="00FC58EF"/>
    <w:rsid w:val="00FD03CD"/>
    <w:rsid w:val="00FD0865"/>
    <w:rsid w:val="00FD20E4"/>
    <w:rsid w:val="00FD33DF"/>
    <w:rsid w:val="00FE0DD8"/>
    <w:rsid w:val="00FE39D7"/>
    <w:rsid w:val="00FF07E5"/>
    <w:rsid w:val="00FF67B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58EB9C1C-D554-40B0-B54C-325747AD9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785E91"/>
    <w:rPr>
      <w:vertAlign w:val="superscript"/>
    </w:rPr>
  </w:style>
  <w:style w:type="paragraph" w:styleId="Textonotapie">
    <w:name w:val="footnote text"/>
    <w:basedOn w:val="Normal"/>
    <w:link w:val="TextonotapieCar"/>
    <w:uiPriority w:val="99"/>
    <w:semiHidden/>
    <w:rsid w:val="00785E91"/>
    <w:pPr>
      <w:ind w:left="0"/>
      <w:jc w:val="both"/>
    </w:pPr>
    <w:rPr>
      <w:rFonts w:ascii="CG Times (W1)" w:hAnsi="CG Times (W1)"/>
      <w:sz w:val="20"/>
      <w:szCs w:val="20"/>
      <w:lang w:val="es-ES_tradnl"/>
    </w:rPr>
  </w:style>
  <w:style w:type="character" w:customStyle="1" w:styleId="TextonotapieCar">
    <w:name w:val="Texto nota pie Car"/>
    <w:link w:val="Textonotapie"/>
    <w:uiPriority w:val="99"/>
    <w:semiHidden/>
    <w:rsid w:val="00785E91"/>
    <w:rPr>
      <w:rFonts w:ascii="CG Times (W1)" w:hAnsi="CG Times (W1)"/>
      <w:lang w:val="es-ES_tradnl" w:eastAsia="es-ES"/>
    </w:rPr>
  </w:style>
  <w:style w:type="paragraph" w:customStyle="1" w:styleId="Numeracin">
    <w:name w:val="Numeración"/>
    <w:basedOn w:val="Prrafodelista"/>
    <w:link w:val="NumeracinCar"/>
    <w:qFormat/>
    <w:rsid w:val="00FF07E5"/>
    <w:pPr>
      <w:numPr>
        <w:numId w:val="23"/>
      </w:numPr>
      <w:tabs>
        <w:tab w:val="left" w:pos="284"/>
      </w:tabs>
      <w:spacing w:before="120" w:after="120"/>
      <w:ind w:left="924" w:hanging="357"/>
      <w:jc w:val="both"/>
    </w:pPr>
    <w:rPr>
      <w:rFonts w:ascii="Bookman Old Style" w:hAnsi="Bookman Old Style"/>
      <w:sz w:val="24"/>
    </w:rPr>
  </w:style>
  <w:style w:type="character" w:customStyle="1" w:styleId="NumeracinCar">
    <w:name w:val="Numeración Car"/>
    <w:link w:val="Numeracin"/>
    <w:rsid w:val="00FF07E5"/>
    <w:rPr>
      <w:rFonts w:ascii="Bookman Old Style" w:hAnsi="Bookman Old Style"/>
      <w:sz w:val="24"/>
      <w:lang w:eastAsia="es-ES"/>
    </w:rPr>
  </w:style>
  <w:style w:type="character" w:styleId="Refdecomentario">
    <w:name w:val="annotation reference"/>
    <w:uiPriority w:val="99"/>
    <w:semiHidden/>
    <w:unhideWhenUsed/>
    <w:rsid w:val="00560208"/>
    <w:rPr>
      <w:sz w:val="16"/>
      <w:szCs w:val="16"/>
    </w:rPr>
  </w:style>
  <w:style w:type="paragraph" w:styleId="Textocomentario">
    <w:name w:val="annotation text"/>
    <w:basedOn w:val="Normal"/>
    <w:link w:val="TextocomentarioCar"/>
    <w:uiPriority w:val="99"/>
    <w:unhideWhenUsed/>
    <w:rsid w:val="00560208"/>
    <w:rPr>
      <w:sz w:val="20"/>
      <w:szCs w:val="20"/>
    </w:rPr>
  </w:style>
  <w:style w:type="character" w:customStyle="1" w:styleId="TextocomentarioCar">
    <w:name w:val="Texto comentario Car"/>
    <w:link w:val="Textocomentario"/>
    <w:uiPriority w:val="99"/>
    <w:rsid w:val="00560208"/>
    <w:rPr>
      <w:lang w:val="es-ES" w:eastAsia="es-ES"/>
    </w:rPr>
  </w:style>
  <w:style w:type="character" w:styleId="Textodelmarcadordeposicin">
    <w:name w:val="Placeholder Text"/>
    <w:basedOn w:val="Fuentedeprrafopredeter"/>
    <w:uiPriority w:val="99"/>
    <w:semiHidden/>
    <w:rsid w:val="00D66884"/>
    <w:rPr>
      <w:color w:val="808080"/>
    </w:rPr>
  </w:style>
  <w:style w:type="character" w:styleId="Hipervnculo">
    <w:name w:val="Hyperlink"/>
    <w:basedOn w:val="Fuentedeprrafopredeter"/>
    <w:uiPriority w:val="99"/>
    <w:unhideWhenUsed/>
    <w:rsid w:val="003D4B0F"/>
    <w:rPr>
      <w:color w:val="0563C1" w:themeColor="hyperlink"/>
      <w:u w:val="single"/>
    </w:rPr>
  </w:style>
  <w:style w:type="paragraph" w:styleId="Asuntodelcomentario">
    <w:name w:val="annotation subject"/>
    <w:basedOn w:val="Textocomentario"/>
    <w:next w:val="Textocomentario"/>
    <w:link w:val="AsuntodelcomentarioCar"/>
    <w:uiPriority w:val="99"/>
    <w:semiHidden/>
    <w:unhideWhenUsed/>
    <w:rsid w:val="00FA117B"/>
    <w:rPr>
      <w:b/>
      <w:bCs/>
    </w:rPr>
  </w:style>
  <w:style w:type="character" w:customStyle="1" w:styleId="AsuntodelcomentarioCar">
    <w:name w:val="Asunto del comentario Car"/>
    <w:basedOn w:val="TextocomentarioCar"/>
    <w:link w:val="Asuntodelcomentario"/>
    <w:uiPriority w:val="99"/>
    <w:semiHidden/>
    <w:rsid w:val="00FA117B"/>
    <w:rPr>
      <w:b/>
      <w:bCs/>
      <w:lang w:val="es-ES" w:eastAsia="es-ES"/>
    </w:rPr>
  </w:style>
  <w:style w:type="paragraph" w:styleId="NormalWeb">
    <w:name w:val="Normal (Web)"/>
    <w:basedOn w:val="Normal"/>
    <w:uiPriority w:val="99"/>
    <w:semiHidden/>
    <w:unhideWhenUsed/>
    <w:rsid w:val="00D22DA3"/>
    <w:pPr>
      <w:spacing w:before="100" w:beforeAutospacing="1" w:after="100" w:afterAutospacing="1"/>
      <w:ind w:left="0"/>
    </w:pPr>
    <w:rPr>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361197">
      <w:bodyDiv w:val="1"/>
      <w:marLeft w:val="0"/>
      <w:marRight w:val="0"/>
      <w:marTop w:val="0"/>
      <w:marBottom w:val="0"/>
      <w:divBdr>
        <w:top w:val="none" w:sz="0" w:space="0" w:color="auto"/>
        <w:left w:val="none" w:sz="0" w:space="0" w:color="auto"/>
        <w:bottom w:val="none" w:sz="0" w:space="0" w:color="auto"/>
        <w:right w:val="none" w:sz="0" w:space="0" w:color="auto"/>
      </w:divBdr>
    </w:div>
    <w:div w:id="604921521">
      <w:bodyDiv w:val="1"/>
      <w:marLeft w:val="0"/>
      <w:marRight w:val="0"/>
      <w:marTop w:val="0"/>
      <w:marBottom w:val="0"/>
      <w:divBdr>
        <w:top w:val="none" w:sz="0" w:space="0" w:color="auto"/>
        <w:left w:val="none" w:sz="0" w:space="0" w:color="auto"/>
        <w:bottom w:val="none" w:sz="0" w:space="0" w:color="auto"/>
        <w:right w:val="none" w:sz="0" w:space="0" w:color="auto"/>
      </w:divBdr>
    </w:div>
    <w:div w:id="128214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exbase.biz/lexbase/normas/leyes/1994/L0142de1994.h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1E0118-A77D-4C6D-8485-1B3AAE779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10</Pages>
  <Words>3425</Words>
  <Characters>18693</Characters>
  <Application>Microsoft Office Word</Application>
  <DocSecurity>0</DocSecurity>
  <Lines>155</Lines>
  <Paragraphs>44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22074</CharactersWithSpaces>
  <SharedDoc>false</SharedDoc>
  <HLinks>
    <vt:vector size="18" baseType="variant">
      <vt:variant>
        <vt:i4>4194325</vt:i4>
      </vt:variant>
      <vt:variant>
        <vt:i4>6</vt:i4>
      </vt:variant>
      <vt:variant>
        <vt:i4>0</vt:i4>
      </vt:variant>
      <vt:variant>
        <vt:i4>5</vt:i4>
      </vt:variant>
      <vt:variant>
        <vt:lpwstr>http://www.lexbase.biz/lexbase/normas/leyes/1994/L0143de1994.htm</vt:lpwstr>
      </vt:variant>
      <vt:variant>
        <vt:lpwstr/>
      </vt:variant>
      <vt:variant>
        <vt:i4>4259861</vt:i4>
      </vt:variant>
      <vt:variant>
        <vt:i4>3</vt:i4>
      </vt:variant>
      <vt:variant>
        <vt:i4>0</vt:i4>
      </vt:variant>
      <vt:variant>
        <vt:i4>5</vt:i4>
      </vt:variant>
      <vt:variant>
        <vt:lpwstr>http://www.lexbase.biz/lexbase/normas/leyes/1994/L0142de1994.htm</vt:lpwstr>
      </vt:variant>
      <vt:variant>
        <vt:lpwstr/>
      </vt:variant>
      <vt:variant>
        <vt:i4>4259861</vt:i4>
      </vt:variant>
      <vt:variant>
        <vt:i4>0</vt:i4>
      </vt:variant>
      <vt:variant>
        <vt:i4>0</vt:i4>
      </vt:variant>
      <vt:variant>
        <vt:i4>5</vt:i4>
      </vt:variant>
      <vt:variant>
        <vt:lpwstr>http://www.lexbase.biz/lexbase/normas/leyes/1994/L0142de1994.htm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Luz Stella Rojas Macias</cp:lastModifiedBy>
  <cp:revision>2</cp:revision>
  <cp:lastPrinted>2019-08-16T20:23:00Z</cp:lastPrinted>
  <dcterms:created xsi:type="dcterms:W3CDTF">2019-10-10T20:58:00Z</dcterms:created>
  <dcterms:modified xsi:type="dcterms:W3CDTF">2019-10-10T20:58:00Z</dcterms:modified>
</cp:coreProperties>
</file>