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91DD" w14:textId="72262D40" w:rsidR="4EE95893" w:rsidRDefault="00E865FF" w:rsidP="4EE95893">
      <w:pPr>
        <w:pStyle w:val="Encabezado"/>
        <w:spacing w:line="276" w:lineRule="auto"/>
        <w:ind w:left="284" w:right="142"/>
        <w:contextualSpacing/>
        <w:jc w:val="both"/>
      </w:pPr>
      <w:r>
        <w:rPr>
          <w:rFonts w:ascii="Bookman Old Style" w:hAnsi="Bookman Old Style"/>
          <w:noProof/>
          <w:szCs w:val="24"/>
        </w:rPr>
        <w:object w:dxaOrig="1440" w:dyaOrig="1440" w14:anchorId="28887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0.4pt;margin-top:-33pt;width:52.5pt;height:48.75pt;z-index:251658240;mso-wrap-edited:f" fillcolor="#0c9">
            <v:imagedata r:id="rId11" o:title=""/>
          </v:shape>
          <o:OLEObject Type="Embed" ProgID="PBrush" ShapeID="_x0000_s2050" DrawAspect="Content" ObjectID="_1714393959" r:id="rId12"/>
        </w:object>
      </w:r>
    </w:p>
    <w:p w14:paraId="61102775" w14:textId="6AC0666C" w:rsidR="00625DC6" w:rsidRPr="0086458B" w:rsidRDefault="00625DC6" w:rsidP="4EE95893">
      <w:pPr>
        <w:pStyle w:val="Encabezado"/>
        <w:spacing w:line="276" w:lineRule="auto"/>
        <w:ind w:left="284" w:right="142"/>
        <w:contextualSpacing/>
        <w:jc w:val="both"/>
        <w:rPr>
          <w:rFonts w:ascii="Bookman Old Style" w:hAnsi="Bookman Old Style"/>
        </w:rPr>
      </w:pPr>
    </w:p>
    <w:p w14:paraId="35CAC712" w14:textId="77777777" w:rsidR="00CA77FB" w:rsidRPr="0086458B" w:rsidRDefault="00CA77FB" w:rsidP="00070945">
      <w:pPr>
        <w:jc w:val="center"/>
        <w:rPr>
          <w:rFonts w:ascii="Bookman Old Style" w:hAnsi="Bookman Old Style"/>
          <w:b/>
          <w:bCs/>
          <w:noProof/>
        </w:rPr>
      </w:pPr>
      <w:r w:rsidRPr="00070945">
        <w:rPr>
          <w:rFonts w:ascii="Bookman Old Style" w:hAnsi="Bookman Old Style"/>
        </w:rPr>
        <w:t>Ministerio de Minas y Energía</w:t>
      </w:r>
    </w:p>
    <w:p w14:paraId="402D4261" w14:textId="77777777" w:rsidR="00E11FAE" w:rsidRPr="00070945" w:rsidRDefault="00E11FAE" w:rsidP="00070945">
      <w:pPr>
        <w:jc w:val="center"/>
        <w:rPr>
          <w:rFonts w:ascii="Bookman Old Style" w:hAnsi="Bookman Old Style"/>
          <w:lang w:val="es-ES_tradnl"/>
        </w:rPr>
      </w:pPr>
    </w:p>
    <w:p w14:paraId="25A538B3" w14:textId="77777777" w:rsidR="00CA77FB" w:rsidRPr="0086458B" w:rsidRDefault="00CA77FB" w:rsidP="00070945">
      <w:pPr>
        <w:jc w:val="center"/>
        <w:rPr>
          <w:rFonts w:ascii="Bookman Old Style" w:hAnsi="Bookman Old Style"/>
        </w:rPr>
      </w:pPr>
      <w:r w:rsidRPr="00070945">
        <w:rPr>
          <w:rFonts w:ascii="Bookman Old Style" w:hAnsi="Bookman Old Style"/>
          <w:b/>
        </w:rPr>
        <w:t>COMISIÓN DE REGULACIÓN DE ENERGÍA Y GAS</w:t>
      </w:r>
    </w:p>
    <w:p w14:paraId="0BFCDAE3" w14:textId="77777777" w:rsidR="00E11FAE" w:rsidRPr="00070945" w:rsidRDefault="00E11FAE" w:rsidP="00070945">
      <w:pPr>
        <w:jc w:val="center"/>
        <w:rPr>
          <w:rFonts w:ascii="Bookman Old Style" w:hAnsi="Bookman Old Style"/>
          <w:b/>
          <w:lang w:val="es-ES_tradnl"/>
        </w:rPr>
      </w:pPr>
    </w:p>
    <w:p w14:paraId="4FFCDDA1" w14:textId="06505826" w:rsidR="00CA77FB" w:rsidRPr="00AF53F2" w:rsidRDefault="00CA77FB" w:rsidP="00070945">
      <w:pPr>
        <w:jc w:val="center"/>
        <w:rPr>
          <w:rFonts w:ascii="Bookman Old Style" w:hAnsi="Bookman Old Style"/>
          <w:b/>
        </w:rPr>
      </w:pPr>
      <w:r w:rsidRPr="00070945">
        <w:rPr>
          <w:rFonts w:ascii="Bookman Old Style" w:hAnsi="Bookman Old Style"/>
          <w:b/>
        </w:rPr>
        <w:t xml:space="preserve">RESOLUCIÓN No. </w:t>
      </w:r>
      <w:r w:rsidR="00545F84" w:rsidRPr="00F0656E">
        <w:rPr>
          <w:rFonts w:ascii="Bookman Old Style" w:hAnsi="Bookman Old Style"/>
          <w:b/>
          <w:sz w:val="32"/>
          <w:szCs w:val="32"/>
        </w:rPr>
        <w:t>501</w:t>
      </w:r>
      <w:r w:rsidR="00795BFB" w:rsidRPr="00F0656E">
        <w:rPr>
          <w:rFonts w:ascii="Bookman Old Style" w:hAnsi="Bookman Old Style"/>
          <w:b/>
          <w:sz w:val="32"/>
          <w:szCs w:val="32"/>
        </w:rPr>
        <w:t xml:space="preserve"> </w:t>
      </w:r>
      <w:r w:rsidR="00F0656E" w:rsidRPr="00F0656E">
        <w:rPr>
          <w:rFonts w:ascii="Bookman Old Style" w:hAnsi="Bookman Old Style"/>
          <w:b/>
          <w:sz w:val="32"/>
          <w:szCs w:val="32"/>
        </w:rPr>
        <w:t>2</w:t>
      </w:r>
      <w:r w:rsidR="00AA3E78">
        <w:rPr>
          <w:rFonts w:ascii="Bookman Old Style" w:hAnsi="Bookman Old Style"/>
          <w:b/>
          <w:sz w:val="32"/>
          <w:szCs w:val="32"/>
        </w:rPr>
        <w:t>6</w:t>
      </w:r>
      <w:r w:rsidR="00F0656E" w:rsidRPr="00F0656E">
        <w:rPr>
          <w:rFonts w:ascii="Bookman Old Style" w:hAnsi="Bookman Old Style"/>
          <w:b/>
          <w:sz w:val="32"/>
          <w:szCs w:val="32"/>
        </w:rPr>
        <w:t>A</w:t>
      </w:r>
      <w:r w:rsidR="00795BFB" w:rsidRPr="00AF53F2">
        <w:rPr>
          <w:rFonts w:ascii="Bookman Old Style" w:hAnsi="Bookman Old Style"/>
          <w:b/>
        </w:rPr>
        <w:t xml:space="preserve"> </w:t>
      </w:r>
      <w:r w:rsidRPr="00AF53F2">
        <w:rPr>
          <w:rFonts w:ascii="Bookman Old Style" w:hAnsi="Bookman Old Style"/>
          <w:b/>
        </w:rPr>
        <w:t xml:space="preserve">DE </w:t>
      </w:r>
      <w:r w:rsidR="00D451C0" w:rsidRPr="00AF53F2">
        <w:rPr>
          <w:rFonts w:ascii="Bookman Old Style" w:hAnsi="Bookman Old Style"/>
          <w:b/>
        </w:rPr>
        <w:t>20</w:t>
      </w:r>
      <w:r w:rsidR="00FD1664" w:rsidRPr="00AF53F2">
        <w:rPr>
          <w:rFonts w:ascii="Bookman Old Style" w:hAnsi="Bookman Old Style"/>
          <w:b/>
        </w:rPr>
        <w:t>2</w:t>
      </w:r>
      <w:r w:rsidR="00C71290" w:rsidRPr="00AF53F2">
        <w:rPr>
          <w:rFonts w:ascii="Bookman Old Style" w:hAnsi="Bookman Old Style"/>
          <w:b/>
        </w:rPr>
        <w:t>2</w:t>
      </w:r>
    </w:p>
    <w:p w14:paraId="5B6E0BED" w14:textId="77777777" w:rsidR="00744F64" w:rsidRDefault="00744F64" w:rsidP="00E57F55">
      <w:pPr>
        <w:contextualSpacing/>
        <w:jc w:val="center"/>
        <w:rPr>
          <w:lang w:val="es-ES_tradnl" w:eastAsia="x-none"/>
        </w:rPr>
      </w:pPr>
    </w:p>
    <w:p w14:paraId="5508F72B" w14:textId="749CE7AD" w:rsidR="00CA77FB" w:rsidRPr="0086458B" w:rsidRDefault="00CA77FB" w:rsidP="00070945">
      <w:pPr>
        <w:jc w:val="center"/>
        <w:rPr>
          <w:rFonts w:ascii="Bookman Old Style" w:hAnsi="Bookman Old Style"/>
        </w:rPr>
      </w:pPr>
      <w:r w:rsidRPr="00070945">
        <w:rPr>
          <w:rFonts w:ascii="Bookman Old Style" w:hAnsi="Bookman Old Style"/>
          <w:b/>
        </w:rPr>
        <w:t xml:space="preserve">(   </w:t>
      </w:r>
      <w:r w:rsidR="00F0656E" w:rsidRPr="00F0656E">
        <w:rPr>
          <w:rFonts w:ascii="Bookman Old Style" w:hAnsi="Bookman Old Style"/>
          <w:b/>
          <w:sz w:val="32"/>
          <w:szCs w:val="32"/>
        </w:rPr>
        <w:t>16 MAR. 2022</w:t>
      </w:r>
      <w:r w:rsidRPr="00070945">
        <w:rPr>
          <w:rFonts w:ascii="Bookman Old Style" w:hAnsi="Bookman Old Style"/>
          <w:b/>
        </w:rPr>
        <w:t xml:space="preserve">  )</w:t>
      </w:r>
    </w:p>
    <w:p w14:paraId="53FF130C" w14:textId="77777777" w:rsidR="00CA77FB" w:rsidRDefault="00CA77FB" w:rsidP="00E57F55">
      <w:pPr>
        <w:ind w:left="284" w:right="142"/>
        <w:contextualSpacing/>
        <w:jc w:val="center"/>
        <w:rPr>
          <w:rFonts w:ascii="Bookman Old Style" w:hAnsi="Bookman Old Style"/>
          <w:lang w:val="es-ES_tradnl"/>
        </w:rPr>
      </w:pPr>
    </w:p>
    <w:p w14:paraId="709B0607" w14:textId="0AF9BAB8" w:rsidR="00744F64" w:rsidRDefault="00744F64" w:rsidP="00E57F55">
      <w:pPr>
        <w:ind w:left="284" w:right="142"/>
        <w:contextualSpacing/>
        <w:jc w:val="center"/>
        <w:rPr>
          <w:rFonts w:ascii="Bookman Old Style" w:hAnsi="Bookman Old Style"/>
          <w:lang w:val="es-ES_tradnl"/>
        </w:rPr>
      </w:pPr>
    </w:p>
    <w:p w14:paraId="297CE86E" w14:textId="77777777" w:rsidR="00225865" w:rsidRPr="0086458B" w:rsidRDefault="00225865" w:rsidP="00E57F55">
      <w:pPr>
        <w:ind w:left="284" w:right="142"/>
        <w:contextualSpacing/>
        <w:jc w:val="center"/>
        <w:rPr>
          <w:rFonts w:ascii="Bookman Old Style" w:hAnsi="Bookman Old Style"/>
          <w:lang w:val="es-ES_tradnl"/>
        </w:rPr>
      </w:pPr>
    </w:p>
    <w:p w14:paraId="7B8A98CF" w14:textId="6F2F3D42" w:rsidR="00B12818" w:rsidRPr="0086458B" w:rsidRDefault="005B5C99" w:rsidP="00E57F55">
      <w:pPr>
        <w:pStyle w:val="Textodebloque"/>
        <w:spacing w:after="0"/>
        <w:ind w:left="284" w:right="142"/>
        <w:contextualSpacing/>
        <w:jc w:val="center"/>
        <w:rPr>
          <w:rFonts w:ascii="Bookman Old Style" w:hAnsi="Bookman Old Style" w:cs="Arial"/>
        </w:rPr>
      </w:pPr>
      <w:r w:rsidRPr="0086458B">
        <w:rPr>
          <w:rFonts w:ascii="Bookman Old Style" w:hAnsi="Bookman Old Style" w:cs="Arial"/>
        </w:rPr>
        <w:t xml:space="preserve">Por la cual se </w:t>
      </w:r>
      <w:r w:rsidR="00E2077E" w:rsidRPr="0086458B">
        <w:rPr>
          <w:rFonts w:ascii="Bookman Old Style" w:hAnsi="Bookman Old Style" w:cs="Arial"/>
        </w:rPr>
        <w:t>resuelve una solicitud de imposición de servidumbre</w:t>
      </w:r>
      <w:r w:rsidR="3D05466E" w:rsidRPr="0086458B">
        <w:rPr>
          <w:rFonts w:ascii="Bookman Old Style" w:hAnsi="Bookman Old Style" w:cs="Arial"/>
        </w:rPr>
        <w:t xml:space="preserve"> de conexi</w:t>
      </w:r>
      <w:r w:rsidR="00A522E4" w:rsidRPr="0086458B">
        <w:rPr>
          <w:rFonts w:ascii="Bookman Old Style" w:hAnsi="Bookman Old Style" w:cs="Arial"/>
        </w:rPr>
        <w:t>ó</w:t>
      </w:r>
      <w:r w:rsidR="3D05466E" w:rsidRPr="0086458B">
        <w:rPr>
          <w:rFonts w:ascii="Bookman Old Style" w:hAnsi="Bookman Old Style" w:cs="Arial"/>
        </w:rPr>
        <w:t>n</w:t>
      </w:r>
    </w:p>
    <w:p w14:paraId="0F153B28" w14:textId="77777777" w:rsidR="00B12818" w:rsidRPr="0086458B" w:rsidRDefault="00B12818" w:rsidP="00E57F55">
      <w:pPr>
        <w:pStyle w:val="Textodebloque"/>
        <w:spacing w:after="0"/>
        <w:ind w:left="284" w:right="142"/>
        <w:contextualSpacing/>
        <w:rPr>
          <w:rFonts w:ascii="Bookman Old Style" w:hAnsi="Bookman Old Style" w:cs="Arial"/>
          <w:szCs w:val="24"/>
          <w:highlight w:val="green"/>
        </w:rPr>
      </w:pPr>
    </w:p>
    <w:p w14:paraId="3C8B2E0C" w14:textId="77777777" w:rsidR="00A33177" w:rsidRPr="0086458B" w:rsidRDefault="00A33177" w:rsidP="00E57F55">
      <w:pPr>
        <w:pStyle w:val="Textodebloque"/>
        <w:spacing w:after="0"/>
        <w:ind w:left="284" w:right="142"/>
        <w:contextualSpacing/>
        <w:rPr>
          <w:rFonts w:ascii="Bookman Old Style" w:hAnsi="Bookman Old Style" w:cs="Arial"/>
          <w:szCs w:val="24"/>
        </w:rPr>
      </w:pPr>
    </w:p>
    <w:p w14:paraId="427244E5" w14:textId="77777777" w:rsidR="00DE4BF8" w:rsidRPr="0086458B" w:rsidRDefault="00DE4BF8" w:rsidP="00E57F55">
      <w:pPr>
        <w:pStyle w:val="Textoindependiente2"/>
        <w:spacing w:after="0" w:line="240" w:lineRule="auto"/>
        <w:ind w:left="284" w:right="142"/>
        <w:contextualSpacing/>
        <w:jc w:val="center"/>
        <w:rPr>
          <w:rFonts w:ascii="Bookman Old Style" w:hAnsi="Bookman Old Style" w:cs="Arial"/>
          <w:b/>
          <w:bCs/>
        </w:rPr>
      </w:pPr>
      <w:r w:rsidRPr="0086458B">
        <w:rPr>
          <w:rFonts w:ascii="Bookman Old Style" w:hAnsi="Bookman Old Style" w:cs="Arial"/>
          <w:b/>
          <w:bCs/>
        </w:rPr>
        <w:t>LA COMISIÓN DE REGULACIÓN DE ENERGÍA Y GAS</w:t>
      </w:r>
    </w:p>
    <w:p w14:paraId="34C9EA6C" w14:textId="77777777" w:rsidR="00A33177" w:rsidRPr="00E11FAE" w:rsidRDefault="00A33177" w:rsidP="00E57F55">
      <w:pPr>
        <w:pStyle w:val="Textoindependiente2"/>
        <w:spacing w:after="0" w:line="240" w:lineRule="auto"/>
        <w:ind w:left="284" w:right="142"/>
        <w:contextualSpacing/>
        <w:jc w:val="center"/>
        <w:rPr>
          <w:rFonts w:ascii="Bookman Old Style" w:hAnsi="Bookman Old Style" w:cs="Arial"/>
          <w:lang w:val="es-CO"/>
        </w:rPr>
      </w:pPr>
    </w:p>
    <w:p w14:paraId="4132F3EC" w14:textId="77777777" w:rsidR="005F5CDB" w:rsidRPr="00E11FAE" w:rsidRDefault="005F5CDB" w:rsidP="00E57F55">
      <w:pPr>
        <w:pStyle w:val="Textoindependiente2"/>
        <w:spacing w:after="0" w:line="240" w:lineRule="auto"/>
        <w:ind w:left="284" w:right="142"/>
        <w:contextualSpacing/>
        <w:jc w:val="center"/>
        <w:rPr>
          <w:rFonts w:ascii="Bookman Old Style" w:hAnsi="Bookman Old Style" w:cs="Arial"/>
          <w:lang w:val="es-CO"/>
        </w:rPr>
      </w:pPr>
    </w:p>
    <w:p w14:paraId="5AC47189" w14:textId="42BD446C" w:rsidR="00DE4BF8" w:rsidRPr="0086458B" w:rsidRDefault="00DE4BF8" w:rsidP="00E57F55">
      <w:pPr>
        <w:ind w:left="284" w:right="142"/>
        <w:contextualSpacing/>
        <w:jc w:val="both"/>
        <w:rPr>
          <w:rFonts w:ascii="Bookman Old Style" w:hAnsi="Bookman Old Style" w:cs="Arial"/>
        </w:rPr>
      </w:pPr>
      <w:r w:rsidRPr="0086458B">
        <w:rPr>
          <w:rFonts w:ascii="Bookman Old Style" w:hAnsi="Bookman Old Style" w:cs="Arial"/>
        </w:rPr>
        <w:t xml:space="preserve">En ejercicio de sus atribuciones constitucionales y legales, en especial las conferidas por las </w:t>
      </w:r>
      <w:r w:rsidRPr="0ECC7FE6">
        <w:rPr>
          <w:rFonts w:ascii="Bookman Old Style" w:hAnsi="Bookman Old Style" w:cs="Arial"/>
        </w:rPr>
        <w:t>Leyes</w:t>
      </w:r>
      <w:r w:rsidRPr="0086458B">
        <w:rPr>
          <w:rFonts w:ascii="Bookman Old Style" w:hAnsi="Bookman Old Style" w:cs="Arial"/>
        </w:rPr>
        <w:t xml:space="preserve"> 142 y 143 de 1994, y los </w:t>
      </w:r>
      <w:r w:rsidR="543A531C" w:rsidRPr="0086458B">
        <w:rPr>
          <w:rFonts w:ascii="Bookman Old Style" w:hAnsi="Bookman Old Style" w:cs="Arial"/>
        </w:rPr>
        <w:t>D</w:t>
      </w:r>
      <w:r w:rsidRPr="0086458B">
        <w:rPr>
          <w:rFonts w:ascii="Bookman Old Style" w:hAnsi="Bookman Old Style" w:cs="Arial"/>
        </w:rPr>
        <w:t xml:space="preserve">ecretos 1524 y 2253 de 1994, </w:t>
      </w:r>
      <w:r w:rsidR="00EE0523" w:rsidRPr="0086458B">
        <w:rPr>
          <w:rFonts w:ascii="Bookman Old Style" w:hAnsi="Bookman Old Style" w:cs="Arial"/>
        </w:rPr>
        <w:t xml:space="preserve">1260 de 2013 </w:t>
      </w:r>
      <w:r w:rsidRPr="0086458B">
        <w:rPr>
          <w:rFonts w:ascii="Bookman Old Style" w:hAnsi="Bookman Old Style" w:cs="Arial"/>
        </w:rPr>
        <w:t>y</w:t>
      </w:r>
    </w:p>
    <w:p w14:paraId="3D447594" w14:textId="77777777" w:rsidR="00DE4BF8" w:rsidRPr="0086458B" w:rsidRDefault="00DE4BF8" w:rsidP="00E57F55">
      <w:pPr>
        <w:ind w:left="284" w:right="142"/>
        <w:contextualSpacing/>
        <w:jc w:val="both"/>
        <w:rPr>
          <w:rFonts w:ascii="Bookman Old Style" w:hAnsi="Bookman Old Style" w:cs="Arial"/>
        </w:rPr>
      </w:pPr>
    </w:p>
    <w:p w14:paraId="065F7C52" w14:textId="77777777" w:rsidR="009C209F" w:rsidRPr="0086458B" w:rsidRDefault="009C209F" w:rsidP="00E57F55">
      <w:pPr>
        <w:ind w:left="284" w:right="142"/>
        <w:contextualSpacing/>
        <w:jc w:val="both"/>
        <w:rPr>
          <w:rFonts w:ascii="Bookman Old Style" w:hAnsi="Bookman Old Style" w:cs="Arial"/>
        </w:rPr>
      </w:pPr>
    </w:p>
    <w:p w14:paraId="18310931" w14:textId="77777777" w:rsidR="00DE4BF8" w:rsidRPr="0086458B" w:rsidRDefault="00DE4BF8" w:rsidP="00E57F55">
      <w:pPr>
        <w:ind w:left="284" w:right="142"/>
        <w:contextualSpacing/>
        <w:jc w:val="center"/>
        <w:rPr>
          <w:rFonts w:ascii="Bookman Old Style" w:hAnsi="Bookman Old Style" w:cs="Arial"/>
          <w:b/>
        </w:rPr>
      </w:pPr>
      <w:r w:rsidRPr="0086458B">
        <w:rPr>
          <w:rFonts w:ascii="Bookman Old Style" w:hAnsi="Bookman Old Style" w:cs="Arial"/>
          <w:b/>
          <w:spacing w:val="80"/>
        </w:rPr>
        <w:t>CONSIDERANDO QUE</w:t>
      </w:r>
      <w:r w:rsidRPr="0086458B">
        <w:rPr>
          <w:rFonts w:ascii="Bookman Old Style" w:hAnsi="Bookman Old Style" w:cs="Arial"/>
          <w:b/>
        </w:rPr>
        <w:t>:</w:t>
      </w:r>
    </w:p>
    <w:p w14:paraId="2C3A6781" w14:textId="77777777" w:rsidR="00DE4BF8" w:rsidRPr="00E11FAE" w:rsidRDefault="00DE4BF8" w:rsidP="00E57F55">
      <w:pPr>
        <w:ind w:left="284" w:right="142"/>
        <w:contextualSpacing/>
        <w:jc w:val="center"/>
        <w:rPr>
          <w:rFonts w:ascii="Bookman Old Style" w:hAnsi="Bookman Old Style" w:cs="Arial"/>
          <w:bCs/>
        </w:rPr>
      </w:pPr>
    </w:p>
    <w:p w14:paraId="0D613634" w14:textId="585AB343" w:rsidR="009B5A32" w:rsidRPr="00E11FAE" w:rsidRDefault="009B5A32" w:rsidP="00E57F55">
      <w:pPr>
        <w:ind w:left="284" w:right="142"/>
        <w:contextualSpacing/>
        <w:jc w:val="center"/>
        <w:rPr>
          <w:rFonts w:ascii="Bookman Old Style" w:hAnsi="Bookman Old Style" w:cs="Arial"/>
          <w:bCs/>
        </w:rPr>
      </w:pPr>
    </w:p>
    <w:p w14:paraId="7490521B" w14:textId="77777777" w:rsidR="006F068C" w:rsidRPr="0086458B" w:rsidRDefault="006F068C" w:rsidP="009A7318">
      <w:pPr>
        <w:pStyle w:val="Ttulo1"/>
        <w:ind w:left="284"/>
        <w:jc w:val="both"/>
        <w:rPr>
          <w:rFonts w:eastAsia="Calibri" w:cs="Calibri"/>
          <w:b w:val="0"/>
          <w:bCs/>
        </w:rPr>
      </w:pPr>
      <w:r>
        <w:t xml:space="preserve">1. </w:t>
      </w:r>
      <w:r w:rsidRPr="0086458B">
        <w:rPr>
          <w:rFonts w:cs="Arial"/>
          <w:bCs/>
        </w:rPr>
        <w:t>ANTECEDENTES</w:t>
      </w:r>
    </w:p>
    <w:p w14:paraId="6A204F55" w14:textId="77777777" w:rsidR="006F068C" w:rsidRDefault="006F068C" w:rsidP="00E57F55">
      <w:pPr>
        <w:ind w:left="284"/>
        <w:contextualSpacing/>
        <w:jc w:val="both"/>
        <w:rPr>
          <w:rFonts w:ascii="Bookman Old Style" w:hAnsi="Bookman Old Style"/>
          <w:lang w:val="es-MX"/>
        </w:rPr>
      </w:pPr>
    </w:p>
    <w:p w14:paraId="7FEE379B" w14:textId="730035E4" w:rsidR="00390D48" w:rsidRDefault="00453262" w:rsidP="00E57F55">
      <w:pPr>
        <w:ind w:left="284"/>
        <w:contextualSpacing/>
        <w:jc w:val="both"/>
        <w:rPr>
          <w:rFonts w:ascii="Bookman Old Style" w:hAnsi="Bookman Old Style"/>
        </w:rPr>
      </w:pPr>
      <w:r w:rsidRPr="0086458B">
        <w:rPr>
          <w:rFonts w:ascii="Bookman Old Style" w:hAnsi="Bookman Old Style"/>
          <w:lang w:val="es-MX"/>
        </w:rPr>
        <w:t>De acuerdo con el artículo 58 de la Constitución Política</w:t>
      </w:r>
      <w:r w:rsidR="00D76C0E">
        <w:rPr>
          <w:rFonts w:ascii="Bookman Old Style" w:hAnsi="Bookman Old Style"/>
          <w:lang w:val="es-MX"/>
        </w:rPr>
        <w:t>,</w:t>
      </w:r>
      <w:r w:rsidRPr="0086458B">
        <w:rPr>
          <w:rFonts w:ascii="Bookman Old Style" w:hAnsi="Bookman Old Style"/>
          <w:lang w:val="es-MX"/>
        </w:rPr>
        <w:t xml:space="preserve"> la propiedad es función social que implica obligaciones</w:t>
      </w:r>
      <w:r w:rsidR="00390D48">
        <w:rPr>
          <w:rFonts w:ascii="Bookman Old Style" w:hAnsi="Bookman Old Style"/>
          <w:lang w:val="es-MX"/>
        </w:rPr>
        <w:t xml:space="preserve"> y</w:t>
      </w:r>
      <w:r w:rsidR="005C042F">
        <w:rPr>
          <w:rFonts w:ascii="Bookman Old Style" w:hAnsi="Bookman Old Style"/>
          <w:lang w:val="es-MX"/>
        </w:rPr>
        <w:t>,</w:t>
      </w:r>
      <w:r w:rsidR="00390D48">
        <w:rPr>
          <w:rFonts w:ascii="Bookman Old Style" w:hAnsi="Bookman Old Style"/>
          <w:lang w:val="es-MX"/>
        </w:rPr>
        <w:t xml:space="preserve"> </w:t>
      </w:r>
      <w:r w:rsidR="005C042F">
        <w:rPr>
          <w:rFonts w:ascii="Bookman Old Style" w:hAnsi="Bookman Old Style"/>
          <w:lang w:val="es-MX"/>
        </w:rPr>
        <w:t xml:space="preserve">cuando </w:t>
      </w:r>
      <w:r w:rsidR="00390D48" w:rsidRPr="00390D48">
        <w:rPr>
          <w:rFonts w:ascii="Bookman Old Style" w:hAnsi="Bookman Old Style"/>
        </w:rPr>
        <w:t>de la aplicación de una ley expedida por motivos de utilidad pública o interés social resultare en conflicto los derechos de los particulares con la necesidad por ella reconocida, el interés privado deberá ceder al interés público o social</w:t>
      </w:r>
      <w:r w:rsidR="005C042F">
        <w:rPr>
          <w:rFonts w:ascii="Bookman Old Style" w:hAnsi="Bookman Old Style"/>
        </w:rPr>
        <w:t>.</w:t>
      </w:r>
    </w:p>
    <w:p w14:paraId="3391FCDB" w14:textId="77777777" w:rsidR="00390D48" w:rsidRDefault="00390D48" w:rsidP="00E57F55">
      <w:pPr>
        <w:ind w:left="284"/>
        <w:contextualSpacing/>
        <w:jc w:val="both"/>
        <w:rPr>
          <w:rFonts w:ascii="Bookman Old Style" w:hAnsi="Bookman Old Style"/>
        </w:rPr>
      </w:pPr>
    </w:p>
    <w:p w14:paraId="7CAB15D3" w14:textId="6FD052DA" w:rsidR="00B543CE" w:rsidRPr="0086458B" w:rsidRDefault="00B543CE" w:rsidP="00E57F55">
      <w:pPr>
        <w:ind w:left="284"/>
        <w:contextualSpacing/>
        <w:jc w:val="both"/>
        <w:rPr>
          <w:rFonts w:ascii="Bookman Old Style" w:hAnsi="Bookman Old Style"/>
        </w:rPr>
      </w:pPr>
      <w:r w:rsidRPr="0086458B">
        <w:rPr>
          <w:rFonts w:ascii="Bookman Old Style" w:hAnsi="Bookman Old Style"/>
        </w:rPr>
        <w:t>El artículo 365 de la Constitución Política establece que los servicios públicos son inherentes a la finalidad social del Estado</w:t>
      </w:r>
      <w:r w:rsidR="000C3B68">
        <w:rPr>
          <w:rFonts w:ascii="Bookman Old Style" w:hAnsi="Bookman Old Style"/>
        </w:rPr>
        <w:t>,</w:t>
      </w:r>
      <w:r w:rsidRPr="0086458B">
        <w:rPr>
          <w:rFonts w:ascii="Bookman Old Style" w:hAnsi="Bookman Old Style"/>
        </w:rPr>
        <w:t xml:space="preserve"> y es deber de éste asegurar su prestación eficiente a todos los habitantes del territorio nacional.</w:t>
      </w:r>
    </w:p>
    <w:p w14:paraId="5C842006" w14:textId="77777777" w:rsidR="00B543CE" w:rsidRPr="0086458B" w:rsidRDefault="00B543CE" w:rsidP="00E57F55">
      <w:pPr>
        <w:ind w:left="284"/>
        <w:contextualSpacing/>
        <w:jc w:val="both"/>
        <w:rPr>
          <w:rFonts w:ascii="Bookman Old Style" w:hAnsi="Bookman Old Style"/>
        </w:rPr>
      </w:pPr>
    </w:p>
    <w:p w14:paraId="4A714600" w14:textId="7833760A" w:rsidR="00B543CE" w:rsidRPr="0086458B" w:rsidRDefault="00B543CE" w:rsidP="00E57F55">
      <w:pPr>
        <w:ind w:left="284"/>
        <w:contextualSpacing/>
        <w:jc w:val="both"/>
        <w:rPr>
          <w:rFonts w:ascii="Bookman Old Style" w:hAnsi="Bookman Old Style"/>
        </w:rPr>
      </w:pPr>
      <w:r w:rsidRPr="0086458B">
        <w:rPr>
          <w:rFonts w:ascii="Bookman Old Style" w:hAnsi="Bookman Old Style"/>
        </w:rPr>
        <w:t>De conformidad con lo previsto en los artículos 2 y 4 de la</w:t>
      </w:r>
      <w:r w:rsidR="008A06C7">
        <w:rPr>
          <w:rFonts w:ascii="Bookman Old Style" w:hAnsi="Bookman Old Style"/>
        </w:rPr>
        <w:t xml:space="preserve"> </w:t>
      </w:r>
      <w:r w:rsidRPr="0086458B">
        <w:rPr>
          <w:rFonts w:ascii="Bookman Old Style" w:hAnsi="Bookman Old Style"/>
        </w:rPr>
        <w:t>Ley 142 de 1994, la prestación del servicio público domiciliario de energía eléctrica y sus actividades complementarias constituyen servicios públicos esenciales</w:t>
      </w:r>
      <w:r w:rsidR="000C3B68">
        <w:rPr>
          <w:rFonts w:ascii="Bookman Old Style" w:hAnsi="Bookman Old Style"/>
        </w:rPr>
        <w:t>,</w:t>
      </w:r>
      <w:r w:rsidRPr="0086458B">
        <w:rPr>
          <w:rFonts w:ascii="Bookman Old Style" w:hAnsi="Bookman Old Style"/>
        </w:rPr>
        <w:t xml:space="preserve"> y el Estado intervendrá en los mismos con el fin de</w:t>
      </w:r>
      <w:r w:rsidR="00474FA4" w:rsidRPr="0086458B">
        <w:rPr>
          <w:rFonts w:ascii="Bookman Old Style" w:hAnsi="Bookman Old Style"/>
        </w:rPr>
        <w:t xml:space="preserve"> </w:t>
      </w:r>
      <w:r w:rsidRPr="0086458B">
        <w:rPr>
          <w:rFonts w:ascii="Bookman Old Style" w:hAnsi="Bookman Old Style"/>
        </w:rPr>
        <w:t>garantizar</w:t>
      </w:r>
      <w:r w:rsidR="00474FA4" w:rsidRPr="0086458B">
        <w:rPr>
          <w:rFonts w:ascii="Bookman Old Style" w:hAnsi="Bookman Old Style"/>
        </w:rPr>
        <w:t xml:space="preserve">, </w:t>
      </w:r>
      <w:r w:rsidRPr="0086458B">
        <w:rPr>
          <w:rFonts w:ascii="Bookman Old Style" w:hAnsi="Bookman Old Style"/>
        </w:rPr>
        <w:t>entre otros,</w:t>
      </w:r>
      <w:r w:rsidR="00474FA4" w:rsidRPr="0086458B">
        <w:rPr>
          <w:rFonts w:ascii="Bookman Old Style" w:hAnsi="Bookman Old Style"/>
        </w:rPr>
        <w:t xml:space="preserve"> l</w:t>
      </w:r>
      <w:r w:rsidRPr="0086458B">
        <w:rPr>
          <w:rFonts w:ascii="Bookman Old Style" w:hAnsi="Bookman Old Style"/>
        </w:rPr>
        <w:t xml:space="preserve">a </w:t>
      </w:r>
      <w:r w:rsidRPr="0086458B">
        <w:rPr>
          <w:rFonts w:ascii="Bookman Old Style" w:hAnsi="Bookman Old Style" w:cs="Arial"/>
        </w:rPr>
        <w:t xml:space="preserve">libertad de competencia y </w:t>
      </w:r>
      <w:r w:rsidR="000C3B68">
        <w:rPr>
          <w:rFonts w:ascii="Bookman Old Style" w:hAnsi="Bookman Old Style" w:cs="Arial"/>
        </w:rPr>
        <w:t xml:space="preserve">la </w:t>
      </w:r>
      <w:r w:rsidRPr="0086458B">
        <w:rPr>
          <w:rFonts w:ascii="Bookman Old Style" w:hAnsi="Bookman Old Style" w:cs="Arial"/>
        </w:rPr>
        <w:t xml:space="preserve">no utilización abusiva de la posición dominante, </w:t>
      </w:r>
      <w:r w:rsidRPr="0086458B">
        <w:rPr>
          <w:rFonts w:ascii="Bookman Old Style" w:hAnsi="Bookman Old Style"/>
        </w:rPr>
        <w:t>la prestación continua, de calidad y eficiente del servici</w:t>
      </w:r>
      <w:r w:rsidR="00474FA4" w:rsidRPr="0086458B">
        <w:rPr>
          <w:rFonts w:ascii="Bookman Old Style" w:hAnsi="Bookman Old Style"/>
        </w:rPr>
        <w:t xml:space="preserve">o. </w:t>
      </w:r>
    </w:p>
    <w:p w14:paraId="769752A0" w14:textId="7743DB34" w:rsidR="00B543CE" w:rsidRPr="0086458B" w:rsidRDefault="00B543CE" w:rsidP="00E57F55">
      <w:pPr>
        <w:ind w:left="284"/>
        <w:contextualSpacing/>
        <w:jc w:val="both"/>
        <w:rPr>
          <w:rFonts w:ascii="Bookman Old Style" w:hAnsi="Bookman Old Style"/>
          <w:lang w:val="es-MX"/>
        </w:rPr>
      </w:pPr>
    </w:p>
    <w:p w14:paraId="292F9040" w14:textId="4C649C1C" w:rsidR="004B3071" w:rsidRDefault="0049614A" w:rsidP="00E57F55">
      <w:pPr>
        <w:ind w:left="284"/>
        <w:contextualSpacing/>
        <w:jc w:val="both"/>
        <w:rPr>
          <w:rFonts w:ascii="Bookman Old Style" w:hAnsi="Bookman Old Style"/>
        </w:rPr>
      </w:pPr>
      <w:r>
        <w:rPr>
          <w:rFonts w:ascii="Bookman Old Style" w:hAnsi="Bookman Old Style"/>
        </w:rPr>
        <w:t>E</w:t>
      </w:r>
      <w:r w:rsidR="0011066E">
        <w:rPr>
          <w:rFonts w:ascii="Bookman Old Style" w:hAnsi="Bookman Old Style"/>
        </w:rPr>
        <w:t xml:space="preserve">n el artículo 11 de la Ley 142 de 1994 se </w:t>
      </w:r>
      <w:r w:rsidR="004B3071" w:rsidRPr="0086458B">
        <w:rPr>
          <w:rFonts w:ascii="Bookman Old Style" w:hAnsi="Bookman Old Style"/>
        </w:rPr>
        <w:t xml:space="preserve">dispuso </w:t>
      </w:r>
      <w:r w:rsidR="005C042F">
        <w:rPr>
          <w:rFonts w:ascii="Bookman Old Style" w:hAnsi="Bookman Old Style"/>
          <w:lang w:val="es-MX"/>
        </w:rPr>
        <w:t>que,</w:t>
      </w:r>
      <w:r w:rsidR="0080165A">
        <w:rPr>
          <w:rFonts w:ascii="Bookman Old Style" w:hAnsi="Bookman Old Style"/>
          <w:lang w:val="es-MX"/>
        </w:rPr>
        <w:t xml:space="preserve"> </w:t>
      </w:r>
      <w:r w:rsidR="00133E1F">
        <w:rPr>
          <w:rFonts w:ascii="Bookman Old Style" w:hAnsi="Bookman Old Style"/>
          <w:lang w:val="es-MX"/>
        </w:rPr>
        <w:t>p</w:t>
      </w:r>
      <w:r w:rsidR="00133E1F" w:rsidRPr="00133E1F">
        <w:rPr>
          <w:rFonts w:ascii="Bookman Old Style" w:hAnsi="Bookman Old Style"/>
          <w:lang w:val="es-MX"/>
        </w:rPr>
        <w:t xml:space="preserve">ara cumplir con la función social de la propiedad, pública o privada, las entidades que presten servicios públicos </w:t>
      </w:r>
      <w:r w:rsidR="00582D2C">
        <w:rPr>
          <w:rFonts w:ascii="Bookman Old Style" w:hAnsi="Bookman Old Style"/>
          <w:lang w:val="es-MX"/>
        </w:rPr>
        <w:t>están obligadas, entre otras</w:t>
      </w:r>
      <w:r w:rsidR="0006050F">
        <w:rPr>
          <w:rFonts w:ascii="Bookman Old Style" w:hAnsi="Bookman Old Style"/>
          <w:lang w:val="es-MX"/>
        </w:rPr>
        <w:t xml:space="preserve"> cosas</w:t>
      </w:r>
      <w:r w:rsidR="00582D2C">
        <w:rPr>
          <w:rFonts w:ascii="Bookman Old Style" w:hAnsi="Bookman Old Style"/>
          <w:lang w:val="es-MX"/>
        </w:rPr>
        <w:t xml:space="preserve">, a </w:t>
      </w:r>
      <w:r w:rsidR="0006050F">
        <w:rPr>
          <w:rFonts w:ascii="Bookman Old Style" w:hAnsi="Bookman Old Style"/>
          <w:lang w:val="es-MX"/>
        </w:rPr>
        <w:t>f</w:t>
      </w:r>
      <w:r w:rsidR="0006050F" w:rsidRPr="0006050F">
        <w:rPr>
          <w:rFonts w:ascii="Bookman Old Style" w:hAnsi="Bookman Old Style"/>
          <w:lang w:val="es-MX"/>
        </w:rPr>
        <w:t>acilitar el acceso e interconexión de otras empresas o entidades que prestan servicios públicos, o que sean grandes usuarios de ellos, a los bienes empleados para la organización y prestación de los servicios.</w:t>
      </w:r>
    </w:p>
    <w:p w14:paraId="083786F7" w14:textId="77777777" w:rsidR="00274030" w:rsidRPr="0086458B" w:rsidRDefault="00274030" w:rsidP="00E57F55">
      <w:pPr>
        <w:ind w:left="284"/>
        <w:contextualSpacing/>
        <w:jc w:val="both"/>
        <w:rPr>
          <w:rFonts w:ascii="Bookman Old Style" w:hAnsi="Bookman Old Style" w:cs="Arial"/>
          <w:lang w:val="es-MX"/>
        </w:rPr>
      </w:pPr>
    </w:p>
    <w:p w14:paraId="1DA69A70" w14:textId="69444E06" w:rsidR="00510B5C" w:rsidRPr="0086458B" w:rsidRDefault="00274030" w:rsidP="00E57F55">
      <w:pPr>
        <w:pStyle w:val="Textoindependiente"/>
        <w:ind w:left="284" w:right="142"/>
        <w:contextualSpacing/>
        <w:jc w:val="both"/>
        <w:rPr>
          <w:rFonts w:ascii="Bookman Old Style" w:hAnsi="Bookman Old Style"/>
          <w:b w:val="0"/>
          <w:bCs w:val="0"/>
          <w:iCs/>
        </w:rPr>
      </w:pPr>
      <w:r>
        <w:rPr>
          <w:rFonts w:ascii="Bookman Old Style" w:hAnsi="Bookman Old Style"/>
          <w:b w:val="0"/>
          <w:bCs w:val="0"/>
          <w:iCs/>
          <w:lang w:val="es-CO"/>
        </w:rPr>
        <w:lastRenderedPageBreak/>
        <w:t xml:space="preserve">Mediante el </w:t>
      </w:r>
      <w:r w:rsidR="00510B5C" w:rsidRPr="0086458B">
        <w:rPr>
          <w:rFonts w:ascii="Bookman Old Style" w:hAnsi="Bookman Old Style"/>
          <w:b w:val="0"/>
          <w:bCs w:val="0"/>
          <w:iCs/>
        </w:rPr>
        <w:t xml:space="preserve">artículo 39 de la Ley 142 de 1994 </w:t>
      </w:r>
      <w:r>
        <w:rPr>
          <w:rFonts w:ascii="Bookman Old Style" w:hAnsi="Bookman Old Style"/>
          <w:b w:val="0"/>
          <w:bCs w:val="0"/>
          <w:iCs/>
          <w:lang w:val="es-CO"/>
        </w:rPr>
        <w:t>se autorizó, p</w:t>
      </w:r>
      <w:r w:rsidRPr="00274030">
        <w:rPr>
          <w:rFonts w:ascii="Bookman Old Style" w:hAnsi="Bookman Old Style"/>
          <w:b w:val="0"/>
          <w:bCs w:val="0"/>
          <w:iCs/>
          <w:lang w:val="es-CO"/>
        </w:rPr>
        <w:t>ara los efectos de la gestión de los servicios públicos</w:t>
      </w:r>
      <w:r>
        <w:rPr>
          <w:rFonts w:ascii="Bookman Old Style" w:hAnsi="Bookman Old Style"/>
          <w:b w:val="0"/>
          <w:bCs w:val="0"/>
          <w:iCs/>
          <w:lang w:val="es-CO"/>
        </w:rPr>
        <w:t>,</w:t>
      </w:r>
      <w:r w:rsidRPr="00274030">
        <w:rPr>
          <w:rFonts w:ascii="Bookman Old Style" w:hAnsi="Bookman Old Style"/>
          <w:b w:val="0"/>
          <w:bCs w:val="0"/>
          <w:iCs/>
          <w:lang w:val="es-CO"/>
        </w:rPr>
        <w:t xml:space="preserve"> la celebración</w:t>
      </w:r>
      <w:r w:rsidR="00171441">
        <w:rPr>
          <w:rFonts w:ascii="Bookman Old Style" w:hAnsi="Bookman Old Style"/>
          <w:b w:val="0"/>
          <w:bCs w:val="0"/>
          <w:iCs/>
          <w:lang w:val="es-CO"/>
        </w:rPr>
        <w:t xml:space="preserve"> de </w:t>
      </w:r>
      <w:r w:rsidR="00510B5C" w:rsidRPr="0086458B">
        <w:rPr>
          <w:rFonts w:ascii="Bookman Old Style" w:hAnsi="Bookman Old Style"/>
          <w:b w:val="0"/>
          <w:bCs w:val="0"/>
          <w:iCs/>
        </w:rPr>
        <w:t>contratos especiales</w:t>
      </w:r>
      <w:r w:rsidR="00171441">
        <w:rPr>
          <w:rFonts w:ascii="Bookman Old Style" w:hAnsi="Bookman Old Style"/>
          <w:b w:val="0"/>
          <w:bCs w:val="0"/>
          <w:iCs/>
          <w:lang w:val="es-CO"/>
        </w:rPr>
        <w:t xml:space="preserve">, entre otros, </w:t>
      </w:r>
      <w:r w:rsidR="00246DD2">
        <w:rPr>
          <w:rFonts w:ascii="Bookman Old Style" w:hAnsi="Bookman Old Style"/>
          <w:b w:val="0"/>
          <w:bCs w:val="0"/>
          <w:iCs/>
          <w:lang w:val="es-CO"/>
        </w:rPr>
        <w:t xml:space="preserve">aquellos </w:t>
      </w:r>
      <w:r w:rsidR="00171441" w:rsidRPr="00171441">
        <w:rPr>
          <w:rFonts w:ascii="Bookman Old Style" w:hAnsi="Bookman Old Style"/>
          <w:b w:val="0"/>
          <w:bCs w:val="0"/>
          <w:iCs/>
          <w:lang w:val="es-CO"/>
        </w:rPr>
        <w:t>en virtud de los cuales dos o más entidades prestadoras de servicios públicos</w:t>
      </w:r>
      <w:r w:rsidR="000C3B68">
        <w:rPr>
          <w:rFonts w:ascii="Bookman Old Style" w:hAnsi="Bookman Old Style"/>
          <w:b w:val="0"/>
          <w:bCs w:val="0"/>
          <w:iCs/>
          <w:lang w:val="es-CO"/>
        </w:rPr>
        <w:t>,</w:t>
      </w:r>
      <w:r w:rsidR="00171441" w:rsidRPr="00171441">
        <w:rPr>
          <w:rFonts w:ascii="Bookman Old Style" w:hAnsi="Bookman Old Style"/>
          <w:b w:val="0"/>
          <w:bCs w:val="0"/>
          <w:iCs/>
          <w:lang w:val="es-CO"/>
        </w:rPr>
        <w:t xml:space="preserve"> o éstas con grandes proveedores o usuarios, regulan el acceso compartido o de interconexión de bienes indispensables para la prestación de servicios públicos, mediante el pago de remuneración o peaje razonable.</w:t>
      </w:r>
    </w:p>
    <w:p w14:paraId="70A5B5BB" w14:textId="5FB3D007" w:rsidR="00510B5C" w:rsidRPr="00C17EE3" w:rsidRDefault="00510B5C" w:rsidP="00E57F55">
      <w:pPr>
        <w:ind w:left="284"/>
        <w:contextualSpacing/>
        <w:jc w:val="both"/>
        <w:rPr>
          <w:rFonts w:ascii="Bookman Old Style" w:hAnsi="Bookman Old Style" w:cs="Arial"/>
          <w:lang w:val="x-none"/>
        </w:rPr>
      </w:pPr>
    </w:p>
    <w:p w14:paraId="0E61A90F" w14:textId="2B7D981A" w:rsidR="00687204" w:rsidRDefault="009137DA" w:rsidP="00E57F55">
      <w:pPr>
        <w:ind w:left="284"/>
        <w:contextualSpacing/>
        <w:jc w:val="both"/>
        <w:rPr>
          <w:rFonts w:ascii="Bookman Old Style" w:hAnsi="Bookman Old Style" w:cs="Arial"/>
          <w:lang w:val="es-MX"/>
        </w:rPr>
      </w:pPr>
      <w:r>
        <w:rPr>
          <w:rFonts w:ascii="Bookman Old Style" w:hAnsi="Bookman Old Style" w:cs="Arial"/>
          <w:lang w:val="es-MX"/>
        </w:rPr>
        <w:t xml:space="preserve">El artículo </w:t>
      </w:r>
      <w:r w:rsidRPr="009137DA">
        <w:rPr>
          <w:rFonts w:ascii="Bookman Old Style" w:hAnsi="Bookman Old Style" w:cs="Arial"/>
          <w:lang w:val="es-MX"/>
        </w:rPr>
        <w:t>73</w:t>
      </w:r>
      <w:r>
        <w:rPr>
          <w:rFonts w:ascii="Bookman Old Style" w:hAnsi="Bookman Old Style" w:cs="Arial"/>
          <w:lang w:val="es-MX"/>
        </w:rPr>
        <w:t xml:space="preserve"> de la Ley 142 de 1994 establece como </w:t>
      </w:r>
      <w:r w:rsidR="004E12BD">
        <w:rPr>
          <w:rFonts w:ascii="Bookman Old Style" w:hAnsi="Bookman Old Style" w:cs="Arial"/>
          <w:lang w:val="es-MX"/>
        </w:rPr>
        <w:t>f</w:t>
      </w:r>
      <w:r w:rsidRPr="009137DA">
        <w:rPr>
          <w:rFonts w:ascii="Bookman Old Style" w:hAnsi="Bookman Old Style" w:cs="Arial"/>
          <w:lang w:val="es-MX"/>
        </w:rPr>
        <w:t>unci</w:t>
      </w:r>
      <w:r w:rsidR="00EF0495">
        <w:rPr>
          <w:rFonts w:ascii="Bookman Old Style" w:hAnsi="Bookman Old Style" w:cs="Arial"/>
          <w:lang w:val="es-MX"/>
        </w:rPr>
        <w:t>o</w:t>
      </w:r>
      <w:r w:rsidR="004E12BD">
        <w:rPr>
          <w:rFonts w:ascii="Bookman Old Style" w:hAnsi="Bookman Old Style" w:cs="Arial"/>
          <w:lang w:val="es-MX"/>
        </w:rPr>
        <w:t>n</w:t>
      </w:r>
      <w:r w:rsidR="00EF0495">
        <w:rPr>
          <w:rFonts w:ascii="Bookman Old Style" w:hAnsi="Bookman Old Style" w:cs="Arial"/>
          <w:lang w:val="es-MX"/>
        </w:rPr>
        <w:t>es</w:t>
      </w:r>
      <w:r w:rsidR="004E12BD">
        <w:rPr>
          <w:rFonts w:ascii="Bookman Old Style" w:hAnsi="Bookman Old Style" w:cs="Arial"/>
          <w:lang w:val="es-MX"/>
        </w:rPr>
        <w:t xml:space="preserve"> </w:t>
      </w:r>
      <w:r w:rsidRPr="009137DA">
        <w:rPr>
          <w:rFonts w:ascii="Bookman Old Style" w:hAnsi="Bookman Old Style" w:cs="Arial"/>
          <w:lang w:val="es-MX"/>
        </w:rPr>
        <w:t>y facultad</w:t>
      </w:r>
      <w:r w:rsidR="00EF0495">
        <w:rPr>
          <w:rFonts w:ascii="Bookman Old Style" w:hAnsi="Bookman Old Style" w:cs="Arial"/>
          <w:lang w:val="es-MX"/>
        </w:rPr>
        <w:t>es</w:t>
      </w:r>
      <w:r w:rsidRPr="009137DA">
        <w:rPr>
          <w:rFonts w:ascii="Bookman Old Style" w:hAnsi="Bookman Old Style" w:cs="Arial"/>
          <w:lang w:val="es-MX"/>
        </w:rPr>
        <w:t xml:space="preserve"> general</w:t>
      </w:r>
      <w:r w:rsidR="00EF0495">
        <w:rPr>
          <w:rFonts w:ascii="Bookman Old Style" w:hAnsi="Bookman Old Style" w:cs="Arial"/>
          <w:lang w:val="es-MX"/>
        </w:rPr>
        <w:t>es</w:t>
      </w:r>
      <w:r w:rsidR="004E12BD">
        <w:rPr>
          <w:rFonts w:ascii="Bookman Old Style" w:hAnsi="Bookman Old Style" w:cs="Arial"/>
          <w:lang w:val="es-MX"/>
        </w:rPr>
        <w:t xml:space="preserve"> de l</w:t>
      </w:r>
      <w:r w:rsidRPr="009137DA">
        <w:rPr>
          <w:rFonts w:ascii="Bookman Old Style" w:hAnsi="Bookman Old Style" w:cs="Arial"/>
          <w:lang w:val="es-MX"/>
        </w:rPr>
        <w:t>as comisiones de regulación la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abusos de la posición dominante, y produzcan servicios de calidad.</w:t>
      </w:r>
    </w:p>
    <w:p w14:paraId="2157E71F" w14:textId="77777777" w:rsidR="00C72B04" w:rsidRDefault="00C72B04" w:rsidP="00E57F55">
      <w:pPr>
        <w:ind w:left="284"/>
        <w:contextualSpacing/>
        <w:jc w:val="both"/>
        <w:rPr>
          <w:rFonts w:ascii="Bookman Old Style" w:hAnsi="Bookman Old Style" w:cs="Arial"/>
          <w:lang w:val="es-MX"/>
        </w:rPr>
      </w:pPr>
    </w:p>
    <w:p w14:paraId="0D5B9AD4" w14:textId="477B8C24" w:rsidR="005B485E" w:rsidRDefault="00F12C80" w:rsidP="00E57F55">
      <w:pPr>
        <w:ind w:left="284"/>
        <w:contextualSpacing/>
        <w:jc w:val="both"/>
        <w:rPr>
          <w:rFonts w:ascii="Bookman Old Style" w:hAnsi="Bookman Old Style" w:cs="Arial"/>
          <w:lang w:val="es-MX"/>
        </w:rPr>
      </w:pPr>
      <w:r>
        <w:rPr>
          <w:rFonts w:ascii="Bookman Old Style" w:hAnsi="Bookman Old Style" w:cs="Arial"/>
          <w:lang w:val="es-MX"/>
        </w:rPr>
        <w:t>D</w:t>
      </w:r>
      <w:r w:rsidR="000F4CCF">
        <w:rPr>
          <w:rFonts w:ascii="Bookman Old Style" w:hAnsi="Bookman Old Style" w:cs="Arial"/>
          <w:lang w:val="es-MX"/>
        </w:rPr>
        <w:t>e acuerdo con e</w:t>
      </w:r>
      <w:r w:rsidR="007C30BB">
        <w:rPr>
          <w:rFonts w:ascii="Bookman Old Style" w:hAnsi="Bookman Old Style" w:cs="Arial"/>
          <w:lang w:val="es-MX"/>
        </w:rPr>
        <w:t>l</w:t>
      </w:r>
      <w:r w:rsidR="000F4CCF">
        <w:rPr>
          <w:rFonts w:ascii="Bookman Old Style" w:hAnsi="Bookman Old Style" w:cs="Arial"/>
          <w:lang w:val="es-MX"/>
        </w:rPr>
        <w:t xml:space="preserve"> numeral </w:t>
      </w:r>
      <w:r w:rsidR="000F4CCF" w:rsidRPr="000F4CCF">
        <w:rPr>
          <w:rFonts w:ascii="Bookman Old Style" w:hAnsi="Bookman Old Style" w:cs="Arial"/>
          <w:lang w:val="es-MX"/>
        </w:rPr>
        <w:t>73.22</w:t>
      </w:r>
      <w:r w:rsidR="007C30BB">
        <w:rPr>
          <w:rFonts w:ascii="Bookman Old Style" w:hAnsi="Bookman Old Style" w:cs="Arial"/>
          <w:lang w:val="es-MX"/>
        </w:rPr>
        <w:t xml:space="preserve"> de la Ley 142 de 1994, es función de las comisiones de regulación</w:t>
      </w:r>
      <w:r w:rsidR="000F4CCF" w:rsidRPr="000F4CCF">
        <w:rPr>
          <w:rFonts w:ascii="Bookman Old Style" w:hAnsi="Bookman Old Style" w:cs="Arial"/>
          <w:lang w:val="es-MX"/>
        </w:rPr>
        <w:t xml:space="preserve"> </w:t>
      </w:r>
      <w:r w:rsidR="007C30BB">
        <w:rPr>
          <w:rFonts w:ascii="Bookman Old Style" w:hAnsi="Bookman Old Style" w:cs="Arial"/>
          <w:lang w:val="es-MX"/>
        </w:rPr>
        <w:t>e</w:t>
      </w:r>
      <w:r w:rsidR="000F4CCF" w:rsidRPr="000F4CCF">
        <w:rPr>
          <w:rFonts w:ascii="Bookman Old Style" w:hAnsi="Bookman Old Style" w:cs="Arial"/>
          <w:lang w:val="es-MX"/>
        </w:rPr>
        <w:t xml:space="preserve">stablecer los requisitos generales a los que deben someterse las empresas de servicios públicos para utilizar las redes existentes y acceder a las redes públicas de interconexión; así mismo, establecer las fórmulas tarifarias para cobrar por el transporte e interconexión a las redes, de acuerdo con las reglas de </w:t>
      </w:r>
      <w:r w:rsidR="00BA0DBE">
        <w:rPr>
          <w:rFonts w:ascii="Bookman Old Style" w:hAnsi="Bookman Old Style" w:cs="Arial"/>
          <w:lang w:val="es-MX"/>
        </w:rPr>
        <w:t xml:space="preserve">dicha </w:t>
      </w:r>
      <w:r w:rsidR="000F4CCF" w:rsidRPr="000F4CCF">
        <w:rPr>
          <w:rFonts w:ascii="Bookman Old Style" w:hAnsi="Bookman Old Style" w:cs="Arial"/>
          <w:lang w:val="es-MX"/>
        </w:rPr>
        <w:t>Ley.</w:t>
      </w:r>
    </w:p>
    <w:p w14:paraId="64A18AE7" w14:textId="77777777" w:rsidR="00F12C80" w:rsidRDefault="00F12C80" w:rsidP="00E57F55">
      <w:pPr>
        <w:ind w:left="284"/>
        <w:contextualSpacing/>
        <w:jc w:val="both"/>
        <w:rPr>
          <w:rFonts w:ascii="Bookman Old Style" w:hAnsi="Bookman Old Style" w:cs="Arial"/>
          <w:lang w:val="es-MX"/>
        </w:rPr>
      </w:pPr>
    </w:p>
    <w:p w14:paraId="1CC39B14" w14:textId="7C7227B3" w:rsidR="00F12C80" w:rsidRDefault="00F12C80" w:rsidP="00E57F55">
      <w:pPr>
        <w:ind w:left="284"/>
        <w:contextualSpacing/>
        <w:jc w:val="both"/>
        <w:rPr>
          <w:rFonts w:ascii="Bookman Old Style" w:hAnsi="Bookman Old Style" w:cs="Arial"/>
          <w:lang w:val="es-MX"/>
        </w:rPr>
      </w:pPr>
      <w:r>
        <w:rPr>
          <w:rFonts w:ascii="Bookman Old Style" w:hAnsi="Bookman Old Style" w:cs="Arial"/>
          <w:lang w:val="es-MX"/>
        </w:rPr>
        <w:t>Según lo previsto en el artículo 74 de la Ley 142 de 1994</w:t>
      </w:r>
      <w:r w:rsidR="00F72CB1">
        <w:rPr>
          <w:rFonts w:ascii="Bookman Old Style" w:hAnsi="Bookman Old Style" w:cs="Arial"/>
          <w:lang w:val="es-MX"/>
        </w:rPr>
        <w:t xml:space="preserve">, es función de la </w:t>
      </w:r>
      <w:r w:rsidRPr="00F12C80">
        <w:rPr>
          <w:rFonts w:ascii="Bookman Old Style" w:hAnsi="Bookman Old Style" w:cs="Arial"/>
          <w:lang w:val="es-MX"/>
        </w:rPr>
        <w:t>Comisión de Regulación de Energía y Gas</w:t>
      </w:r>
      <w:r w:rsidR="00CB31EB">
        <w:rPr>
          <w:rFonts w:ascii="Bookman Old Style" w:hAnsi="Bookman Old Style" w:cs="Arial"/>
          <w:lang w:val="es-MX"/>
        </w:rPr>
        <w:t xml:space="preserve"> r</w:t>
      </w:r>
      <w:r w:rsidRPr="00F12C80">
        <w:rPr>
          <w:rFonts w:ascii="Bookman Old Style" w:hAnsi="Bookman Old Style" w:cs="Arial"/>
          <w:lang w:val="es-MX"/>
        </w:rPr>
        <w:t>egular el ejercicio de las actividades de los sectores de energía y gas combustible para asegurar la disponibilidad de una oferta energética eficiente, propiciar la competencia en el sector de minas y energía</w:t>
      </w:r>
      <w:r w:rsidR="000C3B68">
        <w:rPr>
          <w:rFonts w:ascii="Bookman Old Style" w:hAnsi="Bookman Old Style" w:cs="Arial"/>
          <w:lang w:val="es-MX"/>
        </w:rPr>
        <w:t>,</w:t>
      </w:r>
      <w:r w:rsidRPr="00F12C80">
        <w:rPr>
          <w:rFonts w:ascii="Bookman Old Style" w:hAnsi="Bookman Old Style" w:cs="Arial"/>
          <w:lang w:val="es-MX"/>
        </w:rPr>
        <w:t xml:space="preserve"> y proponer la adopción de las medidas necesarias para impedir abusos de posición dominante y buscar la liberación gradual de los mercados hacia la libre competencia.</w:t>
      </w:r>
    </w:p>
    <w:p w14:paraId="5E0C72E5" w14:textId="77777777" w:rsidR="00F12C80" w:rsidRDefault="00F12C80" w:rsidP="00E57F55">
      <w:pPr>
        <w:ind w:left="284"/>
        <w:contextualSpacing/>
        <w:jc w:val="both"/>
        <w:rPr>
          <w:rFonts w:ascii="Bookman Old Style" w:hAnsi="Bookman Old Style" w:cs="Arial"/>
          <w:lang w:val="es-MX"/>
        </w:rPr>
      </w:pPr>
    </w:p>
    <w:p w14:paraId="36FD661F" w14:textId="754E2625" w:rsidR="00510B5C" w:rsidRDefault="00F979EC" w:rsidP="00E57F55">
      <w:pPr>
        <w:pStyle w:val="Textoindependiente"/>
        <w:ind w:left="284" w:right="142"/>
        <w:contextualSpacing/>
        <w:jc w:val="both"/>
        <w:rPr>
          <w:rFonts w:ascii="Bookman Old Style" w:hAnsi="Bookman Old Style"/>
          <w:b w:val="0"/>
          <w:bCs w:val="0"/>
          <w:iCs/>
        </w:rPr>
      </w:pPr>
      <w:r>
        <w:rPr>
          <w:rFonts w:ascii="Bookman Old Style" w:hAnsi="Bookman Old Style"/>
          <w:b w:val="0"/>
          <w:bCs w:val="0"/>
          <w:iCs/>
          <w:lang w:val="es-CO"/>
        </w:rPr>
        <w:t xml:space="preserve">El </w:t>
      </w:r>
      <w:r w:rsidRPr="00612E6B">
        <w:rPr>
          <w:rFonts w:ascii="Bookman Old Style" w:hAnsi="Bookman Old Style"/>
          <w:b w:val="0"/>
          <w:bCs w:val="0"/>
          <w:iCs/>
        </w:rPr>
        <w:t xml:space="preserve">artículo 118 </w:t>
      </w:r>
      <w:r w:rsidR="003433FF">
        <w:rPr>
          <w:rFonts w:ascii="Bookman Old Style" w:hAnsi="Bookman Old Style"/>
          <w:b w:val="0"/>
          <w:bCs w:val="0"/>
          <w:iCs/>
          <w:lang w:val="es-CO"/>
        </w:rPr>
        <w:t xml:space="preserve">de la Ley 142 </w:t>
      </w:r>
      <w:r w:rsidR="002F524F">
        <w:rPr>
          <w:rFonts w:ascii="Bookman Old Style" w:hAnsi="Bookman Old Style"/>
          <w:b w:val="0"/>
          <w:bCs w:val="0"/>
          <w:iCs/>
          <w:lang w:val="es-CO"/>
        </w:rPr>
        <w:t xml:space="preserve">de 1994 </w:t>
      </w:r>
      <w:r w:rsidR="009402C6">
        <w:rPr>
          <w:rFonts w:ascii="Bookman Old Style" w:hAnsi="Bookman Old Style"/>
          <w:b w:val="0"/>
          <w:bCs w:val="0"/>
          <w:iCs/>
          <w:lang w:val="es-CO"/>
        </w:rPr>
        <w:t xml:space="preserve">estableció </w:t>
      </w:r>
      <w:r w:rsidR="003433FF">
        <w:rPr>
          <w:rFonts w:ascii="Bookman Old Style" w:hAnsi="Bookman Old Style"/>
          <w:b w:val="0"/>
          <w:bCs w:val="0"/>
          <w:iCs/>
          <w:lang w:val="es-CO"/>
        </w:rPr>
        <w:t>que</w:t>
      </w:r>
      <w:r w:rsidR="000C3B68">
        <w:rPr>
          <w:rFonts w:ascii="Bookman Old Style" w:hAnsi="Bookman Old Style"/>
          <w:b w:val="0"/>
          <w:bCs w:val="0"/>
          <w:iCs/>
          <w:lang w:val="es-CO"/>
        </w:rPr>
        <w:t>,</w:t>
      </w:r>
      <w:r w:rsidR="003433FF">
        <w:rPr>
          <w:rFonts w:ascii="Bookman Old Style" w:hAnsi="Bookman Old Style"/>
          <w:b w:val="0"/>
          <w:bCs w:val="0"/>
          <w:iCs/>
          <w:lang w:val="es-CO"/>
        </w:rPr>
        <w:t xml:space="preserve"> dentro de la</w:t>
      </w:r>
      <w:r w:rsidR="00ED2B8C">
        <w:rPr>
          <w:rFonts w:ascii="Bookman Old Style" w:hAnsi="Bookman Old Style"/>
          <w:b w:val="0"/>
          <w:bCs w:val="0"/>
          <w:iCs/>
          <w:lang w:val="es-CO"/>
        </w:rPr>
        <w:t>s</w:t>
      </w:r>
      <w:r w:rsidR="003433FF">
        <w:rPr>
          <w:rFonts w:ascii="Bookman Old Style" w:hAnsi="Bookman Old Style"/>
          <w:b w:val="0"/>
          <w:bCs w:val="0"/>
          <w:iCs/>
          <w:lang w:val="es-CO"/>
        </w:rPr>
        <w:t xml:space="preserve"> entidades </w:t>
      </w:r>
      <w:r w:rsidR="007367DD">
        <w:rPr>
          <w:rFonts w:ascii="Bookman Old Style" w:hAnsi="Bookman Old Style"/>
          <w:b w:val="0"/>
          <w:bCs w:val="0"/>
          <w:iCs/>
          <w:lang w:val="es-CO"/>
        </w:rPr>
        <w:t xml:space="preserve">que </w:t>
      </w:r>
      <w:r w:rsidR="00C1632A">
        <w:rPr>
          <w:rFonts w:ascii="Bookman Old Style" w:hAnsi="Bookman Old Style"/>
          <w:b w:val="0"/>
          <w:bCs w:val="0"/>
          <w:iCs/>
          <w:lang w:val="es-CO"/>
        </w:rPr>
        <w:t xml:space="preserve">tienen </w:t>
      </w:r>
      <w:r w:rsidR="00612E6B" w:rsidRPr="00612E6B">
        <w:rPr>
          <w:rFonts w:ascii="Bookman Old Style" w:hAnsi="Bookman Old Style"/>
          <w:b w:val="0"/>
          <w:bCs w:val="0"/>
          <w:iCs/>
        </w:rPr>
        <w:t>facultades para imponer servidumbre</w:t>
      </w:r>
      <w:r w:rsidR="009402C6">
        <w:rPr>
          <w:rFonts w:ascii="Bookman Old Style" w:hAnsi="Bookman Old Style"/>
          <w:b w:val="0"/>
          <w:bCs w:val="0"/>
          <w:iCs/>
          <w:lang w:val="es-CO"/>
        </w:rPr>
        <w:t>s</w:t>
      </w:r>
      <w:r w:rsidR="00612E6B" w:rsidRPr="00612E6B">
        <w:rPr>
          <w:rFonts w:ascii="Bookman Old Style" w:hAnsi="Bookman Old Style"/>
          <w:b w:val="0"/>
          <w:bCs w:val="0"/>
          <w:iCs/>
        </w:rPr>
        <w:t xml:space="preserve"> por acto administrativo</w:t>
      </w:r>
      <w:r w:rsidR="000C3B68">
        <w:rPr>
          <w:rFonts w:ascii="Bookman Old Style" w:hAnsi="Bookman Old Style"/>
          <w:b w:val="0"/>
          <w:bCs w:val="0"/>
          <w:iCs/>
          <w:lang w:val="es-ES"/>
        </w:rPr>
        <w:t>,</w:t>
      </w:r>
      <w:r w:rsidR="00612E6B" w:rsidRPr="00612E6B">
        <w:rPr>
          <w:rFonts w:ascii="Bookman Old Style" w:hAnsi="Bookman Old Style"/>
          <w:b w:val="0"/>
          <w:bCs w:val="0"/>
          <w:iCs/>
        </w:rPr>
        <w:t xml:space="preserve"> </w:t>
      </w:r>
      <w:r w:rsidR="009402C6">
        <w:rPr>
          <w:rFonts w:ascii="Bookman Old Style" w:hAnsi="Bookman Old Style"/>
          <w:b w:val="0"/>
          <w:bCs w:val="0"/>
          <w:iCs/>
          <w:lang w:val="es-CO"/>
        </w:rPr>
        <w:t xml:space="preserve">están </w:t>
      </w:r>
      <w:r w:rsidR="00612E6B" w:rsidRPr="00612E6B">
        <w:rPr>
          <w:rFonts w:ascii="Bookman Old Style" w:hAnsi="Bookman Old Style"/>
          <w:b w:val="0"/>
          <w:bCs w:val="0"/>
          <w:iCs/>
        </w:rPr>
        <w:t>las comisiones de regulación.</w:t>
      </w:r>
    </w:p>
    <w:p w14:paraId="03DDF088" w14:textId="77777777" w:rsidR="009A7045" w:rsidRPr="00091B2F" w:rsidRDefault="009A7045" w:rsidP="00E57F55">
      <w:pPr>
        <w:pStyle w:val="Textoindependiente"/>
        <w:ind w:left="284" w:right="142"/>
        <w:contextualSpacing/>
        <w:jc w:val="both"/>
        <w:rPr>
          <w:rFonts w:ascii="Bookman Old Style" w:hAnsi="Bookman Old Style"/>
          <w:b w:val="0"/>
          <w:bCs w:val="0"/>
          <w:iCs/>
        </w:rPr>
      </w:pPr>
    </w:p>
    <w:p w14:paraId="2F21A4AF" w14:textId="77696CF8" w:rsidR="007E4DE5" w:rsidRPr="00091B2F" w:rsidRDefault="007E4DE5" w:rsidP="00091B2F">
      <w:pPr>
        <w:pStyle w:val="Textoindependiente"/>
        <w:ind w:left="284" w:right="142"/>
        <w:contextualSpacing/>
        <w:jc w:val="both"/>
        <w:rPr>
          <w:rFonts w:ascii="Bookman Old Style" w:eastAsia="MS Mincho" w:hAnsi="Bookman Old Style"/>
          <w:b w:val="0"/>
          <w:bCs w:val="0"/>
        </w:rPr>
      </w:pPr>
      <w:r w:rsidRPr="00091B2F">
        <w:rPr>
          <w:rFonts w:ascii="Bookman Old Style" w:hAnsi="Bookman Old Style"/>
          <w:b w:val="0"/>
          <w:bCs w:val="0"/>
          <w:iCs/>
          <w:lang w:val="es-CO"/>
        </w:rPr>
        <w:t>E</w:t>
      </w:r>
      <w:r w:rsidR="008849A6" w:rsidRPr="00091B2F">
        <w:rPr>
          <w:rFonts w:ascii="Bookman Old Style" w:hAnsi="Bookman Old Style"/>
          <w:b w:val="0"/>
          <w:bCs w:val="0"/>
          <w:iCs/>
          <w:lang w:val="es-CO"/>
        </w:rPr>
        <w:t>l artículo</w:t>
      </w:r>
      <w:r w:rsidRPr="00091B2F">
        <w:rPr>
          <w:rFonts w:ascii="Bookman Old Style" w:hAnsi="Bookman Old Style"/>
          <w:b w:val="0"/>
          <w:bCs w:val="0"/>
          <w:iCs/>
          <w:lang w:val="es-CO"/>
        </w:rPr>
        <w:t xml:space="preserve"> </w:t>
      </w:r>
      <w:r w:rsidRPr="00091B2F">
        <w:rPr>
          <w:rFonts w:ascii="Bookman Old Style" w:eastAsia="MS Mincho" w:hAnsi="Bookman Old Style"/>
          <w:b w:val="0"/>
          <w:bCs w:val="0"/>
        </w:rPr>
        <w:t xml:space="preserve">120 de la ley 142 de 1994, </w:t>
      </w:r>
      <w:r w:rsidR="00091B2F">
        <w:rPr>
          <w:rFonts w:ascii="Bookman Old Style" w:eastAsia="MS Mincho" w:hAnsi="Bookman Old Style"/>
          <w:b w:val="0"/>
          <w:bCs w:val="0"/>
          <w:lang w:val="es-CO"/>
        </w:rPr>
        <w:t>r</w:t>
      </w:r>
      <w:r w:rsidR="00091B2F" w:rsidRPr="00091B2F">
        <w:rPr>
          <w:rFonts w:ascii="Bookman Old Style" w:eastAsia="MS Mincho" w:hAnsi="Bookman Old Style"/>
          <w:b w:val="0"/>
          <w:bCs w:val="0"/>
        </w:rPr>
        <w:t xml:space="preserve">especto de </w:t>
      </w:r>
      <w:r w:rsidR="00D6301A">
        <w:rPr>
          <w:rFonts w:ascii="Bookman Old Style" w:eastAsia="MS Mincho" w:hAnsi="Bookman Old Style"/>
          <w:b w:val="0"/>
          <w:bCs w:val="0"/>
          <w:lang w:val="es-CO"/>
        </w:rPr>
        <w:t xml:space="preserve">las </w:t>
      </w:r>
      <w:r w:rsidR="00091B2F" w:rsidRPr="00091B2F">
        <w:rPr>
          <w:rFonts w:ascii="Bookman Old Style" w:eastAsia="MS Mincho" w:hAnsi="Bookman Old Style"/>
          <w:b w:val="0"/>
          <w:bCs w:val="0"/>
        </w:rPr>
        <w:t>servidumbre</w:t>
      </w:r>
      <w:r w:rsidR="00091B2F">
        <w:rPr>
          <w:rFonts w:ascii="Bookman Old Style" w:eastAsia="MS Mincho" w:hAnsi="Bookman Old Style"/>
          <w:b w:val="0"/>
          <w:bCs w:val="0"/>
          <w:lang w:val="es-CO"/>
        </w:rPr>
        <w:t>s</w:t>
      </w:r>
      <w:r w:rsidR="006F302A">
        <w:rPr>
          <w:rFonts w:ascii="Bookman Old Style" w:eastAsia="MS Mincho" w:hAnsi="Bookman Old Style"/>
          <w:b w:val="0"/>
          <w:bCs w:val="0"/>
          <w:lang w:val="es-CO"/>
        </w:rPr>
        <w:t>,</w:t>
      </w:r>
      <w:r w:rsidR="00091B2F" w:rsidRPr="00091B2F">
        <w:rPr>
          <w:rFonts w:ascii="Bookman Old Style" w:eastAsia="MS Mincho" w:hAnsi="Bookman Old Style"/>
          <w:b w:val="0"/>
          <w:bCs w:val="0"/>
        </w:rPr>
        <w:t xml:space="preserve"> </w:t>
      </w:r>
      <w:r w:rsidRPr="00091B2F">
        <w:rPr>
          <w:rFonts w:ascii="Bookman Old Style" w:eastAsia="MS Mincho" w:hAnsi="Bookman Old Style"/>
          <w:b w:val="0"/>
          <w:bCs w:val="0"/>
        </w:rPr>
        <w:t>establec</w:t>
      </w:r>
      <w:r w:rsidR="00D6301A">
        <w:rPr>
          <w:rFonts w:ascii="Bookman Old Style" w:eastAsia="MS Mincho" w:hAnsi="Bookman Old Style"/>
          <w:b w:val="0"/>
          <w:bCs w:val="0"/>
          <w:lang w:val="es-CO"/>
        </w:rPr>
        <w:t xml:space="preserve">ió que estas </w:t>
      </w:r>
      <w:r w:rsidR="00D6301A" w:rsidRPr="00D6301A">
        <w:rPr>
          <w:rFonts w:ascii="Bookman Old Style" w:eastAsia="MS Mincho" w:hAnsi="Bookman Old Style"/>
          <w:b w:val="0"/>
          <w:bCs w:val="0"/>
          <w:lang w:val="es-CO"/>
        </w:rPr>
        <w:t>se extinguen por las causas previstas en el Código Civil; o por suspenderse su uso por dos años; o si los bienes sobre los cuales recae se hallan en tal estado que no sea posible usar de ellos durante el mismo lapso; o por prescripción de igual plazo; o por el decaimiento a que se refiere el artículo 66 del Código Contencioso Administrativo, si provinieren de acto administrativo.</w:t>
      </w:r>
    </w:p>
    <w:p w14:paraId="38B7AA7C" w14:textId="456F4755" w:rsidR="007E4DE5" w:rsidRPr="00091B2F" w:rsidRDefault="007E4DE5" w:rsidP="007E4DE5">
      <w:pPr>
        <w:pStyle w:val="Textoindependiente21"/>
        <w:spacing w:line="259" w:lineRule="auto"/>
        <w:ind w:left="284"/>
        <w:rPr>
          <w:rFonts w:ascii="Bookman Old Style" w:eastAsia="MS Mincho" w:hAnsi="Bookman Old Style"/>
          <w:sz w:val="24"/>
          <w:szCs w:val="24"/>
          <w:lang w:val="es-ES"/>
        </w:rPr>
      </w:pPr>
    </w:p>
    <w:p w14:paraId="68252922" w14:textId="580B0D11" w:rsidR="007E4DE5" w:rsidRPr="00601245" w:rsidRDefault="00D93972" w:rsidP="007E4DE5">
      <w:pPr>
        <w:pStyle w:val="Textoindependiente21"/>
        <w:spacing w:line="259" w:lineRule="auto"/>
        <w:ind w:left="284"/>
        <w:rPr>
          <w:rFonts w:ascii="Bookman Old Style" w:eastAsia="MS Mincho" w:hAnsi="Bookman Old Style"/>
          <w:sz w:val="24"/>
          <w:szCs w:val="24"/>
          <w:lang w:val="es-ES"/>
        </w:rPr>
      </w:pPr>
      <w:r>
        <w:rPr>
          <w:rFonts w:ascii="Bookman Old Style" w:eastAsia="MS Mincho" w:hAnsi="Bookman Old Style"/>
          <w:sz w:val="24"/>
          <w:szCs w:val="24"/>
          <w:lang w:val="es-CO"/>
        </w:rPr>
        <w:t>Adicionalmente, e</w:t>
      </w:r>
      <w:r w:rsidR="007E4DE5" w:rsidRPr="00601245">
        <w:rPr>
          <w:rFonts w:ascii="Bookman Old Style" w:eastAsia="MS Mincho" w:hAnsi="Bookman Old Style"/>
          <w:sz w:val="24"/>
          <w:szCs w:val="24"/>
          <w:lang w:val="es-ES"/>
        </w:rPr>
        <w:t xml:space="preserve">l </w:t>
      </w:r>
      <w:r>
        <w:rPr>
          <w:rFonts w:ascii="Bookman Old Style" w:eastAsia="MS Mincho" w:hAnsi="Bookman Old Style"/>
          <w:sz w:val="24"/>
          <w:szCs w:val="24"/>
          <w:lang w:val="es-ES"/>
        </w:rPr>
        <w:t>a</w:t>
      </w:r>
      <w:r w:rsidR="007E4DE5" w:rsidRPr="00601245">
        <w:rPr>
          <w:rFonts w:ascii="Bookman Old Style" w:eastAsia="MS Mincho" w:hAnsi="Bookman Old Style"/>
          <w:sz w:val="24"/>
          <w:szCs w:val="24"/>
          <w:lang w:val="es-ES"/>
        </w:rPr>
        <w:t>rtículo 942 del Código Civil</w:t>
      </w:r>
      <w:r w:rsidR="00EF0CF1">
        <w:rPr>
          <w:rFonts w:ascii="Bookman Old Style" w:eastAsia="MS Mincho" w:hAnsi="Bookman Old Style"/>
          <w:sz w:val="24"/>
          <w:szCs w:val="24"/>
          <w:lang w:val="es-ES"/>
        </w:rPr>
        <w:t>, señala</w:t>
      </w:r>
      <w:r w:rsidR="007E4DE5" w:rsidRPr="00601245">
        <w:rPr>
          <w:rFonts w:ascii="Bookman Old Style" w:eastAsia="MS Mincho" w:hAnsi="Bookman Old Style"/>
          <w:sz w:val="24"/>
          <w:szCs w:val="24"/>
          <w:lang w:val="es-ES"/>
        </w:rPr>
        <w:t xml:space="preserve">: </w:t>
      </w:r>
    </w:p>
    <w:p w14:paraId="74A7E01B" w14:textId="77777777" w:rsidR="007E4DE5" w:rsidRPr="00224B96" w:rsidRDefault="007E4DE5" w:rsidP="007E4DE5">
      <w:pPr>
        <w:pStyle w:val="Textoindependiente21"/>
        <w:spacing w:line="259" w:lineRule="auto"/>
        <w:ind w:left="284"/>
        <w:rPr>
          <w:rFonts w:ascii="Bookman Old Style" w:eastAsia="MS Mincho" w:hAnsi="Bookman Old Style"/>
          <w:sz w:val="24"/>
          <w:szCs w:val="24"/>
          <w:highlight w:val="yellow"/>
          <w:lang w:val="es-ES"/>
        </w:rPr>
      </w:pPr>
    </w:p>
    <w:p w14:paraId="674D5515"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Pr>
          <w:rFonts w:ascii="Bookman Old Style" w:eastAsia="MS Mincho" w:hAnsi="Bookman Old Style"/>
          <w:i/>
          <w:iCs/>
          <w:sz w:val="20"/>
          <w:lang w:val="es-ES"/>
        </w:rPr>
        <w:t>“</w:t>
      </w:r>
      <w:r w:rsidRPr="005B5F7D">
        <w:rPr>
          <w:rFonts w:ascii="Bookman Old Style" w:eastAsia="MS Mincho" w:hAnsi="Bookman Old Style"/>
          <w:i/>
          <w:iCs/>
          <w:sz w:val="20"/>
          <w:lang w:val="es-ES"/>
        </w:rPr>
        <w:t>ARTICULO 942. EXTINCION DE LAS SERVIDUMBRES. Las servidumbres se extinguen:</w:t>
      </w:r>
    </w:p>
    <w:p w14:paraId="1CC5E86A"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6F71DF8E"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sidRPr="005B5F7D">
        <w:rPr>
          <w:rFonts w:ascii="Bookman Old Style" w:eastAsia="MS Mincho" w:hAnsi="Bookman Old Style"/>
          <w:i/>
          <w:iCs/>
          <w:sz w:val="20"/>
          <w:lang w:val="es-ES"/>
        </w:rPr>
        <w:t>1o.) Por la resolución del derecho del que las ha constituido.</w:t>
      </w:r>
    </w:p>
    <w:p w14:paraId="7E9A3B80"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7DE99382"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sidRPr="005B5F7D">
        <w:rPr>
          <w:rFonts w:ascii="Bookman Old Style" w:eastAsia="MS Mincho" w:hAnsi="Bookman Old Style"/>
          <w:i/>
          <w:iCs/>
          <w:sz w:val="20"/>
          <w:lang w:val="es-ES"/>
        </w:rPr>
        <w:t>2o.) Por la llegada del día o de la condición, si se ha establecido de uno de estos modos.</w:t>
      </w:r>
    </w:p>
    <w:p w14:paraId="04CCE5BB"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4395E204"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sidRPr="005B5F7D">
        <w:rPr>
          <w:rFonts w:ascii="Bookman Old Style" w:eastAsia="MS Mincho" w:hAnsi="Bookman Old Style"/>
          <w:i/>
          <w:iCs/>
          <w:sz w:val="20"/>
          <w:lang w:val="es-ES"/>
        </w:rPr>
        <w:t>3o.) Por la confusión, o sea la reunión perfecta e irrevocable de ambos predios en manos de un mismo dueño.</w:t>
      </w:r>
    </w:p>
    <w:p w14:paraId="680C9E4C"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4721CA90"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sidRPr="005B5F7D">
        <w:rPr>
          <w:rFonts w:ascii="Bookman Old Style" w:eastAsia="MS Mincho" w:hAnsi="Bookman Old Style"/>
          <w:i/>
          <w:iCs/>
          <w:sz w:val="20"/>
          <w:lang w:val="es-ES"/>
        </w:rPr>
        <w:lastRenderedPageBreak/>
        <w:t>Así, cuando el dueño de uno de ellos compra el otro, perece la servidumbre, y si por una venta se separan, no revive; salvo el caso del artículo 938; por el contrario, si la sociedad conyugal adquiere una heredad que debe servidumbre a otra heredad del uno de los dos cónyuges, no habrá confusión sino cuando, disuelta la sociedad, se adjudiquen ambas heredades a una misma persona.</w:t>
      </w:r>
    </w:p>
    <w:p w14:paraId="7664C0F0"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124AB419"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sidRPr="005B5F7D">
        <w:rPr>
          <w:rFonts w:ascii="Bookman Old Style" w:eastAsia="MS Mincho" w:hAnsi="Bookman Old Style"/>
          <w:i/>
          <w:iCs/>
          <w:sz w:val="20"/>
          <w:lang w:val="es-ES"/>
        </w:rPr>
        <w:t>4o.) Por la renuncia del dueño del predio dominante.</w:t>
      </w:r>
    </w:p>
    <w:p w14:paraId="56EBCEC4"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2F680B13"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r w:rsidRPr="005B5F7D">
        <w:rPr>
          <w:rFonts w:ascii="Bookman Old Style" w:eastAsia="MS Mincho" w:hAnsi="Bookman Old Style"/>
          <w:i/>
          <w:iCs/>
          <w:sz w:val="20"/>
          <w:lang w:val="es-ES"/>
        </w:rPr>
        <w:t>5o.) Por haberse dejado de gozar durante veinte años.</w:t>
      </w:r>
    </w:p>
    <w:p w14:paraId="457D9186" w14:textId="77777777" w:rsidR="007E4DE5" w:rsidRPr="005B5F7D" w:rsidRDefault="007E4DE5" w:rsidP="007E4DE5">
      <w:pPr>
        <w:pStyle w:val="Textoindependiente21"/>
        <w:spacing w:line="259" w:lineRule="auto"/>
        <w:ind w:left="708"/>
        <w:rPr>
          <w:rFonts w:ascii="Bookman Old Style" w:eastAsia="MS Mincho" w:hAnsi="Bookman Old Style"/>
          <w:i/>
          <w:iCs/>
          <w:sz w:val="20"/>
          <w:lang w:val="es-ES"/>
        </w:rPr>
      </w:pPr>
    </w:p>
    <w:p w14:paraId="7D448F4D" w14:textId="77777777" w:rsidR="007E4DE5" w:rsidRPr="005B5F7D" w:rsidRDefault="007E4DE5" w:rsidP="007E4DE5">
      <w:pPr>
        <w:pStyle w:val="Textoindependiente21"/>
        <w:spacing w:line="259" w:lineRule="auto"/>
        <w:ind w:left="708"/>
        <w:rPr>
          <w:rFonts w:ascii="Bookman Old Style" w:eastAsia="MS Mincho" w:hAnsi="Bookman Old Style"/>
          <w:i/>
          <w:iCs/>
          <w:sz w:val="20"/>
          <w:highlight w:val="yellow"/>
          <w:lang w:val="es-ES"/>
        </w:rPr>
      </w:pPr>
      <w:r w:rsidRPr="005B5F7D">
        <w:rPr>
          <w:rFonts w:ascii="Bookman Old Style" w:eastAsia="MS Mincho" w:hAnsi="Bookman Old Style"/>
          <w:i/>
          <w:iCs/>
          <w:sz w:val="20"/>
          <w:lang w:val="es-ES"/>
        </w:rPr>
        <w:t>En las servidumbres discontinuas corre el tiempo desde que han dejado de gozarse; en las continuas, desde que se haya ejecutado un acto contrario a la servidumbre.</w:t>
      </w:r>
      <w:r>
        <w:rPr>
          <w:rFonts w:ascii="Bookman Old Style" w:eastAsia="MS Mincho" w:hAnsi="Bookman Old Style"/>
          <w:i/>
          <w:iCs/>
          <w:sz w:val="20"/>
          <w:lang w:val="es-ES"/>
        </w:rPr>
        <w:t>”</w:t>
      </w:r>
    </w:p>
    <w:p w14:paraId="47A1635D" w14:textId="77777777" w:rsidR="007E4DE5" w:rsidRPr="0086458B" w:rsidRDefault="007E4DE5" w:rsidP="00E57F55">
      <w:pPr>
        <w:pStyle w:val="Textoindependiente"/>
        <w:ind w:left="284" w:right="142"/>
        <w:contextualSpacing/>
        <w:jc w:val="both"/>
        <w:rPr>
          <w:rFonts w:ascii="Bookman Old Style" w:hAnsi="Bookman Old Style"/>
          <w:b w:val="0"/>
          <w:bCs w:val="0"/>
          <w:iCs/>
        </w:rPr>
      </w:pPr>
    </w:p>
    <w:p w14:paraId="6792B2CC" w14:textId="77777777" w:rsidR="00727040" w:rsidRPr="0086458B" w:rsidRDefault="00727040" w:rsidP="00E57F55">
      <w:pPr>
        <w:pStyle w:val="Textoindependiente"/>
        <w:ind w:left="284" w:right="142"/>
        <w:contextualSpacing/>
        <w:jc w:val="both"/>
        <w:rPr>
          <w:rFonts w:ascii="Bookman Old Style" w:hAnsi="Bookman Old Style"/>
          <w:b w:val="0"/>
          <w:bCs w:val="0"/>
          <w:iCs/>
        </w:rPr>
      </w:pPr>
      <w:r w:rsidRPr="0086458B">
        <w:rPr>
          <w:rFonts w:ascii="Bookman Old Style" w:hAnsi="Bookman Old Style"/>
          <w:b w:val="0"/>
          <w:bCs w:val="0"/>
          <w:iCs/>
        </w:rPr>
        <w:t xml:space="preserve">De acuerdo con lo previsto en el </w:t>
      </w:r>
      <w:r w:rsidR="00941D3F" w:rsidRPr="0086458B">
        <w:rPr>
          <w:rFonts w:ascii="Bookman Old Style" w:hAnsi="Bookman Old Style"/>
          <w:b w:val="0"/>
          <w:bCs w:val="0"/>
          <w:iCs/>
        </w:rPr>
        <w:t>literal e)</w:t>
      </w:r>
      <w:r w:rsidR="00941D3F" w:rsidRPr="0086458B">
        <w:rPr>
          <w:rFonts w:ascii="Bookman Old Style" w:hAnsi="Bookman Old Style"/>
          <w:b w:val="0"/>
          <w:bCs w:val="0"/>
          <w:iCs/>
          <w:lang w:val="es-MX"/>
        </w:rPr>
        <w:t xml:space="preserve"> del</w:t>
      </w:r>
      <w:r w:rsidR="00941D3F" w:rsidRPr="0086458B">
        <w:rPr>
          <w:rFonts w:ascii="Bookman Old Style" w:hAnsi="Bookman Old Style"/>
          <w:b w:val="0"/>
          <w:bCs w:val="0"/>
          <w:iCs/>
        </w:rPr>
        <w:t xml:space="preserve"> artículo 23 de </w:t>
      </w:r>
      <w:r w:rsidRPr="0086458B">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14:paraId="76AE871D" w14:textId="77777777" w:rsidR="00565118" w:rsidRPr="0086458B" w:rsidRDefault="00565118" w:rsidP="00E57F55">
      <w:pPr>
        <w:pStyle w:val="Textoindependiente"/>
        <w:ind w:left="284" w:right="142"/>
        <w:contextualSpacing/>
        <w:jc w:val="both"/>
        <w:rPr>
          <w:rFonts w:ascii="Bookman Old Style" w:hAnsi="Bookman Old Style"/>
          <w:b w:val="0"/>
          <w:bCs w:val="0"/>
          <w:iCs/>
        </w:rPr>
      </w:pPr>
    </w:p>
    <w:p w14:paraId="7B32EB41" w14:textId="016E134B" w:rsidR="00060FD4" w:rsidRDefault="009B5A32" w:rsidP="00E57F55">
      <w:pPr>
        <w:pStyle w:val="Textoindependiente"/>
        <w:ind w:left="284" w:right="142"/>
        <w:contextualSpacing/>
        <w:jc w:val="both"/>
        <w:rPr>
          <w:rFonts w:ascii="Bookman Old Style" w:eastAsia="Calibri" w:hAnsi="Bookman Old Style"/>
          <w:b w:val="0"/>
          <w:color w:val="000000"/>
        </w:rPr>
      </w:pPr>
      <w:r w:rsidRPr="0086458B">
        <w:rPr>
          <w:rFonts w:ascii="Bookman Old Style" w:hAnsi="Bookman Old Style"/>
          <w:b w:val="0"/>
          <w:bCs w:val="0"/>
        </w:rPr>
        <w:t>La Comisión de Regulación de Energía y Gas</w:t>
      </w:r>
      <w:r w:rsidR="004D35F8">
        <w:rPr>
          <w:rFonts w:ascii="Bookman Old Style" w:hAnsi="Bookman Old Style"/>
          <w:b w:val="0"/>
          <w:bCs w:val="0"/>
          <w:lang w:val="es-CO"/>
        </w:rPr>
        <w:t xml:space="preserve">, </w:t>
      </w:r>
      <w:r w:rsidRPr="0086458B">
        <w:rPr>
          <w:rFonts w:ascii="Bookman Old Style" w:hAnsi="Bookman Old Style"/>
          <w:b w:val="0"/>
          <w:bCs w:val="0"/>
        </w:rPr>
        <w:t>CREG, mediante la Resolución CREG 091 de 2007 estableció las metodologías generales para remunerar las actividades de generación, distribución y comercialización de energía eléctrica, y las fórmulas tarifarias generales para determinar el costo unitario de prestación del servicio p</w:t>
      </w:r>
      <w:r w:rsidR="00F0393C" w:rsidRPr="0086458B">
        <w:rPr>
          <w:rFonts w:ascii="Bookman Old Style" w:hAnsi="Bookman Old Style"/>
          <w:b w:val="0"/>
          <w:bCs w:val="0"/>
        </w:rPr>
        <w:t xml:space="preserve">úblico de energía eléctrica en </w:t>
      </w:r>
      <w:r w:rsidR="00F760A0" w:rsidRPr="0086458B">
        <w:rPr>
          <w:rFonts w:ascii="Bookman Old Style" w:hAnsi="Bookman Old Style"/>
          <w:b w:val="0"/>
          <w:bCs w:val="0"/>
          <w:lang w:val="es-CO"/>
        </w:rPr>
        <w:t xml:space="preserve">Zonas </w:t>
      </w:r>
      <w:r w:rsidR="00C21AD5" w:rsidRPr="0086458B">
        <w:rPr>
          <w:rFonts w:ascii="Bookman Old Style" w:hAnsi="Bookman Old Style"/>
          <w:b w:val="0"/>
          <w:bCs w:val="0"/>
          <w:lang w:val="es-CO"/>
        </w:rPr>
        <w:t>N</w:t>
      </w:r>
      <w:r w:rsidR="00C21AD5" w:rsidRPr="0086458B">
        <w:rPr>
          <w:rFonts w:ascii="Bookman Old Style" w:hAnsi="Bookman Old Style"/>
          <w:b w:val="0"/>
          <w:bCs w:val="0"/>
        </w:rPr>
        <w:t xml:space="preserve">o </w:t>
      </w:r>
      <w:r w:rsidR="00F760A0" w:rsidRPr="0086458B">
        <w:rPr>
          <w:rFonts w:ascii="Bookman Old Style" w:hAnsi="Bookman Old Style"/>
          <w:b w:val="0"/>
          <w:bCs w:val="0"/>
          <w:lang w:val="es-CO"/>
        </w:rPr>
        <w:t>Interconectadas</w:t>
      </w:r>
      <w:r w:rsidRPr="0086458B">
        <w:rPr>
          <w:rFonts w:ascii="Bookman Old Style" w:hAnsi="Bookman Old Style"/>
          <w:b w:val="0"/>
          <w:bCs w:val="0"/>
          <w:i/>
          <w:iCs/>
        </w:rPr>
        <w:t>.</w:t>
      </w:r>
      <w:r w:rsidRPr="0086458B">
        <w:rPr>
          <w:rFonts w:ascii="Bookman Old Style" w:hAnsi="Bookman Old Style"/>
          <w:b w:val="0"/>
          <w:bCs w:val="0"/>
          <w:i/>
          <w:iCs/>
          <w:lang w:val="es-CO"/>
        </w:rPr>
        <w:t xml:space="preserve"> </w:t>
      </w:r>
      <w:r w:rsidR="00370BFA" w:rsidRPr="0086458B">
        <w:rPr>
          <w:rFonts w:ascii="Bookman Old Style" w:eastAsia="Calibri" w:hAnsi="Bookman Old Style"/>
          <w:b w:val="0"/>
          <w:bCs w:val="0"/>
          <w:color w:val="000000" w:themeColor="text1"/>
          <w:lang w:val="es-MX"/>
        </w:rPr>
        <w:t xml:space="preserve">La precitada resolución </w:t>
      </w:r>
      <w:r w:rsidR="0047432C" w:rsidRPr="0086458B">
        <w:rPr>
          <w:rFonts w:ascii="Bookman Old Style" w:eastAsia="Calibri" w:hAnsi="Bookman Old Style"/>
          <w:b w:val="0"/>
          <w:bCs w:val="0"/>
          <w:color w:val="000000" w:themeColor="text1"/>
        </w:rPr>
        <w:t xml:space="preserve">fue publicada </w:t>
      </w:r>
      <w:r w:rsidR="000B23C4" w:rsidRPr="0086458B">
        <w:rPr>
          <w:rFonts w:ascii="Bookman Old Style" w:eastAsia="Calibri" w:hAnsi="Bookman Old Style"/>
          <w:b w:val="0"/>
          <w:bCs w:val="0"/>
          <w:color w:val="000000" w:themeColor="text1"/>
        </w:rPr>
        <w:t xml:space="preserve">en el Diario Oficial </w:t>
      </w:r>
      <w:r w:rsidR="0047432C" w:rsidRPr="0086458B">
        <w:rPr>
          <w:rFonts w:ascii="Bookman Old Style" w:eastAsia="Calibri" w:hAnsi="Bookman Old Style"/>
          <w:b w:val="0"/>
          <w:bCs w:val="0"/>
          <w:color w:val="000000" w:themeColor="text1"/>
        </w:rPr>
        <w:t>el 24 de enero de 2008</w:t>
      </w:r>
      <w:r w:rsidR="00C21AD5" w:rsidRPr="0086458B">
        <w:rPr>
          <w:rFonts w:ascii="Bookman Old Style" w:eastAsia="Calibri" w:hAnsi="Bookman Old Style"/>
          <w:b w:val="0"/>
          <w:bCs w:val="0"/>
          <w:color w:val="000000" w:themeColor="text1"/>
          <w:lang w:val="es-CO"/>
        </w:rPr>
        <w:t>,</w:t>
      </w:r>
      <w:r w:rsidR="0047432C" w:rsidRPr="0086458B">
        <w:rPr>
          <w:rFonts w:ascii="Bookman Old Style" w:eastAsia="Calibri" w:hAnsi="Bookman Old Style"/>
          <w:b w:val="0"/>
          <w:bCs w:val="0"/>
          <w:color w:val="000000" w:themeColor="text1"/>
        </w:rPr>
        <w:t xml:space="preserve"> y quedó en firme el 31 de enero de 2008.</w:t>
      </w:r>
    </w:p>
    <w:p w14:paraId="17620218" w14:textId="77777777" w:rsidR="00601245" w:rsidRDefault="00601245" w:rsidP="00E57F55">
      <w:pPr>
        <w:pStyle w:val="Textoindependiente"/>
        <w:ind w:left="284" w:right="142"/>
        <w:contextualSpacing/>
        <w:jc w:val="both"/>
        <w:rPr>
          <w:rFonts w:ascii="Bookman Old Style" w:eastAsia="Calibri" w:hAnsi="Bookman Old Style"/>
          <w:b w:val="0"/>
          <w:bCs w:val="0"/>
          <w:color w:val="000000"/>
        </w:rPr>
      </w:pPr>
    </w:p>
    <w:p w14:paraId="41E332B1" w14:textId="6F702901" w:rsidR="00556AE6" w:rsidRPr="00175F22" w:rsidRDefault="006F068C" w:rsidP="009A7318">
      <w:pPr>
        <w:pStyle w:val="Ttulo1"/>
        <w:ind w:left="284"/>
        <w:jc w:val="both"/>
        <w:rPr>
          <w:rFonts w:eastAsia="Calibri" w:cs="Calibri"/>
          <w:b w:val="0"/>
          <w:bCs/>
        </w:rPr>
      </w:pPr>
      <w:r>
        <w:t>2</w:t>
      </w:r>
      <w:r w:rsidR="00E466E1" w:rsidRPr="0ECC7FE6">
        <w:rPr>
          <w:rFonts w:cs="Arial"/>
        </w:rPr>
        <w:t xml:space="preserve">. ACTUACION </w:t>
      </w:r>
      <w:r w:rsidR="004F39F5" w:rsidRPr="0ECC7FE6">
        <w:rPr>
          <w:rFonts w:cs="Arial"/>
        </w:rPr>
        <w:t xml:space="preserve">DE </w:t>
      </w:r>
      <w:r w:rsidR="00C81EDF" w:rsidRPr="0ECC7FE6">
        <w:rPr>
          <w:rFonts w:cs="Arial"/>
        </w:rPr>
        <w:t>DUE CAPITA</w:t>
      </w:r>
      <w:r w:rsidR="00760161" w:rsidRPr="0ECC7FE6">
        <w:rPr>
          <w:rFonts w:cs="Arial"/>
        </w:rPr>
        <w:t>L AND SERVICES S.A.S. DE MANERA PREVIA A LA RADICACION DE LA SOLICITUD DE IMPOSICION DE SERVIDUMBTE DE CONEXION ANTE LA COMISION</w:t>
      </w:r>
    </w:p>
    <w:p w14:paraId="7F0261D9" w14:textId="77777777" w:rsidR="00B81381" w:rsidRPr="00175F22" w:rsidRDefault="00B81381" w:rsidP="00E57F55">
      <w:pPr>
        <w:pStyle w:val="Style2"/>
        <w:spacing w:before="0" w:line="240" w:lineRule="auto"/>
        <w:ind w:left="284" w:right="51" w:firstLine="0"/>
        <w:contextualSpacing/>
        <w:jc w:val="both"/>
        <w:rPr>
          <w:rFonts w:ascii="Bookman Old Style" w:hAnsi="Bookman Old Style"/>
          <w:sz w:val="24"/>
          <w:szCs w:val="24"/>
          <w:lang w:val="es-CO"/>
        </w:rPr>
      </w:pPr>
    </w:p>
    <w:p w14:paraId="0A472AE8" w14:textId="31C687FE" w:rsidR="00736891" w:rsidRPr="00736891" w:rsidRDefault="002A2436" w:rsidP="00E57F55">
      <w:pPr>
        <w:pStyle w:val="Style2"/>
        <w:spacing w:before="0" w:line="240" w:lineRule="auto"/>
        <w:ind w:left="284" w:right="51" w:firstLine="0"/>
        <w:contextualSpacing/>
        <w:jc w:val="both"/>
        <w:rPr>
          <w:rFonts w:ascii="Bookman Old Style" w:hAnsi="Bookman Old Style"/>
          <w:sz w:val="24"/>
          <w:szCs w:val="24"/>
        </w:rPr>
      </w:pPr>
      <w:r>
        <w:rPr>
          <w:rFonts w:ascii="Bookman Old Style" w:hAnsi="Bookman Old Style"/>
          <w:sz w:val="24"/>
          <w:szCs w:val="24"/>
          <w:lang w:val="es-CO"/>
        </w:rPr>
        <w:t xml:space="preserve">La empresa </w:t>
      </w:r>
      <w:r w:rsidR="0083705A" w:rsidRPr="00E12715">
        <w:rPr>
          <w:rFonts w:ascii="Bookman Old Style" w:hAnsi="Bookman Old Style"/>
          <w:sz w:val="24"/>
          <w:szCs w:val="24"/>
          <w:lang w:val="es-CO"/>
        </w:rPr>
        <w:t>DUE CAPITAL AND SERVICES</w:t>
      </w:r>
      <w:r w:rsidR="00847C7D" w:rsidRPr="00E12715">
        <w:rPr>
          <w:rFonts w:ascii="Bookman Old Style" w:hAnsi="Bookman Old Style"/>
          <w:sz w:val="24"/>
          <w:szCs w:val="24"/>
          <w:lang w:val="es-CO"/>
        </w:rPr>
        <w:t xml:space="preserve"> S</w:t>
      </w:r>
      <w:r w:rsidR="00E12715" w:rsidRPr="00E12715">
        <w:rPr>
          <w:rFonts w:ascii="Bookman Old Style" w:hAnsi="Bookman Old Style"/>
          <w:sz w:val="24"/>
          <w:szCs w:val="24"/>
          <w:lang w:val="es-CO"/>
        </w:rPr>
        <w:t>.</w:t>
      </w:r>
      <w:r w:rsidR="00847C7D" w:rsidRPr="00E12715">
        <w:rPr>
          <w:rFonts w:ascii="Bookman Old Style" w:hAnsi="Bookman Old Style"/>
          <w:sz w:val="24"/>
          <w:szCs w:val="24"/>
          <w:lang w:val="es-CO"/>
        </w:rPr>
        <w:t>A</w:t>
      </w:r>
      <w:r w:rsidR="00E12715" w:rsidRPr="00E12715">
        <w:rPr>
          <w:rFonts w:ascii="Bookman Old Style" w:hAnsi="Bookman Old Style"/>
          <w:sz w:val="24"/>
          <w:szCs w:val="24"/>
          <w:lang w:val="es-CO"/>
        </w:rPr>
        <w:t>.</w:t>
      </w:r>
      <w:r w:rsidR="00847C7D" w:rsidRPr="00E12715">
        <w:rPr>
          <w:rFonts w:ascii="Bookman Old Style" w:hAnsi="Bookman Old Style"/>
          <w:sz w:val="24"/>
          <w:szCs w:val="24"/>
          <w:lang w:val="es-CO"/>
        </w:rPr>
        <w:t>S</w:t>
      </w:r>
      <w:r w:rsidR="00E12715" w:rsidRPr="00E12715">
        <w:rPr>
          <w:rFonts w:ascii="Bookman Old Style" w:hAnsi="Bookman Old Style"/>
          <w:sz w:val="24"/>
          <w:szCs w:val="24"/>
          <w:lang w:val="es-CO"/>
        </w:rPr>
        <w:t xml:space="preserve">., </w:t>
      </w:r>
      <w:r w:rsidR="006F302A">
        <w:rPr>
          <w:rFonts w:ascii="Bookman Old Style" w:hAnsi="Bookman Old Style"/>
          <w:sz w:val="24"/>
          <w:szCs w:val="24"/>
          <w:lang w:val="es-CO"/>
        </w:rPr>
        <w:t xml:space="preserve">en adelante </w:t>
      </w:r>
      <w:r w:rsidR="00E12715" w:rsidRPr="00E12715">
        <w:rPr>
          <w:rFonts w:ascii="Bookman Old Style" w:hAnsi="Bookman Old Style"/>
          <w:sz w:val="24"/>
          <w:szCs w:val="24"/>
          <w:lang w:val="es-CO"/>
        </w:rPr>
        <w:t xml:space="preserve">DUE, </w:t>
      </w:r>
      <w:r w:rsidR="00736891" w:rsidRPr="00736891">
        <w:rPr>
          <w:rFonts w:ascii="Bookman Old Style" w:hAnsi="Bookman Old Style"/>
          <w:sz w:val="24"/>
          <w:szCs w:val="24"/>
        </w:rPr>
        <w:t>mediante radicado CREG E-2019-011687</w:t>
      </w:r>
      <w:r w:rsidR="006F302A">
        <w:rPr>
          <w:rFonts w:ascii="Bookman Old Style" w:hAnsi="Bookman Old Style"/>
          <w:sz w:val="24"/>
          <w:szCs w:val="24"/>
        </w:rPr>
        <w:t>,</w:t>
      </w:r>
      <w:r w:rsidR="00736891" w:rsidRPr="00736891">
        <w:rPr>
          <w:rFonts w:ascii="Bookman Old Style" w:hAnsi="Bookman Old Style"/>
          <w:sz w:val="24"/>
          <w:szCs w:val="24"/>
        </w:rPr>
        <w:t xml:space="preserve"> </w:t>
      </w:r>
      <w:r w:rsidR="0012543E" w:rsidRPr="0ECC7FE6">
        <w:rPr>
          <w:rFonts w:ascii="Bookman Old Style" w:hAnsi="Bookman Old Style"/>
          <w:sz w:val="24"/>
          <w:szCs w:val="24"/>
        </w:rPr>
        <w:t>relacionó</w:t>
      </w:r>
      <w:r w:rsidR="0012543E">
        <w:rPr>
          <w:rFonts w:ascii="Bookman Old Style" w:hAnsi="Bookman Old Style"/>
          <w:sz w:val="24"/>
          <w:szCs w:val="24"/>
        </w:rPr>
        <w:t xml:space="preserve"> </w:t>
      </w:r>
      <w:r w:rsidR="00B61E86">
        <w:rPr>
          <w:rFonts w:ascii="Bookman Old Style" w:hAnsi="Bookman Old Style"/>
          <w:sz w:val="24"/>
          <w:szCs w:val="24"/>
        </w:rPr>
        <w:t xml:space="preserve">una serie de gestiones adelantadas con el objeto de </w:t>
      </w:r>
      <w:r w:rsidR="00736891" w:rsidRPr="00736891">
        <w:rPr>
          <w:rFonts w:ascii="Bookman Old Style" w:hAnsi="Bookman Old Style"/>
          <w:sz w:val="24"/>
          <w:szCs w:val="24"/>
        </w:rPr>
        <w:t>acceder a punto de conexión</w:t>
      </w:r>
      <w:r w:rsidR="00B85671">
        <w:rPr>
          <w:rFonts w:ascii="Bookman Old Style" w:hAnsi="Bookman Old Style"/>
          <w:sz w:val="24"/>
          <w:szCs w:val="24"/>
        </w:rPr>
        <w:t xml:space="preserve"> para </w:t>
      </w:r>
      <w:r w:rsidR="00B85671" w:rsidRPr="00736891">
        <w:rPr>
          <w:rFonts w:ascii="Bookman Old Style" w:hAnsi="Bookman Old Style"/>
          <w:sz w:val="24"/>
          <w:szCs w:val="24"/>
        </w:rPr>
        <w:t xml:space="preserve">el proyecto de </w:t>
      </w:r>
      <w:r w:rsidR="00B85671">
        <w:rPr>
          <w:rFonts w:ascii="Bookman Old Style" w:hAnsi="Bookman Old Style"/>
          <w:sz w:val="24"/>
          <w:szCs w:val="24"/>
        </w:rPr>
        <w:t>g</w:t>
      </w:r>
      <w:r w:rsidR="00B85671" w:rsidRPr="00736891">
        <w:rPr>
          <w:rFonts w:ascii="Bookman Old Style" w:hAnsi="Bookman Old Style"/>
          <w:sz w:val="24"/>
          <w:szCs w:val="24"/>
        </w:rPr>
        <w:t xml:space="preserve">eneración </w:t>
      </w:r>
      <w:r w:rsidR="00B85671">
        <w:rPr>
          <w:rFonts w:ascii="Bookman Old Style" w:hAnsi="Bookman Old Style"/>
          <w:sz w:val="24"/>
          <w:szCs w:val="24"/>
        </w:rPr>
        <w:t>s</w:t>
      </w:r>
      <w:r w:rsidR="00B85671" w:rsidRPr="00736891">
        <w:rPr>
          <w:rFonts w:ascii="Bookman Old Style" w:hAnsi="Bookman Old Style"/>
          <w:sz w:val="24"/>
          <w:szCs w:val="24"/>
        </w:rPr>
        <w:t xml:space="preserve">olar </w:t>
      </w:r>
      <w:r w:rsidR="00B85671">
        <w:rPr>
          <w:rFonts w:ascii="Bookman Old Style" w:hAnsi="Bookman Old Style"/>
          <w:sz w:val="24"/>
          <w:szCs w:val="24"/>
        </w:rPr>
        <w:t>f</w:t>
      </w:r>
      <w:r w:rsidR="00B85671" w:rsidRPr="00736891">
        <w:rPr>
          <w:rFonts w:ascii="Bookman Old Style" w:hAnsi="Bookman Old Style"/>
          <w:sz w:val="24"/>
          <w:szCs w:val="24"/>
        </w:rPr>
        <w:t>otovoltaica Matakavi</w:t>
      </w:r>
      <w:r w:rsidR="001C7E95">
        <w:rPr>
          <w:rFonts w:ascii="Bookman Old Style" w:hAnsi="Bookman Old Style"/>
          <w:sz w:val="24"/>
          <w:szCs w:val="24"/>
        </w:rPr>
        <w:t>:</w:t>
      </w:r>
    </w:p>
    <w:p w14:paraId="6745BF73" w14:textId="77777777" w:rsidR="00736891" w:rsidRPr="00736891" w:rsidRDefault="00736891" w:rsidP="00E57F55">
      <w:pPr>
        <w:pStyle w:val="Style2"/>
        <w:spacing w:before="0" w:line="240" w:lineRule="auto"/>
        <w:ind w:left="284" w:right="51" w:firstLine="0"/>
        <w:contextualSpacing/>
        <w:jc w:val="both"/>
        <w:rPr>
          <w:rFonts w:ascii="Bookman Old Style" w:hAnsi="Bookman Old Style"/>
          <w:sz w:val="24"/>
          <w:szCs w:val="24"/>
        </w:rPr>
      </w:pPr>
    </w:p>
    <w:p w14:paraId="79CE8F51"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“I. ANTECEDENTES</w:t>
      </w:r>
    </w:p>
    <w:p w14:paraId="045D0FE3"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01373BE1" w14:textId="77E306E0"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 xml:space="preserve">1.1. En el año 2013, se celebró un contrato especial entre el Ministerio de </w:t>
      </w:r>
      <w:r w:rsidR="004021D5">
        <w:rPr>
          <w:rFonts w:ascii="Bookman Old Style" w:hAnsi="Bookman Old Style"/>
          <w:i/>
          <w:iCs/>
          <w:sz w:val="20"/>
          <w:szCs w:val="20"/>
        </w:rPr>
        <w:t>M</w:t>
      </w:r>
      <w:r w:rsidRPr="007E66C6">
        <w:rPr>
          <w:rFonts w:ascii="Bookman Old Style" w:hAnsi="Bookman Old Style"/>
          <w:i/>
          <w:iCs/>
          <w:sz w:val="20"/>
          <w:szCs w:val="20"/>
        </w:rPr>
        <w:t xml:space="preserve">inas y Energía (Propietario de los activos del sistema) y GENSA con la finalidad de transferirle a GENSA el uso y goce de los bienes constitutivos del sistema de Generación Eléctrica de Mitú (Vaupés), para la prestación del servicio público de energía eléctrica en dicha zona del país (en adelante, </w:t>
      </w:r>
      <w:r w:rsidR="00CC70E0">
        <w:rPr>
          <w:rFonts w:ascii="Bookman Old Style" w:hAnsi="Bookman Old Style"/>
          <w:i/>
          <w:iCs/>
          <w:sz w:val="20"/>
          <w:szCs w:val="20"/>
        </w:rPr>
        <w:t>‘</w:t>
      </w:r>
      <w:r w:rsidRPr="007E66C6">
        <w:rPr>
          <w:rFonts w:ascii="Bookman Old Style" w:hAnsi="Bookman Old Style"/>
          <w:i/>
          <w:iCs/>
          <w:sz w:val="20"/>
          <w:szCs w:val="20"/>
        </w:rPr>
        <w:t xml:space="preserve">el </w:t>
      </w:r>
      <w:r w:rsidR="00CC70E0">
        <w:rPr>
          <w:rFonts w:ascii="Bookman Old Style" w:hAnsi="Bookman Old Style"/>
          <w:i/>
          <w:iCs/>
          <w:sz w:val="20"/>
          <w:szCs w:val="20"/>
        </w:rPr>
        <w:t>C</w:t>
      </w:r>
      <w:r w:rsidRPr="007E66C6">
        <w:rPr>
          <w:rFonts w:ascii="Bookman Old Style" w:hAnsi="Bookman Old Style"/>
          <w:i/>
          <w:iCs/>
          <w:sz w:val="20"/>
          <w:szCs w:val="20"/>
        </w:rPr>
        <w:t xml:space="preserve">ontrato de </w:t>
      </w:r>
      <w:r w:rsidR="00CC70E0">
        <w:rPr>
          <w:rFonts w:ascii="Bookman Old Style" w:hAnsi="Bookman Old Style"/>
          <w:i/>
          <w:iCs/>
          <w:sz w:val="20"/>
          <w:szCs w:val="20"/>
        </w:rPr>
        <w:t>U</w:t>
      </w:r>
      <w:r w:rsidRPr="007E66C6">
        <w:rPr>
          <w:rFonts w:ascii="Bookman Old Style" w:hAnsi="Bookman Old Style"/>
          <w:i/>
          <w:iCs/>
          <w:sz w:val="20"/>
          <w:szCs w:val="20"/>
        </w:rPr>
        <w:t xml:space="preserve">so y </w:t>
      </w:r>
      <w:r w:rsidR="00CC70E0">
        <w:rPr>
          <w:rFonts w:ascii="Bookman Old Style" w:hAnsi="Bookman Old Style"/>
          <w:i/>
          <w:iCs/>
          <w:sz w:val="20"/>
          <w:szCs w:val="20"/>
        </w:rPr>
        <w:t>G</w:t>
      </w:r>
      <w:r w:rsidRPr="007E66C6">
        <w:rPr>
          <w:rFonts w:ascii="Bookman Old Style" w:hAnsi="Bookman Old Style"/>
          <w:i/>
          <w:iCs/>
          <w:sz w:val="20"/>
          <w:szCs w:val="20"/>
        </w:rPr>
        <w:t>oce”).</w:t>
      </w:r>
    </w:p>
    <w:p w14:paraId="3F00D3FF"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1DD1AC64" w14:textId="303F7DB3"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 xml:space="preserve">1.2. DUE estructuró el proyecto de generación Matakavi, fotovoltaico, esto es, de energías renovables no convencionales, para la Zona no Interconectada (en adelante, la </w:t>
      </w:r>
      <w:r w:rsidR="008C19AB">
        <w:rPr>
          <w:rFonts w:ascii="Bookman Old Style" w:hAnsi="Bookman Old Style"/>
          <w:i/>
          <w:iCs/>
          <w:sz w:val="20"/>
          <w:szCs w:val="20"/>
        </w:rPr>
        <w:t>‘</w:t>
      </w:r>
      <w:r w:rsidRPr="007E66C6">
        <w:rPr>
          <w:rFonts w:ascii="Bookman Old Style" w:hAnsi="Bookman Old Style"/>
          <w:i/>
          <w:iCs/>
          <w:sz w:val="20"/>
          <w:szCs w:val="20"/>
        </w:rPr>
        <w:t>ZNI</w:t>
      </w:r>
      <w:r w:rsidR="008C19AB">
        <w:rPr>
          <w:rFonts w:ascii="Bookman Old Style" w:hAnsi="Bookman Old Style"/>
          <w:i/>
          <w:iCs/>
          <w:sz w:val="20"/>
          <w:szCs w:val="20"/>
        </w:rPr>
        <w:t>’</w:t>
      </w:r>
      <w:r w:rsidRPr="007E66C6">
        <w:rPr>
          <w:rFonts w:ascii="Bookman Old Style" w:hAnsi="Bookman Old Style"/>
          <w:i/>
          <w:iCs/>
          <w:sz w:val="20"/>
          <w:szCs w:val="20"/>
        </w:rPr>
        <w:t xml:space="preserve">) del Vaupés, con una capacidad de generación de 7.6 MWp, con una acumulación de 8.8 MWh e inició el trámite de solicitud de conexión, en cumplimiento de lo dispuesto por la Resolución CREG 091 de 2007 (en adelante, </w:t>
      </w:r>
      <w:r w:rsidR="00BC074E">
        <w:rPr>
          <w:rFonts w:ascii="Bookman Old Style" w:hAnsi="Bookman Old Style"/>
          <w:i/>
          <w:iCs/>
          <w:sz w:val="20"/>
          <w:szCs w:val="20"/>
        </w:rPr>
        <w:t>‘</w:t>
      </w:r>
      <w:r w:rsidRPr="007E66C6">
        <w:rPr>
          <w:rFonts w:ascii="Bookman Old Style" w:hAnsi="Bookman Old Style"/>
          <w:i/>
          <w:iCs/>
          <w:sz w:val="20"/>
          <w:szCs w:val="20"/>
        </w:rPr>
        <w:t xml:space="preserve">el </w:t>
      </w:r>
      <w:r w:rsidR="00BC074E">
        <w:rPr>
          <w:rFonts w:ascii="Bookman Old Style" w:hAnsi="Bookman Old Style"/>
          <w:i/>
          <w:iCs/>
          <w:sz w:val="20"/>
          <w:szCs w:val="20"/>
        </w:rPr>
        <w:t>P</w:t>
      </w:r>
      <w:r w:rsidRPr="007E66C6">
        <w:rPr>
          <w:rFonts w:ascii="Bookman Old Style" w:hAnsi="Bookman Old Style"/>
          <w:i/>
          <w:iCs/>
          <w:sz w:val="20"/>
          <w:szCs w:val="20"/>
        </w:rPr>
        <w:t>royecto</w:t>
      </w:r>
      <w:r w:rsidR="00BC074E">
        <w:rPr>
          <w:rFonts w:ascii="Bookman Old Style" w:hAnsi="Bookman Old Style"/>
          <w:i/>
          <w:iCs/>
          <w:sz w:val="20"/>
          <w:szCs w:val="20"/>
        </w:rPr>
        <w:t>’</w:t>
      </w:r>
      <w:r w:rsidRPr="007E66C6">
        <w:rPr>
          <w:rFonts w:ascii="Bookman Old Style" w:hAnsi="Bookman Old Style"/>
          <w:i/>
          <w:iCs/>
          <w:sz w:val="20"/>
          <w:szCs w:val="20"/>
        </w:rPr>
        <w:t>).</w:t>
      </w:r>
    </w:p>
    <w:p w14:paraId="0FCF339A"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1AFB420F" w14:textId="7F587242"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 xml:space="preserve">1.3. Teniendo en cuenta la existencia del proyecto, el 16 de noviembre de 2018 DUE presentó a GENSA una solicitud de conexión a la red eléctrica de Mitú Vaupés; sin embargo, el 6 de marzo de 2019 recibió respuesta negativa por parte de éste, indicando que </w:t>
      </w:r>
      <w:r w:rsidR="00C3457E">
        <w:rPr>
          <w:rFonts w:ascii="Bookman Old Style" w:hAnsi="Bookman Old Style"/>
          <w:i/>
          <w:iCs/>
          <w:sz w:val="20"/>
          <w:szCs w:val="20"/>
        </w:rPr>
        <w:t>‘</w:t>
      </w:r>
      <w:r w:rsidRPr="007E66C6">
        <w:rPr>
          <w:rFonts w:ascii="Bookman Old Style" w:hAnsi="Bookman Old Style"/>
          <w:i/>
          <w:iCs/>
          <w:sz w:val="20"/>
          <w:szCs w:val="20"/>
        </w:rPr>
        <w:t>(…) los bienes que hacen parte del sistema frente al cual se pretende la conexión solicitada, fueron transferidos por el Ministerio de Minas y Energía con la finalidad de ser parte del uso y goce de los bienes de constitutivos del sistema de generación eléctrica de Mitú</w:t>
      </w:r>
      <w:r w:rsidR="00730874">
        <w:rPr>
          <w:rFonts w:ascii="Bookman Old Style" w:hAnsi="Bookman Old Style"/>
          <w:i/>
          <w:iCs/>
          <w:sz w:val="20"/>
          <w:szCs w:val="20"/>
        </w:rPr>
        <w:t>’</w:t>
      </w:r>
      <w:r w:rsidRPr="007E66C6">
        <w:rPr>
          <w:rFonts w:ascii="Bookman Old Style" w:hAnsi="Bookman Old Style"/>
          <w:i/>
          <w:iCs/>
          <w:sz w:val="20"/>
          <w:szCs w:val="20"/>
        </w:rPr>
        <w:t xml:space="preserve">, por lo que </w:t>
      </w:r>
      <w:r w:rsidR="00730874">
        <w:rPr>
          <w:rFonts w:ascii="Bookman Old Style" w:hAnsi="Bookman Old Style"/>
          <w:i/>
          <w:iCs/>
          <w:sz w:val="20"/>
          <w:szCs w:val="20"/>
        </w:rPr>
        <w:t>‘</w:t>
      </w:r>
      <w:r w:rsidRPr="007E66C6">
        <w:rPr>
          <w:rFonts w:ascii="Bookman Old Style" w:hAnsi="Bookman Old Style"/>
          <w:i/>
          <w:iCs/>
          <w:sz w:val="20"/>
          <w:szCs w:val="20"/>
        </w:rPr>
        <w:t>(…) GENSA no es competente para aprobar la analizada solicitud, en la medida que esta no es procedente ni a la luz de la ley, ni a la luz de la regulación”.</w:t>
      </w:r>
    </w:p>
    <w:p w14:paraId="34220C3F"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193C9BB7" w14:textId="7865A248"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lastRenderedPageBreak/>
        <w:t xml:space="preserve">1.4. En razón de lo anterior, el 19 de marzo de 2019, DUE presentó una solicitud de conexión a la red eléctrica de Mitú ante el Ministerio de Minas y Energía (en adelante, </w:t>
      </w:r>
      <w:r w:rsidR="00730874">
        <w:rPr>
          <w:rFonts w:ascii="Bookman Old Style" w:hAnsi="Bookman Old Style"/>
          <w:i/>
          <w:iCs/>
          <w:sz w:val="20"/>
          <w:szCs w:val="20"/>
        </w:rPr>
        <w:t>‘</w:t>
      </w:r>
      <w:r w:rsidRPr="007E66C6">
        <w:rPr>
          <w:rFonts w:ascii="Bookman Old Style" w:hAnsi="Bookman Old Style"/>
          <w:i/>
          <w:iCs/>
          <w:sz w:val="20"/>
          <w:szCs w:val="20"/>
        </w:rPr>
        <w:t>MinEnergía</w:t>
      </w:r>
      <w:r w:rsidR="00730874">
        <w:rPr>
          <w:rFonts w:ascii="Bookman Old Style" w:hAnsi="Bookman Old Style"/>
          <w:i/>
          <w:iCs/>
          <w:sz w:val="20"/>
          <w:szCs w:val="20"/>
        </w:rPr>
        <w:t>’</w:t>
      </w:r>
      <w:r w:rsidRPr="007E66C6">
        <w:rPr>
          <w:rFonts w:ascii="Bookman Old Style" w:hAnsi="Bookman Old Style"/>
          <w:i/>
          <w:iCs/>
          <w:sz w:val="20"/>
          <w:szCs w:val="20"/>
        </w:rPr>
        <w:t>), como propietario de los activos del Sistema de Energía Eléctrica de Mitú. No obstante, transcurrido el término especial de 45 días hábiles otorgado en la Resolución CREG 070 de 1998 (los que vencieron el 24 de mayo de</w:t>
      </w:r>
      <w:r w:rsidR="00954580">
        <w:rPr>
          <w:rFonts w:ascii="Bookman Old Style" w:hAnsi="Bookman Old Style"/>
          <w:i/>
          <w:iCs/>
          <w:sz w:val="20"/>
          <w:szCs w:val="20"/>
        </w:rPr>
        <w:t xml:space="preserve"> </w:t>
      </w:r>
      <w:r w:rsidRPr="007E66C6">
        <w:rPr>
          <w:rFonts w:ascii="Bookman Old Style" w:hAnsi="Bookman Old Style"/>
          <w:i/>
          <w:iCs/>
          <w:sz w:val="20"/>
          <w:szCs w:val="20"/>
        </w:rPr>
        <w:t>2019), MinEnergía no contestó, ni ha contestado a la fecha, dicha petición.</w:t>
      </w:r>
    </w:p>
    <w:p w14:paraId="452E7241" w14:textId="041960AD"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21E1F8FD" w14:textId="44764003" w:rsidR="00736891"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1.5. El 24 de junio de 2019, DUE presentó la misma solicitud de conexión del Proyecto a la red de distribución de Mitú, esta vez dirigida a la Gobernación del Vaupés, en su calidad de operador del sistema de distribución y prestador del servicio en la ZNI del Vaupés.</w:t>
      </w:r>
      <w:r w:rsidR="00954580">
        <w:rPr>
          <w:rFonts w:ascii="Bookman Old Style" w:hAnsi="Bookman Old Style"/>
          <w:i/>
          <w:iCs/>
          <w:sz w:val="20"/>
          <w:szCs w:val="20"/>
        </w:rPr>
        <w:t xml:space="preserve"> (…)</w:t>
      </w:r>
    </w:p>
    <w:p w14:paraId="305FD4D7"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67750502" w14:textId="2137C0E0"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1.6. El 12 de julio de 2019, DUE recibió contestación por parte de GENSA quien rechazó la solicitud de conexión realizada reiterando que no tiene competencia para otorgar concepto de viabilidad de la conexión atendiendo a que no son los propietarios de la infraestructura. Adicionalmente, manifestaron no haber si quiera leído el estudio de conexión presentado, devolviéndolo en su totalidad.</w:t>
      </w:r>
      <w:r w:rsidR="00195BE7">
        <w:rPr>
          <w:rFonts w:ascii="Bookman Old Style" w:hAnsi="Bookman Old Style"/>
          <w:i/>
          <w:iCs/>
          <w:sz w:val="20"/>
          <w:szCs w:val="20"/>
        </w:rPr>
        <w:t xml:space="preserve"> (…)</w:t>
      </w:r>
    </w:p>
    <w:p w14:paraId="0F4E13D1"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42E9F2FA" w14:textId="542F15B5" w:rsidR="00EB426D"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 xml:space="preserve">1.7. El 23 de julio de 2019, DUE presentó nuevamente la solicitud de conexión a GENSA indicando que tal y como GENSA le informó el 12 de julio de 2019, en la torre 117 de la línea Mitú 35.5 kV (sic) hay una derivación que se divide en dos conexiones a unas comunidades (usuarios regulados de la ZNI Vaupés). </w:t>
      </w:r>
      <w:r w:rsidR="00EB426D">
        <w:rPr>
          <w:rFonts w:ascii="Bookman Old Style" w:hAnsi="Bookman Old Style"/>
          <w:i/>
          <w:iCs/>
          <w:sz w:val="20"/>
          <w:szCs w:val="20"/>
        </w:rPr>
        <w:t>(…)</w:t>
      </w:r>
    </w:p>
    <w:p w14:paraId="6F79FFA2"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3650E376"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1.8. Así mismo, y en atención a que MinEnergía no respondió la solicitud realizada el 19 de marzo de2019, bajo consecutivo No 2019058386 del 26 de agosto de 2019, DUE presentó insistencia para que MinEnergía diera contestación al derecho de petición radicado en la fecha referenciada, solicitud que tampoco fue contestada. En razón de lo anterior, el 29 de octubre de 2019 se presentó una acción de tutela contra MinEnergía con la finalidad de proteger su derecho fundamental de petición y de recibir respuesta oportuna por parte del Ministerio, como propietario de los activos del sistema.</w:t>
      </w:r>
    </w:p>
    <w:p w14:paraId="5832F836"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3669215C" w14:textId="140AA31D"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 xml:space="preserve">1.9. El 3 de septiembre de 2019, GENSA dio respuesta a </w:t>
      </w:r>
      <w:r w:rsidR="00462CAE">
        <w:rPr>
          <w:rFonts w:ascii="Bookman Old Style" w:hAnsi="Bookman Old Style"/>
          <w:i/>
          <w:iCs/>
          <w:sz w:val="20"/>
          <w:szCs w:val="20"/>
        </w:rPr>
        <w:t>‘</w:t>
      </w:r>
      <w:r w:rsidRPr="007E66C6">
        <w:rPr>
          <w:rFonts w:ascii="Bookman Old Style" w:hAnsi="Bookman Old Style"/>
          <w:i/>
          <w:iCs/>
          <w:sz w:val="20"/>
          <w:szCs w:val="20"/>
        </w:rPr>
        <w:t>la reiteración de solicitud de conexión a la red realizada por DUE</w:t>
      </w:r>
      <w:r w:rsidR="003E501D">
        <w:rPr>
          <w:rFonts w:ascii="Bookman Old Style" w:hAnsi="Bookman Old Style"/>
          <w:i/>
          <w:iCs/>
          <w:sz w:val="20"/>
          <w:szCs w:val="20"/>
        </w:rPr>
        <w:t>’</w:t>
      </w:r>
      <w:r w:rsidRPr="007E66C6">
        <w:rPr>
          <w:rFonts w:ascii="Bookman Old Style" w:hAnsi="Bookman Old Style"/>
          <w:i/>
          <w:iCs/>
          <w:sz w:val="20"/>
          <w:szCs w:val="20"/>
        </w:rPr>
        <w:t xml:space="preserve">. En dicha comunicación, GENSA adujo que ratificaba que la red a la cual se solicitaba acceso, en su integridad, era un activo de generación de Mitú y que en consecuencia, </w:t>
      </w:r>
      <w:r w:rsidR="003E501D">
        <w:rPr>
          <w:rFonts w:ascii="Bookman Old Style" w:hAnsi="Bookman Old Style"/>
          <w:i/>
          <w:iCs/>
          <w:sz w:val="20"/>
          <w:szCs w:val="20"/>
        </w:rPr>
        <w:t>‘</w:t>
      </w:r>
      <w:r w:rsidRPr="007E66C6">
        <w:rPr>
          <w:rFonts w:ascii="Bookman Old Style" w:hAnsi="Bookman Old Style"/>
          <w:i/>
          <w:iCs/>
          <w:sz w:val="20"/>
          <w:szCs w:val="20"/>
        </w:rPr>
        <w:t>el derecho de libre acceso opera sobre redes y no sobre activos de conexión</w:t>
      </w:r>
      <w:r w:rsidR="003E501D">
        <w:rPr>
          <w:rFonts w:ascii="Bookman Old Style" w:hAnsi="Bookman Old Style"/>
          <w:i/>
          <w:iCs/>
          <w:sz w:val="20"/>
          <w:szCs w:val="20"/>
        </w:rPr>
        <w:t>’</w:t>
      </w:r>
      <w:r w:rsidRPr="007E66C6">
        <w:rPr>
          <w:rFonts w:ascii="Bookman Old Style" w:hAnsi="Bookman Old Style"/>
          <w:i/>
          <w:iCs/>
          <w:sz w:val="20"/>
          <w:szCs w:val="20"/>
        </w:rPr>
        <w:t xml:space="preserve"> por lo que no se concedería a la solicitud dado que en su concepto </w:t>
      </w:r>
      <w:r w:rsidR="003E501D">
        <w:rPr>
          <w:rFonts w:ascii="Bookman Old Style" w:hAnsi="Bookman Old Style"/>
          <w:i/>
          <w:iCs/>
          <w:sz w:val="20"/>
          <w:szCs w:val="20"/>
        </w:rPr>
        <w:t>‘</w:t>
      </w:r>
      <w:r w:rsidRPr="007E66C6">
        <w:rPr>
          <w:rFonts w:ascii="Bookman Old Style" w:hAnsi="Bookman Old Style"/>
          <w:i/>
          <w:iCs/>
          <w:sz w:val="20"/>
          <w:szCs w:val="20"/>
        </w:rPr>
        <w:t>la regulación no establece un procedimiento de conexión a parques de generación</w:t>
      </w:r>
      <w:r w:rsidR="003E501D">
        <w:rPr>
          <w:rFonts w:ascii="Bookman Old Style" w:hAnsi="Bookman Old Style"/>
          <w:i/>
          <w:iCs/>
          <w:sz w:val="20"/>
          <w:szCs w:val="20"/>
        </w:rPr>
        <w:t>’</w:t>
      </w:r>
      <w:r w:rsidRPr="007E66C6">
        <w:rPr>
          <w:rFonts w:ascii="Bookman Old Style" w:hAnsi="Bookman Old Style"/>
          <w:i/>
          <w:iCs/>
          <w:sz w:val="20"/>
          <w:szCs w:val="20"/>
        </w:rPr>
        <w:t xml:space="preserve"> y, nuevamente a MinEnergía de la respuesta a DUE, la que, en todo caso, nunca ha sido contestada por este ministerio.</w:t>
      </w:r>
      <w:r w:rsidR="00F86A21">
        <w:rPr>
          <w:rFonts w:ascii="Bookman Old Style" w:hAnsi="Bookman Old Style"/>
          <w:i/>
          <w:iCs/>
          <w:sz w:val="20"/>
          <w:szCs w:val="20"/>
        </w:rPr>
        <w:t xml:space="preserve"> (…)</w:t>
      </w:r>
    </w:p>
    <w:p w14:paraId="10683441"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08A96B0C" w14:textId="77777777"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r w:rsidRPr="007E66C6">
        <w:rPr>
          <w:rFonts w:ascii="Bookman Old Style" w:hAnsi="Bookman Old Style"/>
          <w:i/>
          <w:iCs/>
          <w:sz w:val="20"/>
          <w:szCs w:val="20"/>
        </w:rPr>
        <w:t>1.17. Pese a que lo anterior fue explicado a GENSA en la solicitud de conexión a la red eléctrica en comunicación radicada el 24 de junio de 2019, reiterada mediante comunicación del 23 de julio de 2019, advirtiéndole que la regulación le prohíbe negar la conexión, ésta mantuvo su rechazo a la conexión aduciendo que no tiene competencia para realizar el concepto de viabilidad del estudio de la conexión.</w:t>
      </w:r>
    </w:p>
    <w:p w14:paraId="667C5F22" w14:textId="772038BE" w:rsidR="00736891" w:rsidRPr="007E66C6" w:rsidRDefault="00736891" w:rsidP="006F302A">
      <w:pPr>
        <w:pStyle w:val="Style2"/>
        <w:spacing w:before="0" w:line="240" w:lineRule="auto"/>
        <w:ind w:left="567" w:right="51" w:firstLine="0"/>
        <w:contextualSpacing/>
        <w:jc w:val="both"/>
        <w:rPr>
          <w:rFonts w:ascii="Bookman Old Style" w:hAnsi="Bookman Old Style"/>
          <w:i/>
          <w:iCs/>
          <w:sz w:val="20"/>
          <w:szCs w:val="20"/>
        </w:rPr>
      </w:pPr>
    </w:p>
    <w:p w14:paraId="4C5A88E5" w14:textId="2F9A471C" w:rsidR="00736891" w:rsidRPr="00736891" w:rsidRDefault="00736891" w:rsidP="006F302A">
      <w:pPr>
        <w:pStyle w:val="Style2"/>
        <w:spacing w:before="0" w:line="240" w:lineRule="auto"/>
        <w:ind w:left="567" w:right="51" w:firstLine="0"/>
        <w:contextualSpacing/>
        <w:jc w:val="both"/>
        <w:rPr>
          <w:rFonts w:ascii="Bookman Old Style" w:hAnsi="Bookman Old Style"/>
          <w:sz w:val="24"/>
          <w:szCs w:val="24"/>
        </w:rPr>
      </w:pPr>
      <w:r w:rsidRPr="007E66C6">
        <w:rPr>
          <w:rFonts w:ascii="Bookman Old Style" w:hAnsi="Bookman Old Style"/>
          <w:i/>
          <w:iCs/>
          <w:sz w:val="20"/>
          <w:szCs w:val="20"/>
        </w:rPr>
        <w:t>1.18. Por las anteriores razones y pasado ya más de 10 meses desde la primera solicitud de conexión, DUE se ve en la obligación de hacer la presente solicitud de imposición de la servidumbre contenida en el artículo 39.4 de la Ley 142 de 1994 para lograr la conexión del proyecto a la Red Eléctrica de Mitú – Vaupés.</w:t>
      </w:r>
      <w:r w:rsidR="00F86A21">
        <w:rPr>
          <w:rFonts w:ascii="Bookman Old Style" w:hAnsi="Bookman Old Style"/>
          <w:i/>
          <w:iCs/>
          <w:sz w:val="20"/>
          <w:szCs w:val="20"/>
        </w:rPr>
        <w:t xml:space="preserve"> (…)</w:t>
      </w:r>
      <w:r w:rsidRPr="007E66C6">
        <w:rPr>
          <w:rFonts w:ascii="Bookman Old Style" w:hAnsi="Bookman Old Style"/>
          <w:i/>
          <w:iCs/>
          <w:sz w:val="20"/>
          <w:szCs w:val="20"/>
        </w:rPr>
        <w:t>”</w:t>
      </w:r>
    </w:p>
    <w:p w14:paraId="1FA82443" w14:textId="77777777" w:rsidR="00B95BE0" w:rsidRPr="0086458B" w:rsidRDefault="00B95BE0" w:rsidP="00E57F55">
      <w:pPr>
        <w:pStyle w:val="Textoindependiente"/>
        <w:ind w:left="284" w:right="142"/>
        <w:contextualSpacing/>
        <w:jc w:val="both"/>
        <w:rPr>
          <w:rFonts w:ascii="Bookman Old Style" w:eastAsia="Calibri" w:hAnsi="Bookman Old Style"/>
          <w:b w:val="0"/>
          <w:bCs w:val="0"/>
          <w:color w:val="000000"/>
        </w:rPr>
      </w:pPr>
    </w:p>
    <w:p w14:paraId="1083EEE4" w14:textId="227A7CD0" w:rsidR="00B95BE0" w:rsidRPr="0086458B" w:rsidRDefault="00555E78" w:rsidP="00825B9B">
      <w:pPr>
        <w:pStyle w:val="Ttulo1"/>
        <w:ind w:left="284"/>
        <w:jc w:val="both"/>
        <w:rPr>
          <w:rFonts w:cs="Arial"/>
          <w:b w:val="0"/>
        </w:rPr>
      </w:pPr>
      <w:r>
        <w:t>3</w:t>
      </w:r>
      <w:r w:rsidR="00B95BE0">
        <w:rPr>
          <w:rFonts w:cs="Arial"/>
        </w:rPr>
        <w:t xml:space="preserve">. </w:t>
      </w:r>
      <w:r w:rsidR="00B95BE0" w:rsidRPr="0086458B">
        <w:rPr>
          <w:rFonts w:cs="Arial"/>
        </w:rPr>
        <w:t>SOLICITUD</w:t>
      </w:r>
      <w:r>
        <w:rPr>
          <w:rFonts w:cs="Arial"/>
        </w:rPr>
        <w:t xml:space="preserve"> </w:t>
      </w:r>
      <w:r w:rsidRPr="0ECC7FE6">
        <w:rPr>
          <w:rFonts w:cs="Arial"/>
        </w:rPr>
        <w:t xml:space="preserve">DE DUE </w:t>
      </w:r>
      <w:r>
        <w:rPr>
          <w:rFonts w:cs="Arial"/>
        </w:rPr>
        <w:t>A LA CREG</w:t>
      </w:r>
    </w:p>
    <w:p w14:paraId="7A9B7259" w14:textId="77777777" w:rsidR="00B95BE0" w:rsidRDefault="00B95BE0" w:rsidP="00E57F55">
      <w:pPr>
        <w:pStyle w:val="Style2"/>
        <w:shd w:val="clear" w:color="auto" w:fill="auto"/>
        <w:spacing w:before="0" w:line="240" w:lineRule="auto"/>
        <w:ind w:left="284" w:right="51" w:firstLine="0"/>
        <w:contextualSpacing/>
        <w:jc w:val="both"/>
        <w:rPr>
          <w:rFonts w:ascii="Bookman Old Style" w:hAnsi="Bookman Old Style"/>
          <w:sz w:val="24"/>
          <w:szCs w:val="24"/>
        </w:rPr>
      </w:pPr>
    </w:p>
    <w:p w14:paraId="26BCCE6C" w14:textId="30DC8DD0" w:rsidR="00D52B00" w:rsidRPr="0086458B" w:rsidRDefault="00911656" w:rsidP="00E57F55">
      <w:pPr>
        <w:pStyle w:val="Style2"/>
        <w:shd w:val="clear" w:color="auto" w:fill="auto"/>
        <w:spacing w:before="0" w:line="240" w:lineRule="auto"/>
        <w:ind w:left="284" w:right="51" w:firstLine="0"/>
        <w:contextualSpacing/>
        <w:jc w:val="both"/>
        <w:rPr>
          <w:rFonts w:ascii="Bookman Old Style" w:hAnsi="Bookman Old Style"/>
          <w:sz w:val="24"/>
          <w:szCs w:val="24"/>
        </w:rPr>
      </w:pPr>
      <w:r w:rsidRPr="0086458B">
        <w:rPr>
          <w:rFonts w:ascii="Bookman Old Style" w:hAnsi="Bookman Old Style"/>
          <w:sz w:val="24"/>
          <w:szCs w:val="24"/>
        </w:rPr>
        <w:t xml:space="preserve">Mediante comunicación con número de radicado CREG </w:t>
      </w:r>
      <w:r w:rsidR="00AF7170" w:rsidRPr="0086458B">
        <w:rPr>
          <w:rFonts w:ascii="Bookman Old Style" w:hAnsi="Bookman Old Style"/>
          <w:sz w:val="24"/>
          <w:szCs w:val="24"/>
        </w:rPr>
        <w:t>E-2019-011687</w:t>
      </w:r>
      <w:r w:rsidR="00803EB8">
        <w:rPr>
          <w:rFonts w:ascii="Bookman Old Style" w:hAnsi="Bookman Old Style"/>
          <w:sz w:val="24"/>
          <w:szCs w:val="24"/>
        </w:rPr>
        <w:t xml:space="preserve">, DUE </w:t>
      </w:r>
      <w:r w:rsidRPr="0086458B">
        <w:rPr>
          <w:rFonts w:ascii="Bookman Old Style" w:hAnsi="Bookman Old Style"/>
          <w:sz w:val="24"/>
          <w:szCs w:val="24"/>
        </w:rPr>
        <w:t xml:space="preserve">solicitó </w:t>
      </w:r>
      <w:r w:rsidR="10FA0E93" w:rsidRPr="0086458B">
        <w:rPr>
          <w:rFonts w:ascii="Bookman Old Style" w:hAnsi="Bookman Old Style"/>
          <w:sz w:val="24"/>
          <w:szCs w:val="24"/>
        </w:rPr>
        <w:t xml:space="preserve">a la </w:t>
      </w:r>
      <w:r w:rsidR="00803EB8">
        <w:rPr>
          <w:rFonts w:ascii="Bookman Old Style" w:hAnsi="Bookman Old Style"/>
          <w:sz w:val="24"/>
          <w:szCs w:val="24"/>
        </w:rPr>
        <w:t xml:space="preserve">CREG </w:t>
      </w:r>
      <w:r w:rsidR="00A961BF" w:rsidRPr="0086458B">
        <w:rPr>
          <w:rFonts w:ascii="Bookman Old Style" w:hAnsi="Bookman Old Style"/>
          <w:sz w:val="24"/>
          <w:szCs w:val="24"/>
        </w:rPr>
        <w:t>la imposición de una servidumbre para permitir la conexión del proyecto de generación Matakavi al sistema eléctrico de Mitú, Vaupés</w:t>
      </w:r>
      <w:r w:rsidR="347B3738" w:rsidRPr="0086458B">
        <w:rPr>
          <w:rFonts w:ascii="Bookman Old Style" w:hAnsi="Bookman Old Style"/>
          <w:sz w:val="24"/>
          <w:szCs w:val="24"/>
        </w:rPr>
        <w:t>, en el siguiente sentido</w:t>
      </w:r>
      <w:r w:rsidR="1295DEF4" w:rsidRPr="0086458B">
        <w:rPr>
          <w:rFonts w:ascii="Bookman Old Style" w:hAnsi="Bookman Old Style"/>
          <w:sz w:val="24"/>
          <w:szCs w:val="24"/>
        </w:rPr>
        <w:t>:</w:t>
      </w:r>
    </w:p>
    <w:p w14:paraId="256DD83B" w14:textId="5D50315C" w:rsidR="00D0765E" w:rsidRPr="0086458B" w:rsidRDefault="00D0765E" w:rsidP="00E57F55">
      <w:pPr>
        <w:ind w:left="284" w:right="142"/>
        <w:contextualSpacing/>
        <w:jc w:val="both"/>
        <w:rPr>
          <w:rFonts w:ascii="Bookman Old Style" w:hAnsi="Bookman Old Style" w:cs="Arial"/>
          <w:u w:val="single"/>
          <w:lang w:val="es-MX"/>
        </w:rPr>
      </w:pPr>
    </w:p>
    <w:p w14:paraId="68828C22" w14:textId="495D5453" w:rsidR="00A961BF" w:rsidRPr="0086458B" w:rsidRDefault="001B2301" w:rsidP="006F302A">
      <w:pPr>
        <w:ind w:left="567" w:right="142"/>
        <w:contextualSpacing/>
        <w:jc w:val="both"/>
        <w:rPr>
          <w:rFonts w:ascii="Bookman Old Style" w:hAnsi="Bookman Old Style" w:cs="Arial"/>
          <w:i/>
          <w:iCs/>
          <w:sz w:val="20"/>
          <w:szCs w:val="20"/>
          <w:u w:val="single"/>
          <w:lang w:val="es-MX"/>
        </w:rPr>
      </w:pPr>
      <w:r w:rsidRPr="001B2301">
        <w:rPr>
          <w:rFonts w:ascii="Bookman Old Style" w:hAnsi="Bookman Old Style" w:cs="Arial"/>
          <w:i/>
          <w:iCs/>
          <w:sz w:val="20"/>
          <w:szCs w:val="20"/>
          <w:lang w:val="es-MX"/>
        </w:rPr>
        <w:t xml:space="preserve">“(…) </w:t>
      </w:r>
      <w:r w:rsidR="00A961BF" w:rsidRPr="001B2301">
        <w:rPr>
          <w:rFonts w:ascii="Bookman Old Style" w:hAnsi="Bookman Old Style" w:cs="Arial"/>
          <w:i/>
          <w:iCs/>
          <w:sz w:val="20"/>
          <w:szCs w:val="20"/>
          <w:u w:val="single"/>
          <w:lang w:val="es-MX"/>
        </w:rPr>
        <w:t>Petición</w:t>
      </w:r>
      <w:r w:rsidR="00A961BF" w:rsidRPr="0086458B">
        <w:rPr>
          <w:rFonts w:ascii="Bookman Old Style" w:hAnsi="Bookman Old Style" w:cs="Arial"/>
          <w:i/>
          <w:iCs/>
          <w:sz w:val="20"/>
          <w:szCs w:val="20"/>
          <w:u w:val="single"/>
          <w:lang w:val="es-MX"/>
        </w:rPr>
        <w:t xml:space="preserve"> principal </w:t>
      </w:r>
    </w:p>
    <w:p w14:paraId="05C19525" w14:textId="77777777" w:rsidR="00E44655" w:rsidRDefault="00E44655" w:rsidP="006F302A">
      <w:pPr>
        <w:ind w:left="567" w:right="142"/>
        <w:contextualSpacing/>
        <w:jc w:val="both"/>
        <w:rPr>
          <w:rFonts w:ascii="Bookman Old Style" w:hAnsi="Bookman Old Style" w:cs="Arial"/>
          <w:i/>
          <w:iCs/>
          <w:sz w:val="20"/>
          <w:szCs w:val="20"/>
          <w:lang w:val="es-MX"/>
        </w:rPr>
      </w:pPr>
    </w:p>
    <w:p w14:paraId="3DFCF164" w14:textId="48E70E93" w:rsidR="00A961BF" w:rsidRPr="0086458B" w:rsidRDefault="00A961BF"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3.1 IMPONER una servidumbre para la conexión del Proyecto de Generación Fotovoltaica de DUE a la Red Eléctrica de Mitú-Vaupés, a la Torre 177 </w:t>
      </w:r>
      <w:r w:rsidR="00F4078C" w:rsidRPr="0086458B">
        <w:rPr>
          <w:rFonts w:ascii="Bookman Old Style" w:hAnsi="Bookman Old Style" w:cs="Arial"/>
          <w:i/>
          <w:iCs/>
          <w:sz w:val="20"/>
          <w:szCs w:val="20"/>
          <w:lang w:val="es-MX"/>
        </w:rPr>
        <w:t>(</w:t>
      </w:r>
      <w:r w:rsidR="00B84311">
        <w:rPr>
          <w:rFonts w:ascii="Bookman Old Style" w:hAnsi="Bookman Old Style" w:cs="Arial"/>
          <w:i/>
          <w:iCs/>
          <w:sz w:val="20"/>
          <w:szCs w:val="20"/>
          <w:lang w:val="es-MX"/>
        </w:rPr>
        <w:t>sic</w:t>
      </w:r>
      <w:r w:rsidR="00F4078C" w:rsidRPr="0086458B">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 xml:space="preserve">cuyo propietario es el Ministerio de Minas y Energía, pero que su uso se encuentra en cabeza de GENSA. </w:t>
      </w:r>
    </w:p>
    <w:p w14:paraId="534EB4E4" w14:textId="0D7E74BC" w:rsidR="00A961BF" w:rsidRPr="0086458B" w:rsidRDefault="00A961BF" w:rsidP="006F302A">
      <w:pPr>
        <w:ind w:left="567" w:right="142"/>
        <w:contextualSpacing/>
        <w:jc w:val="both"/>
        <w:rPr>
          <w:rFonts w:ascii="Bookman Old Style" w:hAnsi="Bookman Old Style" w:cs="Arial"/>
          <w:i/>
          <w:iCs/>
          <w:sz w:val="20"/>
          <w:szCs w:val="20"/>
          <w:lang w:val="es-MX"/>
        </w:rPr>
      </w:pPr>
    </w:p>
    <w:p w14:paraId="475104F9" w14:textId="2F370C06" w:rsidR="00A961BF" w:rsidRPr="0086458B" w:rsidRDefault="00A961BF" w:rsidP="006F302A">
      <w:pPr>
        <w:ind w:left="567" w:right="142"/>
        <w:contextualSpacing/>
        <w:jc w:val="both"/>
        <w:rPr>
          <w:rFonts w:ascii="Bookman Old Style" w:hAnsi="Bookman Old Style" w:cs="Arial"/>
          <w:i/>
          <w:iCs/>
          <w:sz w:val="20"/>
          <w:szCs w:val="20"/>
          <w:u w:val="single"/>
          <w:lang w:val="es-MX"/>
        </w:rPr>
      </w:pPr>
      <w:r w:rsidRPr="0086458B">
        <w:rPr>
          <w:rFonts w:ascii="Bookman Old Style" w:hAnsi="Bookman Old Style" w:cs="Arial"/>
          <w:i/>
          <w:iCs/>
          <w:sz w:val="20"/>
          <w:szCs w:val="20"/>
          <w:u w:val="single"/>
          <w:lang w:val="es-MX"/>
        </w:rPr>
        <w:lastRenderedPageBreak/>
        <w:t>Petición subsidiaria</w:t>
      </w:r>
    </w:p>
    <w:p w14:paraId="21E98D25" w14:textId="77777777" w:rsidR="00B04EC8" w:rsidRDefault="00B04EC8" w:rsidP="006F302A">
      <w:pPr>
        <w:ind w:left="567" w:right="142"/>
        <w:contextualSpacing/>
        <w:jc w:val="both"/>
        <w:rPr>
          <w:rFonts w:ascii="Bookman Old Style" w:hAnsi="Bookman Old Style" w:cs="Arial"/>
          <w:i/>
          <w:iCs/>
          <w:sz w:val="20"/>
          <w:szCs w:val="20"/>
          <w:lang w:val="es-MX"/>
        </w:rPr>
      </w:pPr>
    </w:p>
    <w:p w14:paraId="6DD5125A" w14:textId="73AF0A4A" w:rsidR="00A961BF" w:rsidRPr="0086458B" w:rsidRDefault="00A961BF"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3.2. IMPONER una servidumbre para la conexión del Proyecto de Generación Fotovoltaica de DUE a la Red Eléctrica de Mitú- Vaupés, a través de la Subestación Mitú operada por GENSA de la cual se deriva la red de distribución operada por la Gobernación del Vaupés. </w:t>
      </w:r>
      <w:r w:rsidR="00B04EC8">
        <w:rPr>
          <w:rFonts w:ascii="Bookman Old Style" w:hAnsi="Bookman Old Style" w:cs="Arial"/>
          <w:i/>
          <w:iCs/>
          <w:sz w:val="20"/>
          <w:szCs w:val="20"/>
          <w:lang w:val="es-MX"/>
        </w:rPr>
        <w:t>(…)”</w:t>
      </w:r>
    </w:p>
    <w:p w14:paraId="53A72181" w14:textId="77777777" w:rsidR="00B04EC8" w:rsidRDefault="00B04EC8" w:rsidP="00E57F55">
      <w:pPr>
        <w:ind w:left="284" w:right="142"/>
        <w:contextualSpacing/>
        <w:jc w:val="both"/>
        <w:rPr>
          <w:rFonts w:ascii="Bookman Old Style" w:hAnsi="Bookman Old Style" w:cs="Arial"/>
          <w:lang w:eastAsia="es-CO"/>
        </w:rPr>
      </w:pPr>
    </w:p>
    <w:p w14:paraId="3C5C0A31" w14:textId="4B7C1B07" w:rsidR="00DF6079" w:rsidRPr="0086458B" w:rsidRDefault="00200B37" w:rsidP="00DF6079">
      <w:pPr>
        <w:ind w:left="284" w:right="142"/>
        <w:contextualSpacing/>
        <w:jc w:val="both"/>
        <w:rPr>
          <w:rFonts w:ascii="Bookman Old Style" w:eastAsia="MS Mincho" w:hAnsi="Bookman Old Style" w:cs="Arial"/>
          <w:highlight w:val="yellow"/>
          <w:lang w:val="es-MX"/>
        </w:rPr>
      </w:pPr>
      <w:r>
        <w:rPr>
          <w:rFonts w:ascii="Bookman Old Style" w:hAnsi="Bookman Old Style" w:cs="Arial"/>
          <w:lang w:eastAsia="es-CO"/>
        </w:rPr>
        <w:t xml:space="preserve">Posteriormente, mediante </w:t>
      </w:r>
      <w:r w:rsidR="001447E3">
        <w:rPr>
          <w:rFonts w:ascii="Bookman Old Style" w:hAnsi="Bookman Old Style" w:cs="Arial"/>
          <w:lang w:eastAsia="es-CO"/>
        </w:rPr>
        <w:t xml:space="preserve">comunicación con </w:t>
      </w:r>
      <w:r w:rsidR="00DF6079" w:rsidRPr="0086458B">
        <w:rPr>
          <w:rFonts w:ascii="Bookman Old Style" w:eastAsia="MS Mincho" w:hAnsi="Bookman Old Style" w:cs="Arial"/>
          <w:lang w:val="es-MX"/>
        </w:rPr>
        <w:t xml:space="preserve">radicado </w:t>
      </w:r>
      <w:r w:rsidR="001447E3">
        <w:rPr>
          <w:rFonts w:ascii="Bookman Old Style" w:eastAsia="MS Mincho" w:hAnsi="Bookman Old Style" w:cs="Arial"/>
          <w:lang w:val="es-MX"/>
        </w:rPr>
        <w:t xml:space="preserve">CREG </w:t>
      </w:r>
      <w:r w:rsidR="00DF6079" w:rsidRPr="0086458B">
        <w:rPr>
          <w:rFonts w:ascii="Bookman Old Style" w:eastAsia="MS Mincho" w:hAnsi="Bookman Old Style" w:cs="Arial"/>
          <w:lang w:val="es-MX"/>
        </w:rPr>
        <w:t xml:space="preserve">E-2020-004532, </w:t>
      </w:r>
      <w:r w:rsidR="00DF6079" w:rsidRPr="590C12F6">
        <w:rPr>
          <w:rFonts w:ascii="Bookman Old Style" w:eastAsia="MS Mincho" w:hAnsi="Bookman Old Style" w:cs="Arial"/>
          <w:lang w:val="es-MX"/>
        </w:rPr>
        <w:t>DUE</w:t>
      </w:r>
      <w:r w:rsidR="00DF6079" w:rsidRPr="3CA18BD8">
        <w:rPr>
          <w:rFonts w:ascii="Bookman Old Style" w:eastAsia="MS Mincho" w:hAnsi="Bookman Old Style" w:cs="Arial"/>
          <w:lang w:val="es-MX"/>
        </w:rPr>
        <w:t xml:space="preserve"> </w:t>
      </w:r>
      <w:r w:rsidR="009D10BE" w:rsidRPr="0ECC7FE6">
        <w:rPr>
          <w:rFonts w:ascii="Bookman Old Style" w:eastAsia="MS Mincho" w:hAnsi="Bookman Old Style" w:cs="Arial"/>
          <w:lang w:val="es-MX"/>
        </w:rPr>
        <w:t>ajustó</w:t>
      </w:r>
      <w:r w:rsidR="009D10BE">
        <w:rPr>
          <w:rFonts w:ascii="Bookman Old Style" w:eastAsia="MS Mincho" w:hAnsi="Bookman Old Style" w:cs="Arial"/>
          <w:lang w:val="es-MX"/>
        </w:rPr>
        <w:t xml:space="preserve"> su solicitud en el siguiente sentido</w:t>
      </w:r>
      <w:r w:rsidR="00DF6079" w:rsidRPr="0086458B">
        <w:rPr>
          <w:rFonts w:ascii="Bookman Old Style" w:eastAsia="MS Mincho" w:hAnsi="Bookman Old Style" w:cs="Arial"/>
          <w:lang w:val="es-MX"/>
        </w:rPr>
        <w:t>:</w:t>
      </w:r>
    </w:p>
    <w:p w14:paraId="5A66F204" w14:textId="77777777" w:rsidR="0061375C" w:rsidRDefault="0061375C" w:rsidP="00DF6079">
      <w:pPr>
        <w:ind w:left="284" w:right="142"/>
        <w:contextualSpacing/>
        <w:jc w:val="both"/>
        <w:rPr>
          <w:rFonts w:ascii="Bookman Old Style" w:eastAsia="MS Mincho" w:hAnsi="Bookman Old Style" w:cs="Arial"/>
          <w:i/>
          <w:iCs/>
          <w:lang w:val="es-MX"/>
        </w:rPr>
      </w:pPr>
    </w:p>
    <w:p w14:paraId="272767B4" w14:textId="55C8F8D5" w:rsidR="0025002D" w:rsidRPr="004C16C3" w:rsidRDefault="00DF6079" w:rsidP="006F302A">
      <w:pPr>
        <w:ind w:left="567" w:right="142"/>
        <w:contextualSpacing/>
        <w:jc w:val="both"/>
        <w:rPr>
          <w:rFonts w:ascii="Bookman Old Style" w:eastAsia="MS Mincho" w:hAnsi="Bookman Old Style" w:cs="Arial"/>
          <w:i/>
          <w:iCs/>
          <w:sz w:val="20"/>
          <w:szCs w:val="20"/>
          <w:lang w:val="es-MX"/>
        </w:rPr>
      </w:pPr>
      <w:r w:rsidRPr="004C16C3">
        <w:rPr>
          <w:rFonts w:ascii="Bookman Old Style" w:eastAsia="MS Mincho" w:hAnsi="Bookman Old Style" w:cs="Arial"/>
          <w:i/>
          <w:iCs/>
          <w:sz w:val="20"/>
          <w:szCs w:val="20"/>
          <w:lang w:val="es-MX"/>
        </w:rPr>
        <w:t>“</w:t>
      </w:r>
      <w:r w:rsidR="0061375C" w:rsidRPr="004C16C3">
        <w:rPr>
          <w:rFonts w:ascii="Bookman Old Style" w:eastAsia="MS Mincho" w:hAnsi="Bookman Old Style" w:cs="Arial"/>
          <w:i/>
          <w:iCs/>
          <w:sz w:val="20"/>
          <w:szCs w:val="20"/>
          <w:lang w:val="es-MX"/>
        </w:rPr>
        <w:t>(…)</w:t>
      </w:r>
      <w:r w:rsidR="0025002D" w:rsidRPr="004C16C3">
        <w:rPr>
          <w:rFonts w:ascii="Bookman Old Style" w:eastAsia="MS Mincho" w:hAnsi="Bookman Old Style" w:cs="Arial"/>
          <w:i/>
          <w:iCs/>
          <w:sz w:val="20"/>
          <w:szCs w:val="20"/>
          <w:lang w:val="es-MX"/>
        </w:rPr>
        <w:t xml:space="preserve"> Por haberse agotado la etapa probatoria de la actuación administrativa y estar plenamente probados los supuestos para una decisión favorable a DUE, de manera respetuosa solicito a la CREG: </w:t>
      </w:r>
    </w:p>
    <w:p w14:paraId="0B50E35B" w14:textId="77777777" w:rsidR="0025002D" w:rsidRPr="004C16C3" w:rsidRDefault="0025002D" w:rsidP="006F302A">
      <w:pPr>
        <w:ind w:left="567" w:right="142"/>
        <w:contextualSpacing/>
        <w:jc w:val="both"/>
        <w:rPr>
          <w:rFonts w:ascii="Bookman Old Style" w:eastAsia="MS Mincho" w:hAnsi="Bookman Old Style" w:cs="Arial"/>
          <w:i/>
          <w:iCs/>
          <w:sz w:val="20"/>
          <w:szCs w:val="20"/>
          <w:lang w:val="es-MX"/>
        </w:rPr>
      </w:pPr>
    </w:p>
    <w:p w14:paraId="11E70D3E" w14:textId="392EDC5F" w:rsidR="0061375C" w:rsidRPr="004C16C3" w:rsidRDefault="0061375C" w:rsidP="006F302A">
      <w:pPr>
        <w:ind w:left="567" w:right="142"/>
        <w:contextualSpacing/>
        <w:jc w:val="both"/>
        <w:rPr>
          <w:rFonts w:ascii="Bookman Old Style" w:eastAsia="MS Mincho" w:hAnsi="Bookman Old Style" w:cs="Arial"/>
          <w:i/>
          <w:iCs/>
          <w:sz w:val="20"/>
          <w:szCs w:val="20"/>
          <w:lang w:val="es-MX"/>
        </w:rPr>
      </w:pPr>
      <w:r w:rsidRPr="004C16C3">
        <w:rPr>
          <w:rFonts w:ascii="Bookman Old Style" w:eastAsia="MS Mincho" w:hAnsi="Bookman Old Style" w:cs="Arial"/>
          <w:i/>
          <w:iCs/>
          <w:sz w:val="20"/>
          <w:szCs w:val="20"/>
          <w:lang w:val="es-MX"/>
        </w:rPr>
        <w:t xml:space="preserve">a) Imponer servidumbre de conexión eléctrica a favor de la planta solar </w:t>
      </w:r>
      <w:r w:rsidR="00225E34" w:rsidRPr="004C16C3">
        <w:rPr>
          <w:rFonts w:ascii="Bookman Old Style" w:eastAsia="MS Mincho" w:hAnsi="Bookman Old Style" w:cs="Arial"/>
          <w:i/>
          <w:iCs/>
          <w:sz w:val="20"/>
          <w:szCs w:val="20"/>
          <w:lang w:val="es-MX"/>
        </w:rPr>
        <w:t>fotovoltaica con almacenamiento denominada Matakavi (activo dominante) y a cargo de la torre 117 de la línea que conecta la central hidroeléctrica de Mitú con la central diésel (activo sirviente).</w:t>
      </w:r>
    </w:p>
    <w:p w14:paraId="20806F02" w14:textId="77777777" w:rsidR="0061375C" w:rsidRPr="004C16C3" w:rsidRDefault="0061375C" w:rsidP="006F302A">
      <w:pPr>
        <w:ind w:left="567" w:right="142"/>
        <w:contextualSpacing/>
        <w:jc w:val="both"/>
        <w:rPr>
          <w:rFonts w:ascii="Bookman Old Style" w:eastAsia="MS Mincho" w:hAnsi="Bookman Old Style" w:cs="Arial"/>
          <w:i/>
          <w:iCs/>
          <w:sz w:val="20"/>
          <w:szCs w:val="20"/>
          <w:lang w:val="es-MX"/>
        </w:rPr>
      </w:pPr>
    </w:p>
    <w:p w14:paraId="3CFE4C72" w14:textId="648A4E06" w:rsidR="00DF6079" w:rsidRPr="004C16C3" w:rsidRDefault="00DF6079" w:rsidP="006F302A">
      <w:pPr>
        <w:ind w:left="567" w:right="142"/>
        <w:contextualSpacing/>
        <w:jc w:val="both"/>
        <w:rPr>
          <w:rFonts w:ascii="Bookman Old Style" w:eastAsia="MS Mincho" w:hAnsi="Bookman Old Style" w:cs="Arial"/>
          <w:i/>
          <w:iCs/>
          <w:sz w:val="20"/>
          <w:szCs w:val="20"/>
          <w:lang w:val="es-MX"/>
        </w:rPr>
      </w:pPr>
      <w:r w:rsidRPr="004C16C3">
        <w:rPr>
          <w:rFonts w:ascii="Bookman Old Style" w:eastAsia="MS Mincho" w:hAnsi="Bookman Old Style" w:cs="Arial"/>
          <w:i/>
          <w:iCs/>
          <w:sz w:val="20"/>
          <w:szCs w:val="20"/>
          <w:lang w:val="es-MX"/>
        </w:rPr>
        <w:t>b) Establecer las condiciones técnicas en que se hará la conexión del generador Matakavia</w:t>
      </w:r>
      <w:r w:rsidR="009D3FD3" w:rsidRPr="004C16C3">
        <w:rPr>
          <w:rFonts w:ascii="Bookman Old Style" w:eastAsia="MS Mincho" w:hAnsi="Bookman Old Style" w:cs="Arial"/>
          <w:i/>
          <w:iCs/>
          <w:sz w:val="20"/>
          <w:szCs w:val="20"/>
          <w:lang w:val="es-MX"/>
        </w:rPr>
        <w:t xml:space="preserve"> a</w:t>
      </w:r>
      <w:r w:rsidRPr="004C16C3">
        <w:rPr>
          <w:rFonts w:ascii="Bookman Old Style" w:eastAsia="MS Mincho" w:hAnsi="Bookman Old Style" w:cs="Arial"/>
          <w:i/>
          <w:iCs/>
          <w:sz w:val="20"/>
          <w:szCs w:val="20"/>
          <w:lang w:val="es-MX"/>
        </w:rPr>
        <w:t xml:space="preserve"> dicha red, que son las que constan en el estudio de conexión acompaño con la solicitud de Due.</w:t>
      </w:r>
    </w:p>
    <w:p w14:paraId="02C7736E" w14:textId="77777777" w:rsidR="00DF6079" w:rsidRPr="004C16C3" w:rsidRDefault="00DF6079" w:rsidP="006F302A">
      <w:pPr>
        <w:ind w:left="567" w:right="142"/>
        <w:contextualSpacing/>
        <w:jc w:val="both"/>
        <w:rPr>
          <w:rFonts w:ascii="Bookman Old Style" w:eastAsia="MS Mincho" w:hAnsi="Bookman Old Style" w:cs="Arial"/>
          <w:i/>
          <w:iCs/>
          <w:sz w:val="20"/>
          <w:szCs w:val="20"/>
          <w:highlight w:val="yellow"/>
          <w:lang w:val="es-MX"/>
        </w:rPr>
      </w:pPr>
    </w:p>
    <w:p w14:paraId="38A3F769" w14:textId="77777777" w:rsidR="00DF6079" w:rsidRPr="004C16C3" w:rsidRDefault="00DF6079" w:rsidP="006F302A">
      <w:pPr>
        <w:ind w:left="567" w:right="142"/>
        <w:contextualSpacing/>
        <w:jc w:val="both"/>
        <w:rPr>
          <w:rFonts w:ascii="Bookman Old Style" w:hAnsi="Bookman Old Style"/>
          <w:i/>
          <w:iCs/>
          <w:sz w:val="20"/>
          <w:szCs w:val="20"/>
        </w:rPr>
      </w:pPr>
      <w:r w:rsidRPr="004C16C3">
        <w:rPr>
          <w:rFonts w:ascii="Bookman Old Style" w:hAnsi="Bookman Old Style"/>
          <w:i/>
          <w:iCs/>
          <w:sz w:val="20"/>
          <w:szCs w:val="20"/>
        </w:rPr>
        <w:t>c) Se indique de manera expresa que las inversiones relacionadas con la concesión, como construcción de líneas y adecuación de los activos estarán a cargo de DUE, por lo cual no habrá lugar a pagos a cargo de DUE.</w:t>
      </w:r>
    </w:p>
    <w:p w14:paraId="055756AF" w14:textId="77777777" w:rsidR="00DF6079" w:rsidRPr="004C16C3" w:rsidRDefault="00DF6079" w:rsidP="006F302A">
      <w:pPr>
        <w:ind w:left="567" w:right="142"/>
        <w:contextualSpacing/>
        <w:jc w:val="both"/>
        <w:rPr>
          <w:rFonts w:ascii="Bookman Old Style" w:hAnsi="Bookman Old Style"/>
          <w:i/>
          <w:iCs/>
          <w:sz w:val="20"/>
          <w:szCs w:val="20"/>
        </w:rPr>
      </w:pPr>
    </w:p>
    <w:p w14:paraId="02A53266" w14:textId="112EA433" w:rsidR="00DF6079" w:rsidRPr="004C16C3" w:rsidRDefault="00DF6079" w:rsidP="006F302A">
      <w:pPr>
        <w:ind w:left="567" w:right="142"/>
        <w:contextualSpacing/>
        <w:jc w:val="both"/>
        <w:rPr>
          <w:rFonts w:ascii="Bookman Old Style" w:hAnsi="Bookman Old Style"/>
          <w:i/>
          <w:iCs/>
          <w:sz w:val="20"/>
          <w:szCs w:val="20"/>
        </w:rPr>
      </w:pPr>
      <w:r w:rsidRPr="004C16C3">
        <w:rPr>
          <w:rFonts w:ascii="Bookman Old Style" w:hAnsi="Bookman Old Style"/>
          <w:i/>
          <w:iCs/>
          <w:sz w:val="20"/>
          <w:szCs w:val="20"/>
        </w:rPr>
        <w:t>Subsidiariamente solicito, se imponga servidumbre de conexión a cargo de barra de conexión de</w:t>
      </w:r>
      <w:r w:rsidR="00F34C95" w:rsidRPr="004C16C3">
        <w:rPr>
          <w:rFonts w:ascii="Bookman Old Style" w:hAnsi="Bookman Old Style"/>
          <w:i/>
          <w:iCs/>
          <w:sz w:val="20"/>
          <w:szCs w:val="20"/>
        </w:rPr>
        <w:t xml:space="preserve"> </w:t>
      </w:r>
      <w:r w:rsidRPr="004C16C3">
        <w:rPr>
          <w:rFonts w:ascii="Bookman Old Style" w:hAnsi="Bookman Old Style"/>
          <w:i/>
          <w:iCs/>
          <w:sz w:val="20"/>
          <w:szCs w:val="20"/>
        </w:rPr>
        <w:t>l</w:t>
      </w:r>
      <w:r w:rsidR="00F34C95" w:rsidRPr="004C16C3">
        <w:rPr>
          <w:rFonts w:ascii="Bookman Old Style" w:hAnsi="Bookman Old Style"/>
          <w:i/>
          <w:iCs/>
          <w:sz w:val="20"/>
          <w:szCs w:val="20"/>
        </w:rPr>
        <w:t>a</w:t>
      </w:r>
      <w:r w:rsidRPr="004C16C3">
        <w:rPr>
          <w:rFonts w:ascii="Bookman Old Style" w:hAnsi="Bookman Old Style"/>
          <w:i/>
          <w:iCs/>
          <w:sz w:val="20"/>
          <w:szCs w:val="20"/>
        </w:rPr>
        <w:t xml:space="preserve"> central diésel con la red de distribución de 13.2</w:t>
      </w:r>
      <w:r w:rsidR="00235351" w:rsidRPr="004C16C3">
        <w:rPr>
          <w:rFonts w:ascii="Bookman Old Style" w:hAnsi="Bookman Old Style"/>
          <w:i/>
          <w:iCs/>
          <w:sz w:val="20"/>
          <w:szCs w:val="20"/>
        </w:rPr>
        <w:t>k</w:t>
      </w:r>
      <w:r w:rsidRPr="004C16C3">
        <w:rPr>
          <w:rFonts w:ascii="Bookman Old Style" w:hAnsi="Bookman Old Style"/>
          <w:i/>
          <w:iCs/>
          <w:sz w:val="20"/>
          <w:szCs w:val="20"/>
        </w:rPr>
        <w:t>V del municipio de Mitú</w:t>
      </w:r>
      <w:r w:rsidR="00235351" w:rsidRPr="004C16C3">
        <w:rPr>
          <w:rFonts w:ascii="Bookman Old Style" w:hAnsi="Bookman Old Style"/>
          <w:i/>
          <w:iCs/>
          <w:sz w:val="20"/>
          <w:szCs w:val="20"/>
        </w:rPr>
        <w:t>. (…)</w:t>
      </w:r>
      <w:r w:rsidRPr="004C16C3">
        <w:rPr>
          <w:rFonts w:ascii="Bookman Old Style" w:hAnsi="Bookman Old Style"/>
          <w:i/>
          <w:iCs/>
          <w:sz w:val="20"/>
          <w:szCs w:val="20"/>
        </w:rPr>
        <w:t>”</w:t>
      </w:r>
    </w:p>
    <w:p w14:paraId="3F1DDF13" w14:textId="77777777" w:rsidR="00200B37" w:rsidRDefault="00200B37" w:rsidP="0049043B">
      <w:pPr>
        <w:pStyle w:val="Textoindependiente"/>
        <w:ind w:left="284" w:right="142"/>
        <w:contextualSpacing/>
        <w:jc w:val="both"/>
        <w:rPr>
          <w:rFonts w:ascii="Bookman Old Style" w:eastAsia="Calibri" w:hAnsi="Bookman Old Style"/>
          <w:b w:val="0"/>
          <w:bCs w:val="0"/>
          <w:color w:val="000000"/>
        </w:rPr>
      </w:pPr>
    </w:p>
    <w:p w14:paraId="1B133CCD" w14:textId="662BAF7E" w:rsidR="00FE4E18" w:rsidRDefault="00FE4E18" w:rsidP="00FE4E18">
      <w:pPr>
        <w:widowControl w:val="0"/>
        <w:ind w:left="284" w:right="51"/>
        <w:contextualSpacing/>
        <w:jc w:val="both"/>
        <w:rPr>
          <w:rFonts w:ascii="Bookman Old Style" w:hAnsi="Bookman Old Style" w:cs="Arial"/>
          <w:lang w:val="es-CO"/>
        </w:rPr>
      </w:pPr>
      <w:r w:rsidRPr="0086458B">
        <w:rPr>
          <w:rFonts w:ascii="Bookman Old Style" w:hAnsi="Bookman Old Style" w:cs="Arial"/>
          <w:lang w:val="es-CO"/>
        </w:rPr>
        <w:t>La anterior solicitud se efectuó teniendo en cuenta que</w:t>
      </w:r>
      <w:r w:rsidR="00086F6B">
        <w:rPr>
          <w:rFonts w:ascii="Bookman Old Style" w:hAnsi="Bookman Old Style" w:cs="Arial"/>
          <w:lang w:val="es-CO"/>
        </w:rPr>
        <w:t>,</w:t>
      </w:r>
      <w:r w:rsidRPr="0086458B">
        <w:rPr>
          <w:rFonts w:ascii="Bookman Old Style" w:hAnsi="Bookman Old Style" w:cs="Arial"/>
          <w:lang w:val="es-CO"/>
        </w:rPr>
        <w:t xml:space="preserve"> de manera previa a la misma, mediante comunicaciones con consecutivo GENSA 0006362019 del 06 de marzo de 2019 y 0017282019 del 12 de julio de 2019, GENSA S.A</w:t>
      </w:r>
      <w:r w:rsidR="00D2141E">
        <w:rPr>
          <w:rFonts w:ascii="Bookman Old Style" w:hAnsi="Bookman Old Style" w:cs="Arial"/>
          <w:lang w:val="es-CO"/>
        </w:rPr>
        <w:t>.</w:t>
      </w:r>
      <w:r w:rsidRPr="0086458B">
        <w:rPr>
          <w:rFonts w:ascii="Bookman Old Style" w:hAnsi="Bookman Old Style" w:cs="Arial"/>
          <w:lang w:val="es-CO"/>
        </w:rPr>
        <w:t xml:space="preserve"> E.S.P</w:t>
      </w:r>
      <w:r>
        <w:rPr>
          <w:rFonts w:ascii="Bookman Old Style" w:hAnsi="Bookman Old Style" w:cs="Arial"/>
          <w:lang w:val="es-CO"/>
        </w:rPr>
        <w:t>.</w:t>
      </w:r>
      <w:r w:rsidRPr="0086458B">
        <w:rPr>
          <w:rFonts w:ascii="Bookman Old Style" w:hAnsi="Bookman Old Style" w:cs="Arial"/>
          <w:lang w:val="es-CO"/>
        </w:rPr>
        <w:t xml:space="preserve">, en adelante GENSA, negó la solicitud de conexión presentada por </w:t>
      </w:r>
      <w:r w:rsidR="00D2141E">
        <w:rPr>
          <w:rFonts w:ascii="Bookman Old Style" w:hAnsi="Bookman Old Style" w:cs="Arial"/>
          <w:lang w:val="es-CO"/>
        </w:rPr>
        <w:t>DUE</w:t>
      </w:r>
      <w:r w:rsidRPr="0086458B">
        <w:rPr>
          <w:rFonts w:ascii="Bookman Old Style" w:hAnsi="Bookman Old Style" w:cs="Arial"/>
          <w:lang w:val="es-CO"/>
        </w:rPr>
        <w:t>.</w:t>
      </w:r>
    </w:p>
    <w:p w14:paraId="56A88C17" w14:textId="77777777" w:rsidR="00FE4E18" w:rsidRPr="0086458B" w:rsidRDefault="00FE4E18" w:rsidP="0049043B">
      <w:pPr>
        <w:pStyle w:val="Textoindependiente"/>
        <w:ind w:left="284" w:right="142"/>
        <w:contextualSpacing/>
        <w:jc w:val="both"/>
        <w:rPr>
          <w:rFonts w:ascii="Bookman Old Style" w:eastAsia="Calibri" w:hAnsi="Bookman Old Style"/>
          <w:b w:val="0"/>
          <w:bCs w:val="0"/>
          <w:color w:val="000000"/>
        </w:rPr>
      </w:pPr>
    </w:p>
    <w:p w14:paraId="41EE4D65" w14:textId="13D72280" w:rsidR="0049043B" w:rsidRPr="0086458B" w:rsidRDefault="00555E78" w:rsidP="00825B9B">
      <w:pPr>
        <w:pStyle w:val="Ttulo1"/>
        <w:ind w:left="284"/>
        <w:jc w:val="both"/>
        <w:rPr>
          <w:rFonts w:cs="Arial"/>
          <w:b w:val="0"/>
        </w:rPr>
      </w:pPr>
      <w:r>
        <w:t>4</w:t>
      </w:r>
      <w:r w:rsidR="0049043B">
        <w:rPr>
          <w:rFonts w:cs="Arial"/>
        </w:rPr>
        <w:t xml:space="preserve">. </w:t>
      </w:r>
      <w:r w:rsidR="003656B9">
        <w:rPr>
          <w:rFonts w:cs="Arial"/>
        </w:rPr>
        <w:t xml:space="preserve">FUNDAMENTO DE </w:t>
      </w:r>
      <w:r w:rsidR="0049043B" w:rsidRPr="0086458B">
        <w:rPr>
          <w:rFonts w:cs="Arial"/>
        </w:rPr>
        <w:t>LA SOLICITUD</w:t>
      </w:r>
      <w:r w:rsidR="0049043B" w:rsidRPr="0ECC7FE6">
        <w:rPr>
          <w:rFonts w:cs="Arial"/>
        </w:rPr>
        <w:t xml:space="preserve"> PRESENTADA POR DUE</w:t>
      </w:r>
    </w:p>
    <w:p w14:paraId="4978223C" w14:textId="77777777" w:rsidR="0049043B" w:rsidRDefault="0049043B" w:rsidP="00E57F55">
      <w:pPr>
        <w:ind w:left="284" w:right="142"/>
        <w:contextualSpacing/>
        <w:jc w:val="both"/>
        <w:rPr>
          <w:rFonts w:ascii="Bookman Old Style" w:hAnsi="Bookman Old Style" w:cs="Arial"/>
          <w:lang w:eastAsia="es-CO"/>
        </w:rPr>
      </w:pPr>
    </w:p>
    <w:p w14:paraId="6EA12BDA" w14:textId="6D78B268" w:rsidR="00CD195F" w:rsidRDefault="006255C6" w:rsidP="00E57F55">
      <w:pPr>
        <w:ind w:left="284" w:right="142"/>
        <w:contextualSpacing/>
        <w:jc w:val="both"/>
        <w:rPr>
          <w:rFonts w:ascii="Bookman Old Style" w:hAnsi="Bookman Old Style" w:cs="Arial"/>
          <w:lang w:eastAsia="es-CO"/>
        </w:rPr>
      </w:pPr>
      <w:r>
        <w:rPr>
          <w:rFonts w:ascii="Bookman Old Style" w:hAnsi="Bookman Old Style" w:cs="Arial"/>
          <w:lang w:eastAsia="es-CO"/>
        </w:rPr>
        <w:t xml:space="preserve">DUE fundamenta </w:t>
      </w:r>
      <w:r w:rsidR="00AC0862">
        <w:rPr>
          <w:rFonts w:ascii="Bookman Old Style" w:hAnsi="Bookman Old Style" w:cs="Arial"/>
          <w:lang w:eastAsia="es-CO"/>
        </w:rPr>
        <w:t xml:space="preserve">su </w:t>
      </w:r>
      <w:r w:rsidR="00C15BC1">
        <w:rPr>
          <w:rFonts w:ascii="Bookman Old Style" w:hAnsi="Bookman Old Style" w:cs="Arial"/>
          <w:lang w:eastAsia="es-CO"/>
        </w:rPr>
        <w:t>solicitud</w:t>
      </w:r>
      <w:r w:rsidR="00FE4E18">
        <w:rPr>
          <w:rFonts w:ascii="Bookman Old Style" w:hAnsi="Bookman Old Style" w:cs="Arial"/>
          <w:lang w:eastAsia="es-CO"/>
        </w:rPr>
        <w:t xml:space="preserve"> </w:t>
      </w:r>
      <w:r w:rsidR="00DE232D">
        <w:rPr>
          <w:rFonts w:ascii="Bookman Old Style" w:hAnsi="Bookman Old Style" w:cs="Arial"/>
          <w:lang w:eastAsia="es-CO"/>
        </w:rPr>
        <w:t>mediante</w:t>
      </w:r>
      <w:r w:rsidR="00FE4E18">
        <w:rPr>
          <w:rFonts w:ascii="Bookman Old Style" w:hAnsi="Bookman Old Style" w:cs="Arial"/>
          <w:lang w:eastAsia="es-CO"/>
        </w:rPr>
        <w:t xml:space="preserve"> comunicación con número de radicado CREG E-2019-011687,</w:t>
      </w:r>
      <w:r w:rsidR="00C15BC1">
        <w:rPr>
          <w:rFonts w:ascii="Bookman Old Style" w:hAnsi="Bookman Old Style" w:cs="Arial"/>
          <w:lang w:eastAsia="es-CO"/>
        </w:rPr>
        <w:t xml:space="preserve"> </w:t>
      </w:r>
      <w:r w:rsidR="00AC0862">
        <w:rPr>
          <w:rFonts w:ascii="Bookman Old Style" w:hAnsi="Bookman Old Style" w:cs="Arial"/>
          <w:lang w:eastAsia="es-CO"/>
        </w:rPr>
        <w:t>a partir de las siguientes consideraciones</w:t>
      </w:r>
      <w:r w:rsidR="00D371FE">
        <w:rPr>
          <w:rFonts w:ascii="Bookman Old Style" w:hAnsi="Bookman Old Style" w:cs="Arial"/>
          <w:lang w:eastAsia="es-CO"/>
        </w:rPr>
        <w:t>:</w:t>
      </w:r>
    </w:p>
    <w:p w14:paraId="2A146D23" w14:textId="77777777" w:rsidR="00B04EC8" w:rsidRPr="0086458B" w:rsidRDefault="00B04EC8" w:rsidP="00E57F55">
      <w:pPr>
        <w:ind w:left="284" w:right="142"/>
        <w:contextualSpacing/>
        <w:jc w:val="both"/>
        <w:rPr>
          <w:rFonts w:ascii="Bookman Old Style" w:hAnsi="Bookman Old Style" w:cs="Arial"/>
          <w:lang w:eastAsia="es-CO"/>
        </w:rPr>
      </w:pPr>
    </w:p>
    <w:p w14:paraId="60BF5BC7" w14:textId="1B95CFBB" w:rsidR="00A961BF" w:rsidRPr="0086458B" w:rsidRDefault="00A961BF"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w:t>
      </w:r>
      <w:r w:rsidR="00C15BC1">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 xml:space="preserve">2.1 Con fundamento en los artículos 11.6, 39.4, 117 y 118 de la Ley 142 de 1994 y el artículo 30 de la Ley 143 de 1994, cuando el interesado en acceder o interconectarse a bienes indispensables para la prestación de los servicios públicos y el usuario de tales bienes, no se pongan de acuerdo en la celebración del contrato para regular el acceso compartido a la conexión, la CREG podrá </w:t>
      </w:r>
      <w:r w:rsidRPr="00880246">
        <w:rPr>
          <w:rFonts w:ascii="Bookman Old Style" w:hAnsi="Bookman Old Style" w:cs="Arial"/>
          <w:i/>
          <w:iCs/>
          <w:sz w:val="20"/>
          <w:szCs w:val="20"/>
          <w:u w:val="single"/>
          <w:lang w:val="es-MX"/>
        </w:rPr>
        <w:t>imponer una servidumbre de acceso o de interconexión a quien tenga el uso del bien</w:t>
      </w:r>
      <w:r w:rsidRPr="0086458B">
        <w:rPr>
          <w:rFonts w:ascii="Bookman Old Style" w:hAnsi="Bookman Old Style" w:cs="Arial"/>
          <w:i/>
          <w:iCs/>
          <w:sz w:val="20"/>
          <w:szCs w:val="20"/>
          <w:lang w:val="es-MX"/>
        </w:rPr>
        <w:t>. En el caso en concreto, el dueño del activo de conexión al que se pretende imponer la servidumbre es el MinEnergía sin embargo, quien tiene el uso del activo es GENSA.</w:t>
      </w:r>
    </w:p>
    <w:p w14:paraId="55305DBE" w14:textId="77777777" w:rsidR="00A961BF" w:rsidRPr="0086458B" w:rsidRDefault="00A961BF" w:rsidP="006F302A">
      <w:pPr>
        <w:ind w:left="567" w:right="142"/>
        <w:contextualSpacing/>
        <w:jc w:val="both"/>
        <w:rPr>
          <w:rFonts w:ascii="Bookman Old Style" w:hAnsi="Bookman Old Style" w:cs="Arial"/>
          <w:i/>
          <w:iCs/>
          <w:sz w:val="20"/>
          <w:szCs w:val="20"/>
          <w:lang w:val="es-MX"/>
        </w:rPr>
      </w:pPr>
    </w:p>
    <w:p w14:paraId="2830CEB1" w14:textId="59734164" w:rsidR="00A961BF" w:rsidRPr="0086458B" w:rsidRDefault="00A961BF"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2.2 El artículo 39.4 de la Ley 142 de 1994 establece que son contratos especiales para la gestión de servicios públicos </w:t>
      </w:r>
      <w:r w:rsidR="0051199D">
        <w:rPr>
          <w:rFonts w:ascii="Bookman Old Style" w:hAnsi="Bookman Old Style" w:cs="Arial"/>
          <w:i/>
          <w:iCs/>
          <w:sz w:val="20"/>
          <w:szCs w:val="20"/>
          <w:lang w:val="es-MX"/>
        </w:rPr>
        <w:t>‘</w:t>
      </w:r>
      <w:r w:rsidRPr="0086458B">
        <w:rPr>
          <w:rFonts w:ascii="Bookman Old Style" w:hAnsi="Bookman Old Style" w:cs="Arial"/>
          <w:i/>
          <w:iCs/>
          <w:sz w:val="20"/>
          <w:szCs w:val="20"/>
          <w:lang w:val="es-MX"/>
        </w:rPr>
        <w:t>los contratos en virtud de los cuales dos o más entidades prestadoras de servicios públicos o estas con grandes proveedores o usuarios, regulan el acceso compartido o de interconexión de bienes indispensables para la prestación de servicios públicos, mediante el pago de remuneración o peaje razonable</w:t>
      </w:r>
      <w:r w:rsidR="00EA1C40">
        <w:rPr>
          <w:rFonts w:ascii="Bookman Old Style" w:hAnsi="Bookman Old Style" w:cs="Arial"/>
          <w:i/>
          <w:iCs/>
          <w:sz w:val="20"/>
          <w:szCs w:val="20"/>
          <w:lang w:val="es-MX"/>
        </w:rPr>
        <w:t>’</w:t>
      </w:r>
      <w:r w:rsidR="00615AA8" w:rsidRPr="0086458B">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 xml:space="preserve">y que </w:t>
      </w:r>
      <w:r w:rsidR="00FF6E05">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si las partes no se convienen, en virtud de esta Ley </w:t>
      </w:r>
      <w:r w:rsidRPr="00FF6E05">
        <w:rPr>
          <w:rFonts w:ascii="Bookman Old Style" w:hAnsi="Bookman Old Style" w:cs="Arial"/>
          <w:i/>
          <w:iCs/>
          <w:sz w:val="20"/>
          <w:szCs w:val="20"/>
          <w:u w:val="single"/>
          <w:lang w:val="es-MX"/>
        </w:rPr>
        <w:t>la comisión de regulación podrá imponer una servidumbre de acceso o de interconexión a quien tenga el uso del bien</w:t>
      </w:r>
      <w:r w:rsidR="00FF6E05">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(el subrayado es mío).</w:t>
      </w:r>
    </w:p>
    <w:p w14:paraId="4B7EB939" w14:textId="77777777" w:rsidR="00A961BF" w:rsidRPr="0086458B" w:rsidRDefault="00A961BF" w:rsidP="006F302A">
      <w:pPr>
        <w:ind w:left="567" w:right="142"/>
        <w:contextualSpacing/>
        <w:jc w:val="both"/>
        <w:rPr>
          <w:rFonts w:ascii="Bookman Old Style" w:hAnsi="Bookman Old Style" w:cs="Arial"/>
          <w:i/>
          <w:iCs/>
          <w:sz w:val="20"/>
          <w:szCs w:val="20"/>
          <w:lang w:val="es-MX"/>
        </w:rPr>
      </w:pPr>
    </w:p>
    <w:p w14:paraId="73761744" w14:textId="2943363C" w:rsidR="00A961BF" w:rsidRPr="0086458B" w:rsidRDefault="00A961BF"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2.3 El artículo 118 de la Ley 142 de 1994 confiere competencia a las comisiones de regulación para imponer servidumbres mediante acto administrativo. De acuerdo con la CREG</w:t>
      </w:r>
      <w:r w:rsidR="00B76404">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w:t>
      </w:r>
      <w:r w:rsidR="00B76404">
        <w:rPr>
          <w:rFonts w:ascii="Bookman Old Style" w:hAnsi="Bookman Old Style" w:cs="Arial"/>
          <w:i/>
          <w:iCs/>
          <w:sz w:val="20"/>
          <w:szCs w:val="20"/>
          <w:lang w:val="es-MX"/>
        </w:rPr>
        <w:t>‘</w:t>
      </w:r>
      <w:r w:rsidRPr="0086458B">
        <w:rPr>
          <w:rFonts w:ascii="Bookman Old Style" w:hAnsi="Bookman Old Style" w:cs="Arial"/>
          <w:i/>
          <w:iCs/>
          <w:sz w:val="20"/>
          <w:szCs w:val="20"/>
          <w:lang w:val="es-MX"/>
        </w:rPr>
        <w:t>(…) si bien la norma no precisa en que casos las comisiones de regulación tienen competencia para imponer servidumbres, de la lectura de los artículos 28,</w:t>
      </w:r>
      <w:r w:rsidR="00541CD0" w:rsidRPr="0086458B">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39.4 y 73.8 de la Ley 142 de 1994, se puede deducir que la facultad de las comisiones en este asunto se limita a la interconexión de redes con el propósito de aumentar la cobertura de la prestación de los servicios, proteger a los usuarios, garantizar la calidad y continuidad de la prestación de los servicios y para promover la competencia y el uso eficiente de la infraestructura esencial para la prestación de los mismos</w:t>
      </w:r>
      <w:r w:rsidR="004B5C38">
        <w:rPr>
          <w:rFonts w:ascii="Bookman Old Style" w:hAnsi="Bookman Old Style" w:cs="Arial"/>
          <w:i/>
          <w:iCs/>
          <w:sz w:val="20"/>
          <w:szCs w:val="20"/>
          <w:lang w:val="es-MX"/>
        </w:rPr>
        <w:t>’</w:t>
      </w:r>
      <w:r w:rsidRPr="0086458B">
        <w:rPr>
          <w:rFonts w:ascii="Bookman Old Style" w:hAnsi="Bookman Old Style" w:cs="Arial"/>
          <w:i/>
          <w:iCs/>
          <w:sz w:val="20"/>
          <w:szCs w:val="20"/>
          <w:lang w:val="es-MX"/>
        </w:rPr>
        <w:t>.</w:t>
      </w:r>
    </w:p>
    <w:p w14:paraId="4C119637" w14:textId="2A4C8B95" w:rsidR="00F33547" w:rsidRPr="0086458B" w:rsidRDefault="00F33547" w:rsidP="006F302A">
      <w:pPr>
        <w:ind w:left="567" w:right="142"/>
        <w:contextualSpacing/>
        <w:jc w:val="both"/>
        <w:rPr>
          <w:rFonts w:ascii="Bookman Old Style" w:hAnsi="Bookman Old Style" w:cs="Arial"/>
          <w:i/>
          <w:iCs/>
          <w:sz w:val="20"/>
          <w:szCs w:val="20"/>
          <w:lang w:val="es-MX"/>
        </w:rPr>
      </w:pPr>
    </w:p>
    <w:p w14:paraId="0CF34ABF" w14:textId="7DF36902" w:rsidR="00515F88"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2.4 De acuerdo con pronunciamientos anteriores de la CREG, </w:t>
      </w:r>
      <w:r w:rsidR="004B5C38">
        <w:rPr>
          <w:rFonts w:ascii="Bookman Old Style" w:hAnsi="Bookman Old Style" w:cs="Arial"/>
          <w:i/>
          <w:iCs/>
          <w:sz w:val="20"/>
          <w:szCs w:val="20"/>
          <w:lang w:val="es-MX"/>
        </w:rPr>
        <w:t>‘</w:t>
      </w:r>
      <w:r w:rsidRPr="0086458B">
        <w:rPr>
          <w:rFonts w:ascii="Bookman Old Style" w:hAnsi="Bookman Old Style" w:cs="Arial"/>
          <w:i/>
          <w:iCs/>
          <w:sz w:val="20"/>
          <w:szCs w:val="20"/>
          <w:lang w:val="es-MX"/>
        </w:rPr>
        <w:t>la imposición de servidumbres está encaminada a la promoción y protección de la competencia entre quienes prestan servicios públicos , a la regulación de los monopolios y la prohibición del abuso de posición dominante (Articulo 73) , y procede a falta de acuerdo entre las partes, para permitir el acceso a la interconexión a bienes que utilicen las empresas para la prestación de un servicio público domiciliario (Artículo 39.4); esto para hacer efectivo el principio de libre acceso a las redes que consagra la Ley 142 de 1994</w:t>
      </w:r>
      <w:r w:rsidR="008E2DED">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En ese sentido la CREG tiene competencia para responder </w:t>
      </w:r>
      <w:r w:rsidRPr="6A258F9A">
        <w:rPr>
          <w:rFonts w:ascii="Bookman Old Style" w:hAnsi="Bookman Old Style" w:cs="Arial"/>
          <w:i/>
          <w:iCs/>
          <w:sz w:val="20"/>
          <w:szCs w:val="20"/>
          <w:lang w:val="es-MX"/>
        </w:rPr>
        <w:t>la</w:t>
      </w:r>
      <w:r w:rsidRPr="0086458B">
        <w:rPr>
          <w:rFonts w:ascii="Bookman Old Style" w:hAnsi="Bookman Old Style" w:cs="Arial"/>
          <w:i/>
          <w:iCs/>
          <w:sz w:val="20"/>
          <w:szCs w:val="20"/>
          <w:lang w:val="es-MX"/>
        </w:rPr>
        <w:t xml:space="preserve"> petición de cualquiera de las partes, los conflictos que surjan entre empresas por razón de las solicitudes de conexión y que no corresponda resolver a otras autoridades administrativas (Articulo 73.8), con la misma finalidad antes indicada.</w:t>
      </w:r>
    </w:p>
    <w:p w14:paraId="6C872739" w14:textId="77777777" w:rsidR="00515F88" w:rsidRPr="0086458B" w:rsidRDefault="00515F88" w:rsidP="006F302A">
      <w:pPr>
        <w:ind w:left="567" w:right="142"/>
        <w:contextualSpacing/>
        <w:jc w:val="both"/>
        <w:rPr>
          <w:rFonts w:ascii="Bookman Old Style" w:hAnsi="Bookman Old Style" w:cs="Arial"/>
          <w:i/>
          <w:iCs/>
          <w:sz w:val="20"/>
          <w:szCs w:val="20"/>
          <w:lang w:val="es-MX"/>
        </w:rPr>
      </w:pPr>
    </w:p>
    <w:p w14:paraId="17F8AB7F" w14:textId="435CF7D3" w:rsidR="00515F88"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2.5 Ahora bien, el artículo 11.6 de la Ley 142 de 1994, establece que las entidades que presten servicios públicos deberán </w:t>
      </w:r>
      <w:r w:rsidR="00AD1517">
        <w:rPr>
          <w:rFonts w:ascii="Bookman Old Style" w:hAnsi="Bookman Old Style" w:cs="Arial"/>
          <w:i/>
          <w:iCs/>
          <w:sz w:val="20"/>
          <w:szCs w:val="20"/>
          <w:lang w:val="es-MX"/>
        </w:rPr>
        <w:t>‘</w:t>
      </w:r>
      <w:r w:rsidRPr="0086458B">
        <w:rPr>
          <w:rFonts w:ascii="Bookman Old Style" w:hAnsi="Bookman Old Style" w:cs="Arial"/>
          <w:i/>
          <w:iCs/>
          <w:sz w:val="20"/>
          <w:szCs w:val="20"/>
          <w:lang w:val="es-MX"/>
        </w:rPr>
        <w:t>facilitar el acceso e interconexión de otras empresas o entidades que prestan servicios públicos, o que sean grandes usuarios de ellos, a los bienes empleados para la organización y prestación de los servicios</w:t>
      </w:r>
      <w:r w:rsidR="00D6617D">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En este mismo sentido, el artículo 30 de la Ley 143 de 1994, estableció, entre otras cosas, que </w:t>
      </w:r>
      <w:r w:rsidR="00D6617D">
        <w:rPr>
          <w:rFonts w:ascii="Bookman Old Style" w:hAnsi="Bookman Old Style" w:cs="Arial"/>
          <w:i/>
          <w:iCs/>
          <w:sz w:val="20"/>
          <w:szCs w:val="20"/>
          <w:lang w:val="es-MX"/>
        </w:rPr>
        <w:t>‘</w:t>
      </w:r>
      <w:r w:rsidRPr="0086458B">
        <w:rPr>
          <w:rFonts w:ascii="Bookman Old Style" w:hAnsi="Bookman Old Style" w:cs="Arial"/>
          <w:i/>
          <w:iCs/>
          <w:sz w:val="20"/>
          <w:szCs w:val="20"/>
          <w:lang w:val="es-MX"/>
        </w:rPr>
        <w:t>(…) las empresas propietarias de redes de interconexión, transmisión y distribución permitirán la conexión y acceso de las empresas eléctricas, de otros agentes generadores y de los usuarios que lo soliciten, previo el cumplimiento de las normas que rijan el servicio y el pago de las retribuciones que correspondan</w:t>
      </w:r>
      <w:r w:rsidR="002A5FA8">
        <w:rPr>
          <w:rFonts w:ascii="Bookman Old Style" w:hAnsi="Bookman Old Style" w:cs="Arial"/>
          <w:i/>
          <w:iCs/>
          <w:sz w:val="20"/>
          <w:szCs w:val="20"/>
          <w:lang w:val="es-MX"/>
        </w:rPr>
        <w:t>’</w:t>
      </w:r>
      <w:r w:rsidRPr="0086458B">
        <w:rPr>
          <w:rFonts w:ascii="Bookman Old Style" w:hAnsi="Bookman Old Style" w:cs="Arial"/>
          <w:i/>
          <w:iCs/>
          <w:sz w:val="20"/>
          <w:szCs w:val="20"/>
          <w:lang w:val="es-MX"/>
        </w:rPr>
        <w:t>.</w:t>
      </w:r>
    </w:p>
    <w:p w14:paraId="39D7EF4B" w14:textId="77777777" w:rsidR="00515F88" w:rsidRPr="0086458B" w:rsidRDefault="00515F88" w:rsidP="006F302A">
      <w:pPr>
        <w:ind w:left="567" w:right="142"/>
        <w:contextualSpacing/>
        <w:jc w:val="both"/>
        <w:rPr>
          <w:rFonts w:ascii="Bookman Old Style" w:hAnsi="Bookman Old Style" w:cs="Arial"/>
          <w:i/>
          <w:iCs/>
          <w:sz w:val="20"/>
          <w:szCs w:val="20"/>
          <w:lang w:val="es-MX"/>
        </w:rPr>
      </w:pPr>
    </w:p>
    <w:p w14:paraId="2C03E704" w14:textId="1C337B22" w:rsidR="00515F88"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2.6 Además de lo anterior, la CREG mediante la reciente Resolución 080 de 2019 determinó que los agentes regulatorios deben desarrollar sus actividades en cumplimiento de los principios y fines regulatorios establecidos en la Constitución Política y en la ley, estableciendo que los agentes deben </w:t>
      </w:r>
      <w:r w:rsidR="00374D5F">
        <w:rPr>
          <w:rFonts w:ascii="Bookman Old Style" w:hAnsi="Bookman Old Style" w:cs="Arial"/>
          <w:i/>
          <w:iCs/>
          <w:sz w:val="20"/>
          <w:szCs w:val="20"/>
          <w:lang w:val="es-MX"/>
        </w:rPr>
        <w:t>‘</w:t>
      </w:r>
      <w:r w:rsidRPr="0086458B">
        <w:rPr>
          <w:rFonts w:ascii="Bookman Old Style" w:hAnsi="Bookman Old Style" w:cs="Arial"/>
          <w:i/>
          <w:iCs/>
          <w:sz w:val="20"/>
          <w:szCs w:val="20"/>
          <w:lang w:val="es-MX"/>
        </w:rPr>
        <w:t>(…) abstenerse de participar en actos, contratos o prácticas que tengan la capacidad, el propósito o el efecto de eludir los fines previstos para la regulación</w:t>
      </w:r>
      <w:r w:rsidR="008A3688">
        <w:rPr>
          <w:rFonts w:ascii="Bookman Old Style" w:hAnsi="Bookman Old Style" w:cs="Arial"/>
          <w:i/>
          <w:iCs/>
          <w:sz w:val="20"/>
          <w:szCs w:val="20"/>
          <w:lang w:val="es-MX"/>
        </w:rPr>
        <w:t>’</w:t>
      </w:r>
      <w:r w:rsidRPr="0086458B">
        <w:rPr>
          <w:rFonts w:ascii="Bookman Old Style" w:hAnsi="Bookman Old Style" w:cs="Arial"/>
          <w:i/>
          <w:iCs/>
          <w:sz w:val="20"/>
          <w:szCs w:val="20"/>
          <w:lang w:val="es-MX"/>
        </w:rPr>
        <w:t>. De esta manera</w:t>
      </w:r>
      <w:r w:rsidR="008A3688">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todos los agentes (incluida GENSA) que desarrollen las actividades propias de la prestación de los servicios públicos domiciliarios de energía eléctrica y gas combustible deben abstenerse de realizar actos que sean contrarios a los fines previstos en la regulación, entre los que se destacan, por ejemplo, el libre acceso a las redes y la libre competencia. Correlativamente a esta obligación de </w:t>
      </w:r>
      <w:r w:rsidR="00A36850" w:rsidRPr="0086458B">
        <w:rPr>
          <w:rFonts w:ascii="Bookman Old Style" w:hAnsi="Bookman Old Style" w:cs="Arial"/>
          <w:i/>
          <w:iCs/>
          <w:sz w:val="20"/>
          <w:szCs w:val="20"/>
          <w:lang w:val="es-MX"/>
        </w:rPr>
        <w:t>GENSA</w:t>
      </w:r>
      <w:r w:rsidRPr="0086458B">
        <w:rPr>
          <w:rFonts w:ascii="Bookman Old Style" w:hAnsi="Bookman Old Style" w:cs="Arial"/>
          <w:i/>
          <w:iCs/>
          <w:sz w:val="20"/>
          <w:szCs w:val="20"/>
          <w:lang w:val="es-MX"/>
        </w:rPr>
        <w:t xml:space="preserve">, DUE tiene el derecho a ser tratado de manera que se le permita competir y ejercer su derecho fundamental a la libre empresa, que son los fines previstos en la regulación, como expresamente lo indicó la CREG ante consulta nuestra respecto del </w:t>
      </w:r>
      <w:r w:rsidR="00F06FF1">
        <w:rPr>
          <w:rFonts w:ascii="Bookman Old Style" w:hAnsi="Bookman Old Style" w:cs="Arial"/>
          <w:i/>
          <w:iCs/>
          <w:sz w:val="20"/>
          <w:szCs w:val="20"/>
          <w:lang w:val="es-MX"/>
        </w:rPr>
        <w:t>P</w:t>
      </w:r>
      <w:r w:rsidRPr="0086458B">
        <w:rPr>
          <w:rFonts w:ascii="Bookman Old Style" w:hAnsi="Bookman Old Style" w:cs="Arial"/>
          <w:i/>
          <w:iCs/>
          <w:sz w:val="20"/>
          <w:szCs w:val="20"/>
          <w:lang w:val="es-MX"/>
        </w:rPr>
        <w:t>royecto.</w:t>
      </w:r>
    </w:p>
    <w:p w14:paraId="2CC244F8" w14:textId="77777777" w:rsidR="00515F88" w:rsidRPr="0086458B" w:rsidRDefault="00515F88" w:rsidP="006F302A">
      <w:pPr>
        <w:ind w:left="567" w:right="142"/>
        <w:contextualSpacing/>
        <w:jc w:val="both"/>
        <w:rPr>
          <w:rFonts w:ascii="Bookman Old Style" w:hAnsi="Bookman Old Style" w:cs="Arial"/>
          <w:i/>
          <w:iCs/>
          <w:sz w:val="20"/>
          <w:szCs w:val="20"/>
          <w:lang w:val="es-MX"/>
        </w:rPr>
      </w:pPr>
    </w:p>
    <w:p w14:paraId="33DCA0A2" w14:textId="3A014F71" w:rsidR="00515F88"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2.7 De esta manera, la posición asumida por GENSA y MinEnergía, frente a la solicitud de conexión realizada por DUE no solo atenta contra los principios de libre acceso a las redes y libre competencia, sino que evidencia un mal comportamiento por parte de estas entidades, quien no están desarrollando sus actividades conforme a la Constitución y a la ley, específicamente</w:t>
      </w:r>
      <w:r w:rsidR="000B344E">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acorde a los artículos 2,</w:t>
      </w:r>
      <w:r w:rsidR="00681D7C" w:rsidRPr="0086458B">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11.6,</w:t>
      </w:r>
      <w:r w:rsidR="00681D7C" w:rsidRPr="0086458B">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39.4,</w:t>
      </w:r>
      <w:r w:rsidR="00681D7C" w:rsidRPr="0086458B">
        <w:rPr>
          <w:rFonts w:ascii="Bookman Old Style" w:hAnsi="Bookman Old Style" w:cs="Arial"/>
          <w:i/>
          <w:iCs/>
          <w:sz w:val="20"/>
          <w:szCs w:val="20"/>
          <w:lang w:val="es-MX"/>
        </w:rPr>
        <w:t xml:space="preserve"> </w:t>
      </w:r>
      <w:r w:rsidRPr="0086458B">
        <w:rPr>
          <w:rFonts w:ascii="Bookman Old Style" w:hAnsi="Bookman Old Style" w:cs="Arial"/>
          <w:i/>
          <w:iCs/>
          <w:sz w:val="20"/>
          <w:szCs w:val="20"/>
          <w:lang w:val="es-MX"/>
        </w:rPr>
        <w:t>117 y 118 de la Ley 142 de 1994 y al artículo 30 de la Ley 143 de 1994.</w:t>
      </w:r>
    </w:p>
    <w:p w14:paraId="320B25B8" w14:textId="77777777" w:rsidR="00515F88" w:rsidRPr="0086458B" w:rsidRDefault="00515F88" w:rsidP="006F302A">
      <w:pPr>
        <w:ind w:left="567" w:right="142"/>
        <w:contextualSpacing/>
        <w:jc w:val="both"/>
        <w:rPr>
          <w:rFonts w:ascii="Bookman Old Style" w:hAnsi="Bookman Old Style" w:cs="Arial"/>
          <w:i/>
          <w:iCs/>
          <w:sz w:val="20"/>
          <w:szCs w:val="20"/>
          <w:lang w:val="es-MX"/>
        </w:rPr>
      </w:pPr>
    </w:p>
    <w:p w14:paraId="70B2C687" w14:textId="0C6648E4" w:rsidR="00B214B1"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2.8 La CREG ha sido reiterativa en señalar que </w:t>
      </w:r>
      <w:r w:rsidR="00A067ED">
        <w:rPr>
          <w:rFonts w:ascii="Bookman Old Style" w:hAnsi="Bookman Old Style" w:cs="Arial"/>
          <w:i/>
          <w:iCs/>
          <w:sz w:val="20"/>
          <w:szCs w:val="20"/>
          <w:lang w:val="es-MX"/>
        </w:rPr>
        <w:t>‘</w:t>
      </w:r>
      <w:r w:rsidRPr="0086458B">
        <w:rPr>
          <w:rFonts w:ascii="Bookman Old Style" w:hAnsi="Bookman Old Style" w:cs="Arial"/>
          <w:i/>
          <w:iCs/>
          <w:sz w:val="20"/>
          <w:szCs w:val="20"/>
          <w:lang w:val="es-MX"/>
        </w:rPr>
        <w:t>la imposición de servidumbres está encaminada a la promoción y protección de la competencia entre quienes prestan servicios públicos, a la regulación de los monopolios y la prohibición del abuso de posición dominante (Artículo 73) y procede a falta de acuerdo entre las partes, para permitir el acceso a bienes que utilicen las empresas para la prestación de un servicio público domiciliario (Articulo 39.4); esto para hacer efectivo el principio de libre acceso a las redes que consagra la Ley 142 de 1994.</w:t>
      </w:r>
    </w:p>
    <w:p w14:paraId="71C6ABA1" w14:textId="77777777" w:rsidR="007C1873" w:rsidRPr="0086458B" w:rsidRDefault="007C1873" w:rsidP="006F302A">
      <w:pPr>
        <w:ind w:left="567" w:right="142"/>
        <w:contextualSpacing/>
        <w:jc w:val="both"/>
        <w:rPr>
          <w:rFonts w:ascii="Bookman Old Style" w:hAnsi="Bookman Old Style" w:cs="Arial"/>
          <w:i/>
          <w:iCs/>
          <w:sz w:val="20"/>
          <w:szCs w:val="20"/>
          <w:lang w:val="es-MX"/>
        </w:rPr>
      </w:pPr>
    </w:p>
    <w:p w14:paraId="15771C36" w14:textId="53AD271D" w:rsidR="00515F88"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En este sentido, en las comunicaciones cruzadas con GENSA resumidas en los antecedentes, se puede evidenciar la posición injustificada que esta ha mantenido para impedir el acceso de DUE a la red, situación que además de desconocer el principio de libre acceso a las redes, pretende perpetuar la posición dominante que actualmente tiene GENSA en las ZNI del Vaupés, así como desconocer que la entrada del Proyecto al sistema de generación de Mitú contribuye de forma importante a la calidad del servicio, da la posibilidad de ampliar la cobertura, disminuye significativamente el costo de generación lo que redundará en el cumplimiento de la política del Gobierno respecto de la racionalización del costo de los subsidios.</w:t>
      </w:r>
    </w:p>
    <w:p w14:paraId="1581FE24" w14:textId="77777777" w:rsidR="00515F88" w:rsidRPr="0086458B" w:rsidRDefault="00515F88" w:rsidP="006F302A">
      <w:pPr>
        <w:ind w:left="567" w:right="142"/>
        <w:contextualSpacing/>
        <w:jc w:val="both"/>
        <w:rPr>
          <w:rFonts w:ascii="Bookman Old Style" w:hAnsi="Bookman Old Style" w:cs="Arial"/>
          <w:i/>
          <w:iCs/>
          <w:sz w:val="20"/>
          <w:szCs w:val="20"/>
          <w:lang w:val="es-MX"/>
        </w:rPr>
      </w:pPr>
    </w:p>
    <w:p w14:paraId="36FF593C" w14:textId="7F805CCD" w:rsidR="00515F88" w:rsidRPr="0086458B"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2.9 Así mismo, el artículo 9 de la Ley 1715 de 2014 establece que </w:t>
      </w:r>
      <w:r w:rsidR="00AE48CC">
        <w:rPr>
          <w:rFonts w:ascii="Bookman Old Style" w:hAnsi="Bookman Old Style" w:cs="Arial"/>
          <w:i/>
          <w:iCs/>
          <w:sz w:val="20"/>
          <w:szCs w:val="20"/>
          <w:lang w:val="es-MX"/>
        </w:rPr>
        <w:t>‘E</w:t>
      </w:r>
      <w:r w:rsidRPr="0086458B">
        <w:rPr>
          <w:rFonts w:ascii="Bookman Old Style" w:hAnsi="Bookman Old Style" w:cs="Arial"/>
          <w:i/>
          <w:iCs/>
          <w:sz w:val="20"/>
          <w:szCs w:val="20"/>
          <w:lang w:val="es-MX"/>
        </w:rPr>
        <w:t>l Gobierno Nacional implementará un programa destinado a sustituir progresivamente la generación con diésel en las ZNI con el objetivo de reducir los costos de prestación del servicio y las emisiones de gases contaminantes</w:t>
      </w:r>
      <w:r w:rsidR="00320D88">
        <w:rPr>
          <w:rFonts w:ascii="Bookman Old Style" w:hAnsi="Bookman Old Style" w:cs="Arial"/>
          <w:i/>
          <w:iCs/>
          <w:sz w:val="20"/>
          <w:szCs w:val="20"/>
          <w:lang w:val="es-MX"/>
        </w:rPr>
        <w:t>’</w:t>
      </w:r>
      <w:r w:rsidRPr="0086458B">
        <w:rPr>
          <w:rFonts w:ascii="Bookman Old Style" w:hAnsi="Bookman Old Style" w:cs="Arial"/>
          <w:i/>
          <w:iCs/>
          <w:sz w:val="20"/>
          <w:szCs w:val="20"/>
          <w:lang w:val="es-MX"/>
        </w:rPr>
        <w:t xml:space="preserve">. Esto significa que las ZNI requieren una solución de energización local, que ofrezca un servicio constante y confiable, y cuyos costos de generación sean asequibles a la población, tal y como lo propende el </w:t>
      </w:r>
      <w:r w:rsidR="003A68BB">
        <w:rPr>
          <w:rFonts w:ascii="Bookman Old Style" w:hAnsi="Bookman Old Style" w:cs="Arial"/>
          <w:i/>
          <w:iCs/>
          <w:sz w:val="20"/>
          <w:szCs w:val="20"/>
          <w:lang w:val="es-MX"/>
        </w:rPr>
        <w:t>P</w:t>
      </w:r>
      <w:r w:rsidRPr="0086458B">
        <w:rPr>
          <w:rFonts w:ascii="Bookman Old Style" w:hAnsi="Bookman Old Style" w:cs="Arial"/>
          <w:i/>
          <w:iCs/>
          <w:sz w:val="20"/>
          <w:szCs w:val="20"/>
          <w:lang w:val="es-MX"/>
        </w:rPr>
        <w:t>royecto.</w:t>
      </w:r>
    </w:p>
    <w:p w14:paraId="7D0F2870" w14:textId="77777777" w:rsidR="00515F88" w:rsidRPr="0086458B" w:rsidRDefault="00515F88" w:rsidP="006F302A">
      <w:pPr>
        <w:ind w:left="567" w:right="142"/>
        <w:contextualSpacing/>
        <w:jc w:val="both"/>
        <w:rPr>
          <w:rFonts w:ascii="Bookman Old Style" w:hAnsi="Bookman Old Style" w:cs="Arial"/>
          <w:i/>
          <w:iCs/>
          <w:sz w:val="20"/>
          <w:szCs w:val="20"/>
          <w:lang w:val="es-MX"/>
        </w:rPr>
      </w:pPr>
    </w:p>
    <w:p w14:paraId="6DBC94A8" w14:textId="4BB645C3" w:rsidR="006131A5" w:rsidRDefault="00515F88" w:rsidP="006F302A">
      <w:pPr>
        <w:ind w:left="567" w:right="142"/>
        <w:contextualSpacing/>
        <w:jc w:val="both"/>
        <w:rPr>
          <w:rFonts w:ascii="Bookman Old Style" w:hAnsi="Bookman Old Style" w:cs="Arial"/>
          <w:i/>
          <w:iCs/>
          <w:sz w:val="20"/>
          <w:szCs w:val="20"/>
          <w:lang w:val="es-MX"/>
        </w:rPr>
      </w:pPr>
      <w:r w:rsidRPr="0086458B">
        <w:rPr>
          <w:rFonts w:ascii="Bookman Old Style" w:hAnsi="Bookman Old Style" w:cs="Arial"/>
          <w:i/>
          <w:iCs/>
          <w:sz w:val="20"/>
          <w:szCs w:val="20"/>
          <w:lang w:val="es-MX"/>
        </w:rPr>
        <w:t xml:space="preserve">2.10 Conforme a lo anterior, el documento CONPES 3453 (2006) recomendó, entre otras cosas: </w:t>
      </w:r>
      <w:r w:rsidR="006131A5">
        <w:rPr>
          <w:rFonts w:ascii="Bookman Old Style" w:hAnsi="Bookman Old Style" w:cs="Arial"/>
          <w:i/>
          <w:iCs/>
          <w:sz w:val="20"/>
          <w:szCs w:val="20"/>
          <w:lang w:val="es-MX"/>
        </w:rPr>
        <w:t>(</w:t>
      </w:r>
      <w:r w:rsidR="006131A5" w:rsidRPr="006131A5">
        <w:rPr>
          <w:rFonts w:ascii="Bookman Old Style" w:hAnsi="Bookman Old Style" w:cs="Arial"/>
          <w:i/>
          <w:iCs/>
          <w:sz w:val="20"/>
          <w:szCs w:val="20"/>
          <w:lang w:val="es-MX"/>
        </w:rPr>
        <w:t>i) desarrollar un programa de aumento de coberturas en las ZNI, teniendo en cuenta el potencial energético de las diferentes zonas; (ii) desarrollar proyectos piloto de generación eléctrica a partir de fuentes no convencionales, y buscar replicarlas en las ZNI; (iii) orientar los recursos provenientes de cooperación internacional al desarrollo de proyectos de energías alternativas; (iv) fomentar el uso de fuentes de energía renovable, incorporando incentivos en los esquemas de selección y contratación de operadores, para reemplazar el uso de combustibles fósiles por otras fuentes de energía, y; (v) promover la mejora estructural del servicio a través de fomentar la competencia en las actividades que conforman la prestación del servicio público de energía eléctrica; por lo que resulta relevante la implementación de un proyecto fotovoltaico como el que tiene DUE para diversificar la matriz de las fuentes de energía y garantizar a su vez, la prestación del servicio de energía eléctrica en esta ZNI.</w:t>
      </w:r>
    </w:p>
    <w:p w14:paraId="200F6AFC" w14:textId="77777777" w:rsidR="006131A5" w:rsidRPr="0086458B" w:rsidRDefault="006131A5" w:rsidP="006F302A">
      <w:pPr>
        <w:ind w:left="567" w:right="142"/>
        <w:contextualSpacing/>
        <w:jc w:val="both"/>
        <w:rPr>
          <w:rFonts w:ascii="Bookman Old Style" w:hAnsi="Bookman Old Style" w:cs="Arial"/>
          <w:i/>
          <w:iCs/>
          <w:sz w:val="20"/>
          <w:szCs w:val="20"/>
          <w:lang w:val="es-MX"/>
        </w:rPr>
      </w:pPr>
    </w:p>
    <w:p w14:paraId="5805A72B" w14:textId="555D833B" w:rsidR="00515F88" w:rsidRPr="00652E66" w:rsidRDefault="00515F88" w:rsidP="006F302A">
      <w:pPr>
        <w:ind w:left="567" w:right="142"/>
        <w:contextualSpacing/>
        <w:jc w:val="both"/>
        <w:rPr>
          <w:rFonts w:ascii="Bookman Old Style" w:hAnsi="Bookman Old Style" w:cs="Arial"/>
          <w:sz w:val="20"/>
          <w:szCs w:val="20"/>
          <w:lang w:val="es-MX"/>
        </w:rPr>
      </w:pPr>
      <w:r w:rsidRPr="0086458B">
        <w:rPr>
          <w:rFonts w:ascii="Bookman Old Style" w:hAnsi="Bookman Old Style" w:cs="Arial"/>
          <w:i/>
          <w:iCs/>
          <w:sz w:val="20"/>
          <w:szCs w:val="20"/>
          <w:lang w:val="es-MX"/>
        </w:rPr>
        <w:t>2.11 DUE ha solicitado a la CREG se le aprueben cargos de generación de conformidad con la Resolución 091 de 2007 que propende por costos eficientes y no, como actualmente sucede en la ZNI de Vaupés, el mero reembolso de costos reales, que superan el cargo reconocido por la CREG (costos eficientes) y pagaderos a GENSA por tratarse de una ESP con participación mayoritaria del Estado, en virtud de lo previsto en el artículo 1 de la Resolución 91873 de 28 diciembre de 2012 de Min</w:t>
      </w:r>
      <w:r w:rsidR="005D270A">
        <w:rPr>
          <w:rFonts w:ascii="Bookman Old Style" w:hAnsi="Bookman Old Style" w:cs="Arial"/>
          <w:i/>
          <w:iCs/>
          <w:sz w:val="20"/>
          <w:szCs w:val="20"/>
          <w:lang w:val="es-MX"/>
        </w:rPr>
        <w:t>E</w:t>
      </w:r>
      <w:r w:rsidR="00202BEA">
        <w:rPr>
          <w:rFonts w:ascii="Bookman Old Style" w:hAnsi="Bookman Old Style" w:cs="Arial"/>
          <w:i/>
          <w:iCs/>
          <w:sz w:val="20"/>
          <w:szCs w:val="20"/>
          <w:lang w:val="es-MX"/>
        </w:rPr>
        <w:t>ne</w:t>
      </w:r>
      <w:r w:rsidRPr="0086458B">
        <w:rPr>
          <w:rFonts w:ascii="Bookman Old Style" w:hAnsi="Bookman Old Style" w:cs="Arial"/>
          <w:i/>
          <w:iCs/>
          <w:sz w:val="20"/>
          <w:szCs w:val="20"/>
          <w:lang w:val="es-MX"/>
        </w:rPr>
        <w:t>rgía</w:t>
      </w:r>
      <w:r w:rsidR="00652E66">
        <w:rPr>
          <w:rFonts w:ascii="Bookman Old Style" w:hAnsi="Bookman Old Style" w:cs="Arial"/>
          <w:i/>
          <w:iCs/>
          <w:sz w:val="20"/>
          <w:szCs w:val="20"/>
          <w:lang w:val="es-MX"/>
        </w:rPr>
        <w:t>. (…)</w:t>
      </w:r>
      <w:r w:rsidRPr="0086458B">
        <w:rPr>
          <w:rFonts w:ascii="Bookman Old Style" w:hAnsi="Bookman Old Style" w:cs="Arial"/>
          <w:i/>
          <w:iCs/>
          <w:sz w:val="20"/>
          <w:szCs w:val="20"/>
          <w:lang w:val="es-MX"/>
        </w:rPr>
        <w:t>”</w:t>
      </w:r>
    </w:p>
    <w:p w14:paraId="62C89EF1" w14:textId="77777777" w:rsidR="002608C6" w:rsidRPr="0086458B" w:rsidRDefault="002608C6" w:rsidP="00E57F55">
      <w:pPr>
        <w:widowControl w:val="0"/>
        <w:ind w:left="284" w:right="51"/>
        <w:contextualSpacing/>
        <w:jc w:val="both"/>
        <w:rPr>
          <w:rFonts w:ascii="Bookman Old Style" w:eastAsia="Calibri" w:hAnsi="Bookman Old Style" w:cs="Arial"/>
        </w:rPr>
      </w:pPr>
    </w:p>
    <w:p w14:paraId="520CC959" w14:textId="48B2DF26" w:rsidR="007B1807" w:rsidRPr="0086458B" w:rsidRDefault="00555E78" w:rsidP="00A46F03">
      <w:pPr>
        <w:pStyle w:val="Ttulo1"/>
        <w:ind w:left="284"/>
        <w:jc w:val="both"/>
        <w:rPr>
          <w:rFonts w:cs="Arial"/>
          <w:b w:val="0"/>
          <w:bCs/>
        </w:rPr>
      </w:pPr>
      <w:r>
        <w:t>5</w:t>
      </w:r>
      <w:r w:rsidR="00B96B95">
        <w:rPr>
          <w:rFonts w:cs="Arial"/>
          <w:bCs/>
        </w:rPr>
        <w:t xml:space="preserve">. </w:t>
      </w:r>
      <w:r w:rsidR="007B1807" w:rsidRPr="0086458B">
        <w:rPr>
          <w:rFonts w:cs="Arial"/>
          <w:bCs/>
        </w:rPr>
        <w:t xml:space="preserve">COMPETENCIA DE LA </w:t>
      </w:r>
      <w:r w:rsidR="00B96B95">
        <w:rPr>
          <w:rFonts w:cs="Arial"/>
          <w:bCs/>
        </w:rPr>
        <w:t>CREG</w:t>
      </w:r>
    </w:p>
    <w:p w14:paraId="4F954295" w14:textId="77777777" w:rsidR="007B1807" w:rsidRPr="0086458B" w:rsidRDefault="007B1807" w:rsidP="00E57F55">
      <w:pPr>
        <w:ind w:left="284" w:right="142"/>
        <w:contextualSpacing/>
        <w:jc w:val="both"/>
        <w:rPr>
          <w:rFonts w:ascii="Bookman Old Style" w:hAnsi="Bookman Old Style"/>
        </w:rPr>
      </w:pPr>
    </w:p>
    <w:p w14:paraId="2C283382" w14:textId="5A3A02F2" w:rsidR="007B1807" w:rsidRDefault="002B2DFF" w:rsidP="00E57F55">
      <w:pPr>
        <w:ind w:left="284"/>
        <w:contextualSpacing/>
        <w:jc w:val="both"/>
        <w:rPr>
          <w:rFonts w:ascii="Bookman Old Style" w:hAnsi="Bookman Old Style"/>
        </w:rPr>
      </w:pPr>
      <w:r>
        <w:rPr>
          <w:rFonts w:ascii="Bookman Old Style" w:hAnsi="Bookman Old Style"/>
        </w:rPr>
        <w:t xml:space="preserve">En el artículo </w:t>
      </w:r>
      <w:r w:rsidR="007B1807" w:rsidRPr="0086458B">
        <w:rPr>
          <w:rFonts w:ascii="Bookman Old Style" w:hAnsi="Bookman Old Style"/>
        </w:rPr>
        <w:t xml:space="preserve">39 </w:t>
      </w:r>
      <w:r w:rsidR="008E6440">
        <w:rPr>
          <w:rFonts w:ascii="Bookman Old Style" w:hAnsi="Bookman Old Style"/>
        </w:rPr>
        <w:t>de</w:t>
      </w:r>
      <w:r w:rsidR="007B1807" w:rsidRPr="0086458B">
        <w:rPr>
          <w:rFonts w:ascii="Bookman Old Style" w:hAnsi="Bookman Old Style"/>
        </w:rPr>
        <w:t xml:space="preserve"> la Ley 142 de 1994</w:t>
      </w:r>
      <w:r w:rsidR="00441571">
        <w:rPr>
          <w:rFonts w:ascii="Bookman Old Style" w:hAnsi="Bookman Old Style"/>
        </w:rPr>
        <w:t xml:space="preserve">, se autorizó la celebración de contratos especiales </w:t>
      </w:r>
      <w:r w:rsidR="00D85330">
        <w:rPr>
          <w:rFonts w:ascii="Bookman Old Style" w:hAnsi="Bookman Old Style"/>
        </w:rPr>
        <w:t>para efecto de la gestión de los servicios públicos. En particular</w:t>
      </w:r>
      <w:r w:rsidR="007B1807" w:rsidRPr="0086458B">
        <w:rPr>
          <w:rFonts w:ascii="Bookman Old Style" w:hAnsi="Bookman Old Style"/>
        </w:rPr>
        <w:t xml:space="preserve">, </w:t>
      </w:r>
      <w:r w:rsidR="00D85330">
        <w:rPr>
          <w:rFonts w:ascii="Bookman Old Style" w:hAnsi="Bookman Old Style"/>
        </w:rPr>
        <w:t xml:space="preserve">en el numeral </w:t>
      </w:r>
      <w:r w:rsidR="00F81D18">
        <w:rPr>
          <w:rFonts w:ascii="Bookman Old Style" w:hAnsi="Bookman Old Style"/>
        </w:rPr>
        <w:t>39.4 del referido ar</w:t>
      </w:r>
      <w:r w:rsidR="005A2988">
        <w:rPr>
          <w:rFonts w:ascii="Bookman Old Style" w:hAnsi="Bookman Old Style"/>
        </w:rPr>
        <w:t xml:space="preserve">tículo </w:t>
      </w:r>
      <w:r w:rsidR="00A368B5">
        <w:rPr>
          <w:rFonts w:ascii="Bookman Old Style" w:hAnsi="Bookman Old Style"/>
        </w:rPr>
        <w:t>se definió:</w:t>
      </w:r>
    </w:p>
    <w:p w14:paraId="21B6A767" w14:textId="77777777" w:rsidR="00F319BB" w:rsidRPr="0086458B" w:rsidRDefault="00F319BB" w:rsidP="00E57F55">
      <w:pPr>
        <w:pStyle w:val="Textoindependiente"/>
        <w:ind w:left="284" w:right="142"/>
        <w:contextualSpacing/>
        <w:jc w:val="both"/>
        <w:rPr>
          <w:rFonts w:ascii="Bookman Old Style" w:hAnsi="Bookman Old Style"/>
          <w:b w:val="0"/>
          <w:bCs w:val="0"/>
          <w:iCs/>
        </w:rPr>
      </w:pPr>
    </w:p>
    <w:p w14:paraId="7740E737" w14:textId="11EE846E" w:rsidR="00F319BB" w:rsidRPr="0086458B" w:rsidRDefault="00F319BB" w:rsidP="006F302A">
      <w:pPr>
        <w:pStyle w:val="Textoindependiente"/>
        <w:ind w:left="567" w:right="142"/>
        <w:contextualSpacing/>
        <w:jc w:val="both"/>
        <w:rPr>
          <w:rFonts w:ascii="Bookman Old Style" w:hAnsi="Bookman Old Style"/>
          <w:b w:val="0"/>
          <w:bCs w:val="0"/>
          <w:i/>
          <w:sz w:val="20"/>
          <w:szCs w:val="20"/>
        </w:rPr>
      </w:pPr>
      <w:r w:rsidRPr="0086458B">
        <w:rPr>
          <w:rFonts w:ascii="Bookman Old Style" w:hAnsi="Bookman Old Style"/>
          <w:b w:val="0"/>
          <w:bCs w:val="0"/>
          <w:i/>
          <w:sz w:val="20"/>
          <w:szCs w:val="20"/>
        </w:rPr>
        <w:t>“</w:t>
      </w:r>
      <w:r w:rsidR="00C80E74">
        <w:rPr>
          <w:rFonts w:ascii="Bookman Old Style" w:hAnsi="Bookman Old Style"/>
          <w:b w:val="0"/>
          <w:bCs w:val="0"/>
          <w:i/>
          <w:sz w:val="20"/>
          <w:szCs w:val="20"/>
          <w:lang w:val="es-CO"/>
        </w:rPr>
        <w:t xml:space="preserve">(…) </w:t>
      </w:r>
      <w:r w:rsidRPr="0086458B">
        <w:rPr>
          <w:rFonts w:ascii="Bookman Old Style" w:hAnsi="Bookman Old Style"/>
          <w:b w:val="0"/>
          <w:bCs w:val="0"/>
          <w:i/>
          <w:sz w:val="20"/>
          <w:szCs w:val="20"/>
        </w:rPr>
        <w:t>ARTÍCULO 39. CONTRATOS ESPECIALES. Para los efectos de la gestión de los servicios públicos se autoriza la celebración, entre otros, de los siguientes contratos especiales:</w:t>
      </w:r>
      <w:r w:rsidRPr="0086458B">
        <w:rPr>
          <w:rFonts w:ascii="Bookman Old Style" w:hAnsi="Bookman Old Style"/>
          <w:b w:val="0"/>
          <w:bCs w:val="0"/>
          <w:i/>
          <w:sz w:val="20"/>
          <w:szCs w:val="20"/>
          <w:lang w:val="es-CO"/>
        </w:rPr>
        <w:t xml:space="preserve"> </w:t>
      </w:r>
      <w:r w:rsidRPr="0086458B">
        <w:rPr>
          <w:rFonts w:ascii="Bookman Old Style" w:hAnsi="Bookman Old Style"/>
          <w:b w:val="0"/>
          <w:bCs w:val="0"/>
          <w:i/>
          <w:sz w:val="20"/>
          <w:szCs w:val="20"/>
        </w:rPr>
        <w:t>(…)</w:t>
      </w:r>
    </w:p>
    <w:p w14:paraId="0FF33028" w14:textId="77777777" w:rsidR="00F319BB" w:rsidRPr="0086458B" w:rsidRDefault="00F319BB" w:rsidP="006F302A">
      <w:pPr>
        <w:pStyle w:val="Textoindependiente"/>
        <w:ind w:left="567" w:right="142"/>
        <w:contextualSpacing/>
        <w:jc w:val="both"/>
        <w:rPr>
          <w:rFonts w:ascii="Bookman Old Style" w:hAnsi="Bookman Old Style"/>
          <w:b w:val="0"/>
          <w:bCs w:val="0"/>
          <w:i/>
          <w:sz w:val="20"/>
          <w:szCs w:val="20"/>
        </w:rPr>
      </w:pPr>
    </w:p>
    <w:p w14:paraId="7F8B15B7" w14:textId="77777777" w:rsidR="00F319BB" w:rsidRPr="0086458B" w:rsidRDefault="00F319BB" w:rsidP="006F302A">
      <w:pPr>
        <w:pStyle w:val="Textoindependiente"/>
        <w:ind w:left="567" w:right="142"/>
        <w:contextualSpacing/>
        <w:jc w:val="both"/>
        <w:rPr>
          <w:rFonts w:ascii="Bookman Old Style" w:hAnsi="Bookman Old Style"/>
          <w:b w:val="0"/>
          <w:bCs w:val="0"/>
          <w:i/>
          <w:sz w:val="20"/>
          <w:szCs w:val="20"/>
        </w:rPr>
      </w:pPr>
      <w:r w:rsidRPr="0086458B">
        <w:rPr>
          <w:rFonts w:ascii="Bookman Old Style" w:hAnsi="Bookman Old Style"/>
          <w:b w:val="0"/>
          <w:bCs w:val="0"/>
          <w:i/>
          <w:sz w:val="20"/>
          <w:szCs w:val="20"/>
          <w:u w:val="single"/>
        </w:rPr>
        <w:t>39.4. Contratos en virtud de los cuales dos o más entidades prestadoras de servicios públicos o éstas con grandes proveedores o usuarios, regulan el acceso compartido o de interconexión de bienes indispensables para la prestación de servicios públicos, mediante el pago de remuneración o peaje razonable</w:t>
      </w:r>
      <w:r w:rsidRPr="0086458B">
        <w:rPr>
          <w:rFonts w:ascii="Bookman Old Style" w:hAnsi="Bookman Old Style"/>
          <w:b w:val="0"/>
          <w:bCs w:val="0"/>
          <w:i/>
          <w:sz w:val="20"/>
          <w:szCs w:val="20"/>
        </w:rPr>
        <w:t>.</w:t>
      </w:r>
    </w:p>
    <w:p w14:paraId="15CD0D9C" w14:textId="77777777" w:rsidR="00F319BB" w:rsidRPr="0086458B" w:rsidRDefault="00F319BB" w:rsidP="006F302A">
      <w:pPr>
        <w:pStyle w:val="Textoindependiente"/>
        <w:ind w:left="567" w:right="142"/>
        <w:contextualSpacing/>
        <w:jc w:val="both"/>
        <w:rPr>
          <w:rFonts w:ascii="Bookman Old Style" w:hAnsi="Bookman Old Style"/>
          <w:b w:val="0"/>
          <w:bCs w:val="0"/>
          <w:i/>
          <w:sz w:val="20"/>
          <w:szCs w:val="20"/>
        </w:rPr>
      </w:pPr>
    </w:p>
    <w:p w14:paraId="768FE486" w14:textId="77777777" w:rsidR="00F319BB" w:rsidRPr="0086458B" w:rsidRDefault="00F319BB" w:rsidP="006F302A">
      <w:pPr>
        <w:pStyle w:val="Textoindependiente"/>
        <w:ind w:left="567" w:right="142"/>
        <w:contextualSpacing/>
        <w:jc w:val="both"/>
        <w:rPr>
          <w:rFonts w:ascii="Bookman Old Style" w:hAnsi="Bookman Old Style"/>
          <w:b w:val="0"/>
          <w:bCs w:val="0"/>
          <w:i/>
          <w:sz w:val="20"/>
          <w:szCs w:val="20"/>
        </w:rPr>
      </w:pPr>
      <w:r w:rsidRPr="0086458B">
        <w:rPr>
          <w:rFonts w:ascii="Bookman Old Style" w:hAnsi="Bookman Old Style"/>
          <w:b w:val="0"/>
          <w:bCs w:val="0"/>
          <w:i/>
          <w:sz w:val="20"/>
          <w:szCs w:val="20"/>
        </w:rPr>
        <w:t>Este contrato puede celebrarse también entre una empresa de servicios públicos y cualquiera de sus grandes proveedores o usuarios.</w:t>
      </w:r>
    </w:p>
    <w:p w14:paraId="093ED421" w14:textId="77777777" w:rsidR="00F319BB" w:rsidRPr="0086458B" w:rsidRDefault="00F319BB" w:rsidP="006F302A">
      <w:pPr>
        <w:pStyle w:val="Textoindependiente"/>
        <w:ind w:left="567" w:right="142"/>
        <w:contextualSpacing/>
        <w:jc w:val="both"/>
        <w:rPr>
          <w:rFonts w:ascii="Bookman Old Style" w:hAnsi="Bookman Old Style"/>
          <w:b w:val="0"/>
          <w:bCs w:val="0"/>
          <w:i/>
          <w:sz w:val="20"/>
          <w:szCs w:val="20"/>
          <w:u w:val="single"/>
        </w:rPr>
      </w:pPr>
    </w:p>
    <w:p w14:paraId="4A5CBBBF" w14:textId="1C89E5B3" w:rsidR="00F319BB" w:rsidRPr="0086458B" w:rsidRDefault="00F319BB" w:rsidP="006F302A">
      <w:pPr>
        <w:pStyle w:val="Textoindependiente"/>
        <w:ind w:left="567" w:right="142"/>
        <w:contextualSpacing/>
        <w:jc w:val="both"/>
        <w:rPr>
          <w:rFonts w:ascii="Bookman Old Style" w:hAnsi="Bookman Old Style"/>
          <w:b w:val="0"/>
          <w:bCs w:val="0"/>
          <w:i/>
          <w:sz w:val="20"/>
          <w:szCs w:val="20"/>
        </w:rPr>
      </w:pPr>
      <w:r w:rsidRPr="0086458B">
        <w:rPr>
          <w:rFonts w:ascii="Bookman Old Style" w:hAnsi="Bookman Old Style"/>
          <w:b w:val="0"/>
          <w:bCs w:val="0"/>
          <w:i/>
          <w:sz w:val="20"/>
          <w:szCs w:val="20"/>
          <w:u w:val="single"/>
        </w:rPr>
        <w:t>Si las partes no se convienen, en virtud de esta Ley la comisión de regulación podrá imponer una servidumbre de acceso o de interconexión a quien tenga el uso del bien.</w:t>
      </w:r>
      <w:r w:rsidR="00C80E74" w:rsidRPr="00C80E74">
        <w:rPr>
          <w:rFonts w:ascii="Bookman Old Style" w:hAnsi="Bookman Old Style"/>
          <w:b w:val="0"/>
          <w:bCs w:val="0"/>
          <w:i/>
          <w:sz w:val="20"/>
          <w:szCs w:val="20"/>
          <w:lang w:val="es-CO"/>
        </w:rPr>
        <w:t xml:space="preserve"> (…)</w:t>
      </w:r>
      <w:r w:rsidRPr="0086458B">
        <w:rPr>
          <w:rFonts w:ascii="Bookman Old Style" w:hAnsi="Bookman Old Style"/>
          <w:b w:val="0"/>
          <w:bCs w:val="0"/>
          <w:i/>
          <w:sz w:val="20"/>
          <w:szCs w:val="20"/>
        </w:rPr>
        <w:t xml:space="preserve">” </w:t>
      </w:r>
      <w:r w:rsidRPr="00232188">
        <w:rPr>
          <w:rFonts w:ascii="Bookman Old Style" w:hAnsi="Bookman Old Style"/>
          <w:b w:val="0"/>
          <w:bCs w:val="0"/>
          <w:iCs/>
          <w:sz w:val="20"/>
          <w:szCs w:val="20"/>
        </w:rPr>
        <w:t>Subrayado fuera de texto</w:t>
      </w:r>
    </w:p>
    <w:p w14:paraId="541A37D8" w14:textId="77777777" w:rsidR="009E2663" w:rsidRPr="0086458B" w:rsidRDefault="009E2663" w:rsidP="009E2663">
      <w:pPr>
        <w:ind w:left="284"/>
        <w:contextualSpacing/>
        <w:jc w:val="both"/>
        <w:rPr>
          <w:rFonts w:ascii="Bookman Old Style" w:hAnsi="Bookman Old Style" w:cs="Arial"/>
          <w:lang w:val="es-MX"/>
        </w:rPr>
      </w:pPr>
    </w:p>
    <w:p w14:paraId="0CDD461E" w14:textId="1925B678" w:rsidR="009E2663" w:rsidRPr="0086458B" w:rsidRDefault="009E2663" w:rsidP="009E2663">
      <w:pPr>
        <w:pStyle w:val="Textoindependiente"/>
        <w:ind w:left="284" w:right="142"/>
        <w:contextualSpacing/>
        <w:jc w:val="both"/>
        <w:rPr>
          <w:rFonts w:ascii="Bookman Old Style" w:hAnsi="Bookman Old Style"/>
          <w:b w:val="0"/>
          <w:bCs w:val="0"/>
          <w:iCs/>
        </w:rPr>
      </w:pPr>
      <w:r w:rsidRPr="0086458B">
        <w:rPr>
          <w:rFonts w:ascii="Bookman Old Style" w:hAnsi="Bookman Old Style"/>
          <w:b w:val="0"/>
          <w:bCs w:val="0"/>
          <w:iCs/>
        </w:rPr>
        <w:t xml:space="preserve">Así mismo, en el artículo 118 de la Ley 142 de 1994 </w:t>
      </w:r>
      <w:r w:rsidRPr="0ECC7FE6">
        <w:rPr>
          <w:rFonts w:ascii="Bookman Old Style" w:hAnsi="Bookman Old Style"/>
          <w:b w:val="0"/>
          <w:bCs w:val="0"/>
        </w:rPr>
        <w:t xml:space="preserve">se establece </w:t>
      </w:r>
      <w:r w:rsidR="00962BD7">
        <w:rPr>
          <w:rFonts w:ascii="Bookman Old Style" w:hAnsi="Bookman Old Style"/>
          <w:b w:val="0"/>
          <w:bCs w:val="0"/>
          <w:iCs/>
          <w:lang w:val="es-CO"/>
        </w:rPr>
        <w:t xml:space="preserve">la </w:t>
      </w:r>
      <w:r w:rsidR="00CB1CC6" w:rsidRPr="0086458B">
        <w:rPr>
          <w:rFonts w:ascii="Bookman Old Style" w:hAnsi="Bookman Old Style"/>
          <w:b w:val="0"/>
          <w:bCs w:val="0"/>
          <w:iCs/>
        </w:rPr>
        <w:t xml:space="preserve">facultad </w:t>
      </w:r>
      <w:r w:rsidR="00962BD7">
        <w:rPr>
          <w:rFonts w:ascii="Bookman Old Style" w:hAnsi="Bookman Old Style"/>
          <w:b w:val="0"/>
          <w:bCs w:val="0"/>
          <w:iCs/>
          <w:lang w:val="es-CO"/>
        </w:rPr>
        <w:t>para imponer servidumbre</w:t>
      </w:r>
      <w:r w:rsidR="000371B3">
        <w:rPr>
          <w:rFonts w:ascii="Bookman Old Style" w:hAnsi="Bookman Old Style"/>
          <w:b w:val="0"/>
          <w:bCs w:val="0"/>
          <w:iCs/>
          <w:lang w:val="es-CO"/>
        </w:rPr>
        <w:t>s</w:t>
      </w:r>
      <w:r w:rsidR="000371B3" w:rsidRPr="0ECC7FE6">
        <w:rPr>
          <w:rFonts w:ascii="Bookman Old Style" w:hAnsi="Bookman Old Style"/>
          <w:b w:val="0"/>
          <w:bCs w:val="0"/>
          <w:lang w:val="es-CO"/>
        </w:rPr>
        <w:t>, la cual</w:t>
      </w:r>
      <w:r w:rsidR="000371B3">
        <w:rPr>
          <w:rFonts w:ascii="Bookman Old Style" w:hAnsi="Bookman Old Style"/>
          <w:b w:val="0"/>
          <w:bCs w:val="0"/>
          <w:iCs/>
          <w:lang w:val="es-CO"/>
        </w:rPr>
        <w:t xml:space="preserve"> </w:t>
      </w:r>
      <w:r w:rsidR="00CB1CC6" w:rsidRPr="0086458B">
        <w:rPr>
          <w:rFonts w:ascii="Bookman Old Style" w:hAnsi="Bookman Old Style"/>
          <w:b w:val="0"/>
          <w:bCs w:val="0"/>
          <w:iCs/>
        </w:rPr>
        <w:t xml:space="preserve">se encuentra desarrollada </w:t>
      </w:r>
      <w:r w:rsidRPr="0086458B">
        <w:rPr>
          <w:rFonts w:ascii="Bookman Old Style" w:hAnsi="Bookman Old Style"/>
          <w:b w:val="0"/>
          <w:bCs w:val="0"/>
          <w:iCs/>
        </w:rPr>
        <w:t>en los siguientes términos:</w:t>
      </w:r>
    </w:p>
    <w:p w14:paraId="1FD7AEEA" w14:textId="77777777" w:rsidR="009E2663" w:rsidRPr="0086458B" w:rsidRDefault="009E2663" w:rsidP="009E2663">
      <w:pPr>
        <w:pStyle w:val="Textoindependiente"/>
        <w:ind w:left="284" w:right="142"/>
        <w:contextualSpacing/>
        <w:jc w:val="both"/>
        <w:rPr>
          <w:rFonts w:ascii="Bookman Old Style" w:hAnsi="Bookman Old Style"/>
          <w:b w:val="0"/>
          <w:bCs w:val="0"/>
          <w:iCs/>
          <w:sz w:val="22"/>
          <w:szCs w:val="22"/>
        </w:rPr>
      </w:pPr>
    </w:p>
    <w:p w14:paraId="305DFB75" w14:textId="78E43078" w:rsidR="009E2663" w:rsidRPr="00B524B8" w:rsidRDefault="009E2663" w:rsidP="006F302A">
      <w:pPr>
        <w:pStyle w:val="Textoindependiente"/>
        <w:ind w:left="567" w:right="142"/>
        <w:contextualSpacing/>
        <w:jc w:val="both"/>
        <w:rPr>
          <w:rFonts w:ascii="Bookman Old Style" w:hAnsi="Bookman Old Style"/>
          <w:b w:val="0"/>
          <w:bCs w:val="0"/>
          <w:iCs/>
          <w:sz w:val="20"/>
          <w:szCs w:val="20"/>
          <w:lang w:val="es-CO"/>
        </w:rPr>
      </w:pPr>
      <w:r w:rsidRPr="00962BD7">
        <w:rPr>
          <w:rFonts w:ascii="Bookman Old Style" w:hAnsi="Bookman Old Style"/>
          <w:b w:val="0"/>
          <w:bCs w:val="0"/>
          <w:i/>
          <w:sz w:val="20"/>
          <w:szCs w:val="20"/>
        </w:rPr>
        <w:t>“</w:t>
      </w:r>
      <w:r w:rsidR="00D56AFF">
        <w:rPr>
          <w:rFonts w:ascii="Bookman Old Style" w:hAnsi="Bookman Old Style"/>
          <w:b w:val="0"/>
          <w:bCs w:val="0"/>
          <w:i/>
          <w:sz w:val="20"/>
          <w:szCs w:val="20"/>
          <w:lang w:val="es-CO"/>
        </w:rPr>
        <w:t xml:space="preserve">(…) </w:t>
      </w:r>
      <w:r w:rsidRPr="00962BD7">
        <w:rPr>
          <w:rFonts w:ascii="Bookman Old Style" w:hAnsi="Bookman Old Style"/>
          <w:b w:val="0"/>
          <w:bCs w:val="0"/>
          <w:i/>
          <w:sz w:val="20"/>
          <w:szCs w:val="20"/>
        </w:rPr>
        <w:t xml:space="preserve">ARTÍCULO 118. ENTIDAD CON FACULTADES PARA IMPONER LA SERVIDUMBRE. </w:t>
      </w:r>
      <w:r w:rsidRPr="00615FB3">
        <w:rPr>
          <w:rFonts w:ascii="Bookman Old Style" w:hAnsi="Bookman Old Style"/>
          <w:b w:val="0"/>
          <w:bCs w:val="0"/>
          <w:i/>
          <w:sz w:val="20"/>
          <w:szCs w:val="20"/>
          <w:u w:val="single"/>
        </w:rPr>
        <w:t>Tienen facultades para imponer la servidumbre por acto administrativo</w:t>
      </w:r>
      <w:r w:rsidRPr="00962BD7">
        <w:rPr>
          <w:rFonts w:ascii="Bookman Old Style" w:hAnsi="Bookman Old Style"/>
          <w:b w:val="0"/>
          <w:bCs w:val="0"/>
          <w:i/>
          <w:sz w:val="20"/>
          <w:szCs w:val="20"/>
        </w:rPr>
        <w:t xml:space="preserve"> las entidades territoriales y la Nación, cuando tengan competencia para prestar el servicio público respectivo, y </w:t>
      </w:r>
      <w:r w:rsidRPr="00615FB3">
        <w:rPr>
          <w:rFonts w:ascii="Bookman Old Style" w:hAnsi="Bookman Old Style"/>
          <w:b w:val="0"/>
          <w:bCs w:val="0"/>
          <w:i/>
          <w:sz w:val="20"/>
          <w:szCs w:val="20"/>
          <w:u w:val="single"/>
        </w:rPr>
        <w:t>las comisiones de regulación</w:t>
      </w:r>
      <w:r w:rsidRPr="00962BD7">
        <w:rPr>
          <w:rFonts w:ascii="Bookman Old Style" w:hAnsi="Bookman Old Style"/>
          <w:b w:val="0"/>
          <w:bCs w:val="0"/>
          <w:i/>
          <w:sz w:val="20"/>
          <w:szCs w:val="20"/>
        </w:rPr>
        <w:t>.</w:t>
      </w:r>
      <w:r w:rsidR="00D56AFF">
        <w:rPr>
          <w:rFonts w:ascii="Bookman Old Style" w:hAnsi="Bookman Old Style"/>
          <w:b w:val="0"/>
          <w:bCs w:val="0"/>
          <w:i/>
          <w:sz w:val="20"/>
          <w:szCs w:val="20"/>
          <w:lang w:val="es-CO"/>
        </w:rPr>
        <w:t xml:space="preserve"> (…)</w:t>
      </w:r>
      <w:r w:rsidRPr="00962BD7">
        <w:rPr>
          <w:rFonts w:ascii="Bookman Old Style" w:hAnsi="Bookman Old Style"/>
          <w:b w:val="0"/>
          <w:bCs w:val="0"/>
          <w:i/>
          <w:sz w:val="20"/>
          <w:szCs w:val="20"/>
        </w:rPr>
        <w:t>”</w:t>
      </w:r>
      <w:r w:rsidR="00B524B8">
        <w:rPr>
          <w:rFonts w:ascii="Bookman Old Style" w:hAnsi="Bookman Old Style"/>
          <w:b w:val="0"/>
          <w:bCs w:val="0"/>
          <w:i/>
          <w:sz w:val="20"/>
          <w:szCs w:val="20"/>
          <w:lang w:val="es-CO"/>
        </w:rPr>
        <w:t xml:space="preserve"> </w:t>
      </w:r>
      <w:r w:rsidR="00B524B8">
        <w:rPr>
          <w:rFonts w:ascii="Bookman Old Style" w:hAnsi="Bookman Old Style"/>
          <w:b w:val="0"/>
          <w:bCs w:val="0"/>
          <w:iCs/>
          <w:sz w:val="20"/>
          <w:szCs w:val="20"/>
          <w:lang w:val="es-CO"/>
        </w:rPr>
        <w:t>Subrayado fuera de texto</w:t>
      </w:r>
    </w:p>
    <w:p w14:paraId="7F9863A0" w14:textId="08B754CD" w:rsidR="00F319BB" w:rsidRPr="0086458B" w:rsidRDefault="00F319BB" w:rsidP="00E57F55">
      <w:pPr>
        <w:pStyle w:val="Textoindependiente"/>
        <w:ind w:left="284" w:right="142"/>
        <w:contextualSpacing/>
        <w:jc w:val="both"/>
        <w:rPr>
          <w:rFonts w:ascii="Bookman Old Style" w:hAnsi="Bookman Old Style"/>
          <w:b w:val="0"/>
          <w:bCs w:val="0"/>
          <w:iCs/>
        </w:rPr>
      </w:pPr>
      <w:r w:rsidRPr="0086458B">
        <w:rPr>
          <w:rFonts w:ascii="Bookman Old Style" w:hAnsi="Bookman Old Style"/>
          <w:b w:val="0"/>
          <w:bCs w:val="0"/>
          <w:iCs/>
        </w:rPr>
        <w:t>De conformidad con lo previsto en l</w:t>
      </w:r>
      <w:r w:rsidR="005F4F1F">
        <w:rPr>
          <w:rFonts w:ascii="Bookman Old Style" w:hAnsi="Bookman Old Style"/>
          <w:b w:val="0"/>
          <w:bCs w:val="0"/>
          <w:iCs/>
          <w:lang w:val="es-CO"/>
        </w:rPr>
        <w:t xml:space="preserve">os </w:t>
      </w:r>
      <w:r w:rsidRPr="0086458B">
        <w:rPr>
          <w:rFonts w:ascii="Bookman Old Style" w:hAnsi="Bookman Old Style"/>
          <w:b w:val="0"/>
          <w:bCs w:val="0"/>
          <w:iCs/>
        </w:rPr>
        <w:t>precitado</w:t>
      </w:r>
      <w:r w:rsidR="005F4F1F">
        <w:rPr>
          <w:rFonts w:ascii="Bookman Old Style" w:hAnsi="Bookman Old Style"/>
          <w:b w:val="0"/>
          <w:bCs w:val="0"/>
          <w:iCs/>
          <w:lang w:val="es-CO"/>
        </w:rPr>
        <w:t>s</w:t>
      </w:r>
      <w:r w:rsidRPr="0086458B">
        <w:rPr>
          <w:rFonts w:ascii="Bookman Old Style" w:hAnsi="Bookman Old Style"/>
          <w:b w:val="0"/>
          <w:bCs w:val="0"/>
          <w:iCs/>
        </w:rPr>
        <w:t xml:space="preserve"> artículo</w:t>
      </w:r>
      <w:r w:rsidR="005F4F1F">
        <w:rPr>
          <w:rFonts w:ascii="Bookman Old Style" w:hAnsi="Bookman Old Style"/>
          <w:b w:val="0"/>
          <w:bCs w:val="0"/>
          <w:iCs/>
          <w:lang w:val="es-CO"/>
        </w:rPr>
        <w:t>s</w:t>
      </w:r>
      <w:r w:rsidR="006F302A">
        <w:rPr>
          <w:rFonts w:ascii="Bookman Old Style" w:hAnsi="Bookman Old Style"/>
          <w:b w:val="0"/>
          <w:bCs w:val="0"/>
          <w:iCs/>
          <w:lang w:val="es-CO"/>
        </w:rPr>
        <w:t>,</w:t>
      </w:r>
      <w:r w:rsidR="005F4F1F">
        <w:rPr>
          <w:rFonts w:ascii="Bookman Old Style" w:hAnsi="Bookman Old Style"/>
          <w:b w:val="0"/>
          <w:bCs w:val="0"/>
          <w:iCs/>
          <w:lang w:val="es-CO"/>
        </w:rPr>
        <w:t xml:space="preserve"> y que DUE agotó el trámite de solicitud de conexión sin conseguir acuerdo con el operador de la </w:t>
      </w:r>
      <w:r w:rsidR="00502E23">
        <w:rPr>
          <w:rFonts w:ascii="Bookman Old Style" w:hAnsi="Bookman Old Style"/>
          <w:b w:val="0"/>
          <w:bCs w:val="0"/>
          <w:iCs/>
          <w:lang w:val="es-CO"/>
        </w:rPr>
        <w:t>línea</w:t>
      </w:r>
      <w:r w:rsidR="009D2C96">
        <w:rPr>
          <w:rFonts w:ascii="Bookman Old Style" w:hAnsi="Bookman Old Style"/>
          <w:b w:val="0"/>
          <w:bCs w:val="0"/>
          <w:iCs/>
          <w:lang w:val="es-CO"/>
        </w:rPr>
        <w:t xml:space="preserve"> de 34.5</w:t>
      </w:r>
      <w:r w:rsidR="006F302A">
        <w:rPr>
          <w:rFonts w:ascii="Bookman Old Style" w:hAnsi="Bookman Old Style"/>
          <w:b w:val="0"/>
          <w:bCs w:val="0"/>
          <w:iCs/>
          <w:lang w:val="es-CO"/>
        </w:rPr>
        <w:t xml:space="preserve"> </w:t>
      </w:r>
      <w:r w:rsidR="009D2C96">
        <w:rPr>
          <w:rFonts w:ascii="Bookman Old Style" w:hAnsi="Bookman Old Style"/>
          <w:b w:val="0"/>
          <w:bCs w:val="0"/>
          <w:iCs/>
          <w:lang w:val="es-CO"/>
        </w:rPr>
        <w:t>kV a la que hace referencia la solicitud</w:t>
      </w:r>
      <w:r w:rsidRPr="0086458B">
        <w:rPr>
          <w:rFonts w:ascii="Bookman Old Style" w:hAnsi="Bookman Old Style"/>
          <w:b w:val="0"/>
          <w:bCs w:val="0"/>
          <w:iCs/>
        </w:rPr>
        <w:t xml:space="preserve">, </w:t>
      </w:r>
      <w:r w:rsidR="009D2C96">
        <w:rPr>
          <w:rFonts w:ascii="Bookman Old Style" w:hAnsi="Bookman Old Style"/>
          <w:b w:val="0"/>
          <w:bCs w:val="0"/>
          <w:iCs/>
          <w:lang w:val="es-CO"/>
        </w:rPr>
        <w:t xml:space="preserve">se encuentra que </w:t>
      </w:r>
      <w:r w:rsidRPr="0086458B">
        <w:rPr>
          <w:rFonts w:ascii="Bookman Old Style" w:hAnsi="Bookman Old Style"/>
          <w:b w:val="0"/>
          <w:bCs w:val="0"/>
          <w:iCs/>
        </w:rPr>
        <w:t>esta Comisión cuenta con la competencia para imponer una servidumbre de acceso o de interconexión.</w:t>
      </w:r>
    </w:p>
    <w:p w14:paraId="287B65C9" w14:textId="77777777" w:rsidR="008A4435" w:rsidRPr="0086458B" w:rsidRDefault="008A4435" w:rsidP="00E57F55">
      <w:pPr>
        <w:ind w:left="284"/>
        <w:contextualSpacing/>
        <w:jc w:val="both"/>
        <w:rPr>
          <w:rFonts w:ascii="Bookman Old Style" w:hAnsi="Bookman Old Style"/>
        </w:rPr>
      </w:pPr>
    </w:p>
    <w:p w14:paraId="45E99CEC" w14:textId="469BEA0C" w:rsidR="008A4435" w:rsidRPr="0086458B" w:rsidRDefault="00555E78" w:rsidP="00296B37">
      <w:pPr>
        <w:pStyle w:val="Ttulo1"/>
        <w:ind w:left="284"/>
        <w:jc w:val="both"/>
      </w:pPr>
      <w:r>
        <w:t xml:space="preserve">6. </w:t>
      </w:r>
      <w:r w:rsidR="00176F1F">
        <w:t xml:space="preserve">EL </w:t>
      </w:r>
      <w:r>
        <w:t>TRÁMITE ADELA</w:t>
      </w:r>
      <w:r w:rsidR="00176F1F">
        <w:t>N</w:t>
      </w:r>
      <w:r>
        <w:t>TADO POR LA CREG</w:t>
      </w:r>
    </w:p>
    <w:p w14:paraId="53185429" w14:textId="77777777" w:rsidR="00FB559C" w:rsidRDefault="00FB559C" w:rsidP="00E57F55">
      <w:pPr>
        <w:ind w:left="284" w:right="142"/>
        <w:contextualSpacing/>
        <w:jc w:val="both"/>
        <w:rPr>
          <w:rFonts w:ascii="Bookman Old Style" w:hAnsi="Bookman Old Style" w:cs="Arial"/>
          <w:bCs/>
        </w:rPr>
      </w:pPr>
    </w:p>
    <w:p w14:paraId="5F3362E4" w14:textId="01B1C31E" w:rsidR="006F0064" w:rsidRPr="0086458B" w:rsidRDefault="00672D86" w:rsidP="00E57F55">
      <w:pPr>
        <w:ind w:left="284" w:right="142"/>
        <w:contextualSpacing/>
        <w:jc w:val="both"/>
        <w:rPr>
          <w:rFonts w:ascii="Bookman Old Style" w:hAnsi="Bookman Old Style" w:cs="Arial"/>
          <w:bCs/>
        </w:rPr>
      </w:pPr>
      <w:r w:rsidRPr="0086458B">
        <w:rPr>
          <w:rFonts w:ascii="Bookman Old Style" w:hAnsi="Bookman Old Style" w:cs="Arial"/>
          <w:bCs/>
        </w:rPr>
        <w:t>Considerando que en los artículos 39.4 y 118 de la Ley 142 de 1994, no se prevé un procedimiento especial para adelantar la actuación administrativa de imposición de servidumbre, para</w:t>
      </w:r>
      <w:r w:rsidR="006F0064" w:rsidRPr="0086458B">
        <w:rPr>
          <w:rFonts w:ascii="Bookman Old Style" w:hAnsi="Bookman Old Style" w:cs="Arial"/>
          <w:bCs/>
        </w:rPr>
        <w:t xml:space="preserve"> el trámite adelantado se tuvo</w:t>
      </w:r>
      <w:r w:rsidRPr="0086458B">
        <w:rPr>
          <w:rFonts w:ascii="Bookman Old Style" w:hAnsi="Bookman Old Style" w:cs="Arial"/>
          <w:bCs/>
        </w:rPr>
        <w:t xml:space="preserve"> en cuenta lo previsto en los artículos 106 y siguientes de la precitada ley y</w:t>
      </w:r>
      <w:r w:rsidR="009954A3">
        <w:rPr>
          <w:rFonts w:ascii="Bookman Old Style" w:hAnsi="Bookman Old Style" w:cs="Arial"/>
          <w:bCs/>
        </w:rPr>
        <w:t>,</w:t>
      </w:r>
      <w:r w:rsidRPr="0086458B">
        <w:rPr>
          <w:rFonts w:ascii="Bookman Old Style" w:hAnsi="Bookman Old Style" w:cs="Arial"/>
          <w:bCs/>
        </w:rPr>
        <w:t xml:space="preserve"> en lo no previsto</w:t>
      </w:r>
      <w:r w:rsidR="009954A3">
        <w:rPr>
          <w:rFonts w:ascii="Bookman Old Style" w:hAnsi="Bookman Old Style" w:cs="Arial"/>
          <w:bCs/>
        </w:rPr>
        <w:t>,</w:t>
      </w:r>
      <w:r w:rsidRPr="0086458B">
        <w:rPr>
          <w:rFonts w:ascii="Bookman Old Style" w:hAnsi="Bookman Old Style" w:cs="Arial"/>
          <w:bCs/>
        </w:rPr>
        <w:t xml:space="preserve"> lo dispuesto en el procedimiento administrativo general del Código de Procedimiento Administrativo y de</w:t>
      </w:r>
      <w:r w:rsidR="00C618CB" w:rsidRPr="0086458B">
        <w:rPr>
          <w:rFonts w:ascii="Bookman Old Style" w:hAnsi="Bookman Old Style" w:cs="Arial"/>
          <w:bCs/>
        </w:rPr>
        <w:t xml:space="preserve"> lo </w:t>
      </w:r>
      <w:r w:rsidR="006F0064" w:rsidRPr="0086458B">
        <w:rPr>
          <w:rFonts w:ascii="Bookman Old Style" w:hAnsi="Bookman Old Style" w:cs="Arial"/>
          <w:bCs/>
        </w:rPr>
        <w:t>Contencioso Administrativo.</w:t>
      </w:r>
    </w:p>
    <w:p w14:paraId="585C1F76" w14:textId="77777777" w:rsidR="006F0064" w:rsidRPr="0086458B" w:rsidRDefault="006F0064" w:rsidP="00E57F55">
      <w:pPr>
        <w:ind w:left="284" w:right="142"/>
        <w:contextualSpacing/>
        <w:jc w:val="both"/>
        <w:rPr>
          <w:rFonts w:ascii="Bookman Old Style" w:hAnsi="Bookman Old Style" w:cs="Arial"/>
          <w:bCs/>
        </w:rPr>
      </w:pPr>
    </w:p>
    <w:p w14:paraId="66B51CF6" w14:textId="03C6EAE1" w:rsidR="00440361" w:rsidRPr="0086458B" w:rsidRDefault="7D4C3B75" w:rsidP="00E57F55">
      <w:pPr>
        <w:widowControl w:val="0"/>
        <w:ind w:left="284" w:right="142"/>
        <w:contextualSpacing/>
        <w:jc w:val="both"/>
        <w:rPr>
          <w:rFonts w:ascii="Bookman Old Style" w:hAnsi="Bookman Old Style" w:cs="Arial"/>
        </w:rPr>
      </w:pPr>
      <w:r w:rsidRPr="0086458B">
        <w:rPr>
          <w:rFonts w:ascii="Bookman Old Style" w:hAnsi="Bookman Old Style" w:cs="Arial"/>
        </w:rPr>
        <w:t xml:space="preserve">En ese sentido, </w:t>
      </w:r>
      <w:r w:rsidR="0DD02A01" w:rsidRPr="0086458B">
        <w:rPr>
          <w:rFonts w:ascii="Bookman Old Style" w:hAnsi="Bookman Old Style"/>
        </w:rPr>
        <w:t xml:space="preserve">se dio inicio a la correspondiente </w:t>
      </w:r>
      <w:r w:rsidR="32634B2A" w:rsidRPr="0086458B">
        <w:rPr>
          <w:rFonts w:ascii="Bookman Old Style" w:hAnsi="Bookman Old Style"/>
        </w:rPr>
        <w:t xml:space="preserve">actuación </w:t>
      </w:r>
      <w:r w:rsidR="0DD02A01" w:rsidRPr="0086458B">
        <w:rPr>
          <w:rFonts w:ascii="Bookman Old Style" w:hAnsi="Bookman Old Style"/>
        </w:rPr>
        <w:t>administrativa</w:t>
      </w:r>
      <w:r w:rsidR="41EF3FF6" w:rsidRPr="0086458B">
        <w:rPr>
          <w:rFonts w:ascii="Bookman Old Style" w:hAnsi="Bookman Old Style"/>
        </w:rPr>
        <w:t xml:space="preserve"> m</w:t>
      </w:r>
      <w:r w:rsidR="41EF3FF6" w:rsidRPr="0086458B">
        <w:rPr>
          <w:rFonts w:ascii="Bookman Old Style" w:hAnsi="Bookman Old Style" w:cs="Arial"/>
        </w:rPr>
        <w:t xml:space="preserve">ediante Auto con radicado CREG I-2019-007309, publicado en </w:t>
      </w:r>
      <w:r w:rsidR="5740FCED" w:rsidRPr="0086458B">
        <w:rPr>
          <w:rFonts w:ascii="Bookman Old Style" w:hAnsi="Bookman Old Style" w:cs="Arial"/>
        </w:rPr>
        <w:t xml:space="preserve">el </w:t>
      </w:r>
      <w:r w:rsidR="41EF3FF6" w:rsidRPr="0086458B">
        <w:rPr>
          <w:rFonts w:ascii="Bookman Old Style" w:hAnsi="Bookman Old Style" w:cs="Arial"/>
        </w:rPr>
        <w:t>Diario oficial No.</w:t>
      </w:r>
      <w:r w:rsidR="00CC2C6C">
        <w:rPr>
          <w:rFonts w:ascii="Bookman Old Style" w:hAnsi="Bookman Old Style" w:cs="Arial"/>
        </w:rPr>
        <w:t xml:space="preserve"> </w:t>
      </w:r>
      <w:r w:rsidR="41EF3FF6" w:rsidRPr="0086458B">
        <w:rPr>
          <w:rFonts w:ascii="Bookman Old Style" w:hAnsi="Bookman Old Style" w:cs="Arial"/>
        </w:rPr>
        <w:t>51.164 d</w:t>
      </w:r>
      <w:r w:rsidR="5740FCED" w:rsidRPr="0086458B">
        <w:rPr>
          <w:rFonts w:ascii="Bookman Old Style" w:hAnsi="Bookman Old Style" w:cs="Arial"/>
        </w:rPr>
        <w:t xml:space="preserve">el 11 de diciembre de 2019, </w:t>
      </w:r>
      <w:r w:rsidR="41EF3FF6" w:rsidRPr="0086458B">
        <w:rPr>
          <w:rFonts w:ascii="Bookman Old Style" w:hAnsi="Bookman Old Style" w:cs="Arial"/>
        </w:rPr>
        <w:t>ordenándose la conformación del expediente administrativo 2019-0212, e</w:t>
      </w:r>
      <w:r w:rsidR="15BAFF98" w:rsidRPr="0086458B">
        <w:rPr>
          <w:rFonts w:ascii="Bookman Old Style" w:hAnsi="Bookman Old Style" w:cs="Arial"/>
        </w:rPr>
        <w:t>n cumplimiento de lo previsto en el artículo 37 del Código de Procedimiento Administrativo y de lo Contencioso Administrativo.</w:t>
      </w:r>
    </w:p>
    <w:p w14:paraId="5E62D7CD" w14:textId="30A1E6A7" w:rsidR="00440361" w:rsidRPr="0086458B" w:rsidRDefault="00440361" w:rsidP="00E57F55">
      <w:pPr>
        <w:widowControl w:val="0"/>
        <w:ind w:left="284" w:right="142"/>
        <w:contextualSpacing/>
        <w:jc w:val="both"/>
        <w:rPr>
          <w:rFonts w:ascii="Bookman Old Style" w:hAnsi="Bookman Old Style" w:cs="Arial"/>
        </w:rPr>
      </w:pPr>
    </w:p>
    <w:p w14:paraId="0506A09B" w14:textId="205B40D6" w:rsidR="00C618CB" w:rsidRPr="0086458B" w:rsidRDefault="00CA0209" w:rsidP="00E57F55">
      <w:pPr>
        <w:widowControl w:val="0"/>
        <w:ind w:left="284" w:right="51"/>
        <w:contextualSpacing/>
        <w:jc w:val="both"/>
        <w:rPr>
          <w:rFonts w:ascii="Bookman Old Style" w:eastAsia="Calibri" w:hAnsi="Bookman Old Style" w:cs="Arial"/>
        </w:rPr>
      </w:pPr>
      <w:r w:rsidRPr="0086458B">
        <w:rPr>
          <w:rFonts w:ascii="Bookman Old Style" w:hAnsi="Bookman Old Style" w:cs="Arial"/>
        </w:rPr>
        <w:t xml:space="preserve">Mediante </w:t>
      </w:r>
      <w:r w:rsidR="00DB73DD" w:rsidRPr="0086458B">
        <w:rPr>
          <w:rFonts w:ascii="Bookman Old Style" w:hAnsi="Bookman Old Style" w:cs="Arial"/>
        </w:rPr>
        <w:t xml:space="preserve">comunicación </w:t>
      </w:r>
      <w:r w:rsidRPr="0086458B">
        <w:rPr>
          <w:rFonts w:ascii="Bookman Old Style" w:hAnsi="Bookman Old Style" w:cs="Arial"/>
        </w:rPr>
        <w:t xml:space="preserve">con radicado CREG </w:t>
      </w:r>
      <w:r w:rsidR="008058F6" w:rsidRPr="0086458B">
        <w:rPr>
          <w:rFonts w:ascii="Bookman Old Style" w:hAnsi="Bookman Old Style" w:cs="Arial"/>
          <w:lang w:val="es-MX"/>
        </w:rPr>
        <w:t>S-2019-</w:t>
      </w:r>
      <w:r w:rsidR="4351D5ED" w:rsidRPr="0086458B">
        <w:rPr>
          <w:rFonts w:ascii="Bookman Old Style" w:hAnsi="Bookman Old Style" w:cs="Arial"/>
          <w:lang w:val="es-MX"/>
        </w:rPr>
        <w:t>006</w:t>
      </w:r>
      <w:r w:rsidR="00A20ABF">
        <w:rPr>
          <w:rFonts w:ascii="Bookman Old Style" w:hAnsi="Bookman Old Style" w:cs="Arial"/>
          <w:lang w:val="es-MX"/>
        </w:rPr>
        <w:t>742</w:t>
      </w:r>
      <w:r w:rsidR="008058F6" w:rsidRPr="0086458B">
        <w:rPr>
          <w:rFonts w:ascii="Bookman Old Style" w:hAnsi="Bookman Old Style" w:cs="Arial"/>
          <w:lang w:val="es-MX"/>
        </w:rPr>
        <w:t xml:space="preserve"> </w:t>
      </w:r>
      <w:r w:rsidR="00DB73DD" w:rsidRPr="0086458B">
        <w:rPr>
          <w:rFonts w:ascii="Bookman Old Style" w:hAnsi="Bookman Old Style" w:cs="Arial"/>
        </w:rPr>
        <w:t xml:space="preserve">del </w:t>
      </w:r>
      <w:r w:rsidR="7BB2C34C" w:rsidRPr="0086458B">
        <w:rPr>
          <w:rFonts w:ascii="Bookman Old Style" w:hAnsi="Bookman Old Style" w:cs="Arial"/>
        </w:rPr>
        <w:t>4</w:t>
      </w:r>
      <w:r w:rsidR="00DB73DD" w:rsidRPr="0086458B">
        <w:rPr>
          <w:rFonts w:ascii="Bookman Old Style" w:hAnsi="Bookman Old Style" w:cs="Arial"/>
        </w:rPr>
        <w:t xml:space="preserve"> de </w:t>
      </w:r>
      <w:r w:rsidR="00F33547" w:rsidRPr="0086458B">
        <w:rPr>
          <w:rFonts w:ascii="Bookman Old Style" w:hAnsi="Bookman Old Style" w:cs="Arial"/>
        </w:rPr>
        <w:t>diciembre</w:t>
      </w:r>
      <w:r w:rsidR="00DB73DD" w:rsidRPr="0086458B">
        <w:rPr>
          <w:rFonts w:ascii="Bookman Old Style" w:hAnsi="Bookman Old Style" w:cs="Arial"/>
        </w:rPr>
        <w:t xml:space="preserve"> de 2019</w:t>
      </w:r>
      <w:r w:rsidRPr="0086458B">
        <w:rPr>
          <w:rFonts w:ascii="Bookman Old Style" w:hAnsi="Bookman Old Style" w:cs="Arial"/>
        </w:rPr>
        <w:t xml:space="preserve">, </w:t>
      </w:r>
      <w:r w:rsidR="00652F47" w:rsidRPr="0086458B">
        <w:rPr>
          <w:rFonts w:ascii="Bookman Old Style" w:hAnsi="Bookman Old Style" w:cs="Arial"/>
        </w:rPr>
        <w:t>se</w:t>
      </w:r>
      <w:r w:rsidRPr="0086458B">
        <w:rPr>
          <w:rFonts w:ascii="Bookman Old Style" w:hAnsi="Bookman Old Style" w:cs="Arial"/>
        </w:rPr>
        <w:t xml:space="preserve"> le comunicó a</w:t>
      </w:r>
      <w:r w:rsidR="008058F6" w:rsidRPr="0086458B">
        <w:rPr>
          <w:rFonts w:ascii="Bookman Old Style" w:hAnsi="Bookman Old Style" w:cs="Arial"/>
        </w:rPr>
        <w:t xml:space="preserve"> </w:t>
      </w:r>
      <w:r w:rsidR="00DE13F5" w:rsidRPr="0086458B">
        <w:rPr>
          <w:rFonts w:ascii="Bookman Old Style" w:hAnsi="Bookman Old Style" w:cs="Arial"/>
        </w:rPr>
        <w:t>la empresa,</w:t>
      </w:r>
      <w:r w:rsidRPr="0086458B">
        <w:rPr>
          <w:rFonts w:ascii="Bookman Old Style" w:hAnsi="Bookman Old Style" w:cs="Arial"/>
        </w:rPr>
        <w:t xml:space="preserve"> </w:t>
      </w:r>
      <w:r w:rsidR="00DB73DD" w:rsidRPr="0086458B">
        <w:rPr>
          <w:rFonts w:ascii="Bookman Old Style" w:hAnsi="Bookman Old Style" w:cs="Arial"/>
        </w:rPr>
        <w:t>del inicio de la actuación administrativa</w:t>
      </w:r>
      <w:r w:rsidR="00C21AD5" w:rsidRPr="0086458B">
        <w:rPr>
          <w:rFonts w:ascii="Bookman Old Style" w:hAnsi="Bookman Old Style" w:cs="Arial"/>
        </w:rPr>
        <w:t>,</w:t>
      </w:r>
      <w:r w:rsidRPr="0086458B">
        <w:rPr>
          <w:rFonts w:ascii="Bookman Old Style" w:hAnsi="Bookman Old Style" w:cs="Arial"/>
        </w:rPr>
        <w:t xml:space="preserve"> </w:t>
      </w:r>
      <w:r w:rsidR="00F57E6A" w:rsidRPr="0086458B">
        <w:rPr>
          <w:rFonts w:ascii="Bookman Old Style" w:hAnsi="Bookman Old Style" w:cs="Arial"/>
        </w:rPr>
        <w:t xml:space="preserve">y </w:t>
      </w:r>
      <w:r w:rsidR="00BD2964" w:rsidRPr="0086458B">
        <w:rPr>
          <w:rFonts w:ascii="Bookman Old Style" w:hAnsi="Bookman Old Style" w:cs="Arial"/>
        </w:rPr>
        <w:t xml:space="preserve">se le </w:t>
      </w:r>
      <w:r w:rsidR="00F57E6A" w:rsidRPr="0086458B">
        <w:rPr>
          <w:rFonts w:ascii="Bookman Old Style" w:hAnsi="Bookman Old Style" w:cs="Arial"/>
        </w:rPr>
        <w:t xml:space="preserve">remitió copia </w:t>
      </w:r>
      <w:r w:rsidR="00DB73DD" w:rsidRPr="0086458B">
        <w:rPr>
          <w:rFonts w:ascii="Bookman Old Style" w:hAnsi="Bookman Old Style" w:cs="Arial"/>
        </w:rPr>
        <w:t>del</w:t>
      </w:r>
      <w:r w:rsidR="00652F47" w:rsidRPr="0086458B">
        <w:rPr>
          <w:rFonts w:ascii="Bookman Old Style" w:hAnsi="Bookman Old Style" w:cs="Arial"/>
        </w:rPr>
        <w:t xml:space="preserve"> respectivo</w:t>
      </w:r>
      <w:r w:rsidR="00DB73DD" w:rsidRPr="0086458B">
        <w:rPr>
          <w:rFonts w:ascii="Bookman Old Style" w:hAnsi="Bookman Old Style" w:cs="Arial"/>
        </w:rPr>
        <w:t xml:space="preserve"> auto de inicio.</w:t>
      </w:r>
    </w:p>
    <w:p w14:paraId="1C8F628F" w14:textId="6C207ABC" w:rsidR="00C618CB" w:rsidRPr="0086458B" w:rsidRDefault="00C618CB" w:rsidP="00E57F55">
      <w:pPr>
        <w:ind w:left="284"/>
        <w:contextualSpacing/>
        <w:jc w:val="both"/>
        <w:rPr>
          <w:rFonts w:ascii="Bookman Old Style" w:hAnsi="Bookman Old Style" w:cs="Arial"/>
        </w:rPr>
      </w:pPr>
    </w:p>
    <w:p w14:paraId="34C8BD81" w14:textId="2A2C164A" w:rsidR="00BD2964" w:rsidRPr="0086458B" w:rsidRDefault="2E45CDD8" w:rsidP="00E57F55">
      <w:pPr>
        <w:ind w:left="284"/>
        <w:contextualSpacing/>
        <w:jc w:val="both"/>
        <w:rPr>
          <w:rFonts w:ascii="Bookman Old Style" w:hAnsi="Bookman Old Style" w:cs="Arial"/>
        </w:rPr>
      </w:pPr>
      <w:r w:rsidRPr="0086458B">
        <w:rPr>
          <w:rFonts w:ascii="Bookman Old Style" w:hAnsi="Bookman Old Style" w:cs="Arial"/>
        </w:rPr>
        <w:t xml:space="preserve">Mediante oficio con </w:t>
      </w:r>
      <w:r w:rsidR="15BAFF98" w:rsidRPr="0086458B">
        <w:rPr>
          <w:rFonts w:ascii="Bookman Old Style" w:hAnsi="Bookman Old Style" w:cs="Arial"/>
        </w:rPr>
        <w:t>radicado CREG S-2019-00</w:t>
      </w:r>
      <w:r w:rsidR="715B2733" w:rsidRPr="0086458B">
        <w:rPr>
          <w:rFonts w:ascii="Bookman Old Style" w:hAnsi="Bookman Old Style" w:cs="Arial"/>
        </w:rPr>
        <w:t>6701</w:t>
      </w:r>
      <w:r w:rsidR="15BAFF98" w:rsidRPr="0086458B">
        <w:rPr>
          <w:rFonts w:ascii="Bookman Old Style" w:hAnsi="Bookman Old Style" w:cs="Arial"/>
        </w:rPr>
        <w:t xml:space="preserve"> </w:t>
      </w:r>
      <w:r w:rsidR="5DF1A41C" w:rsidRPr="0086458B">
        <w:rPr>
          <w:rFonts w:ascii="Bookman Old Style" w:hAnsi="Bookman Old Style" w:cs="Arial"/>
        </w:rPr>
        <w:t xml:space="preserve">del </w:t>
      </w:r>
      <w:r w:rsidR="1594DFC5" w:rsidRPr="0086458B">
        <w:rPr>
          <w:rFonts w:ascii="Bookman Old Style" w:hAnsi="Bookman Old Style" w:cs="Arial"/>
        </w:rPr>
        <w:t>0</w:t>
      </w:r>
      <w:r w:rsidR="37429429" w:rsidRPr="0086458B">
        <w:rPr>
          <w:rFonts w:ascii="Bookman Old Style" w:hAnsi="Bookman Old Style" w:cs="Arial"/>
        </w:rPr>
        <w:t>4</w:t>
      </w:r>
      <w:r w:rsidR="5DF1A41C" w:rsidRPr="0086458B">
        <w:rPr>
          <w:rFonts w:ascii="Bookman Old Style" w:hAnsi="Bookman Old Style" w:cs="Arial"/>
        </w:rPr>
        <w:t xml:space="preserve"> de </w:t>
      </w:r>
      <w:r w:rsidR="37429429" w:rsidRPr="0086458B">
        <w:rPr>
          <w:rFonts w:ascii="Bookman Old Style" w:hAnsi="Bookman Old Style" w:cs="Arial"/>
        </w:rPr>
        <w:t xml:space="preserve">diciembre </w:t>
      </w:r>
      <w:r w:rsidR="5DF1A41C" w:rsidRPr="0086458B">
        <w:rPr>
          <w:rFonts w:ascii="Bookman Old Style" w:hAnsi="Bookman Old Style" w:cs="Arial"/>
        </w:rPr>
        <w:t>de 2019</w:t>
      </w:r>
      <w:r w:rsidR="44C1A159" w:rsidRPr="0086458B">
        <w:rPr>
          <w:rFonts w:ascii="Bookman Old Style" w:hAnsi="Bookman Old Style" w:cs="Arial"/>
        </w:rPr>
        <w:t>,</w:t>
      </w:r>
      <w:r w:rsidR="5DF1A41C" w:rsidRPr="0086458B">
        <w:rPr>
          <w:rFonts w:ascii="Bookman Old Style" w:hAnsi="Bookman Old Style" w:cs="Arial"/>
        </w:rPr>
        <w:t xml:space="preserve"> </w:t>
      </w:r>
      <w:r w:rsidR="15BAFF98" w:rsidRPr="0086458B">
        <w:rPr>
          <w:rFonts w:ascii="Bookman Old Style" w:hAnsi="Bookman Old Style" w:cs="Arial"/>
        </w:rPr>
        <w:t xml:space="preserve">se le comunicó </w:t>
      </w:r>
      <w:r w:rsidR="44C1A159" w:rsidRPr="0086458B">
        <w:rPr>
          <w:rFonts w:ascii="Bookman Old Style" w:hAnsi="Bookman Old Style" w:cs="Arial"/>
        </w:rPr>
        <w:t xml:space="preserve">a la Alcaldía Municipal de </w:t>
      </w:r>
      <w:r w:rsidR="1594DFC5" w:rsidRPr="0086458B">
        <w:rPr>
          <w:rFonts w:ascii="Bookman Old Style" w:hAnsi="Bookman Old Style" w:cs="Arial"/>
        </w:rPr>
        <w:t xml:space="preserve">Mitú </w:t>
      </w:r>
      <w:r w:rsidR="15BAFF98" w:rsidRPr="0086458B">
        <w:rPr>
          <w:rFonts w:ascii="Bookman Old Style" w:hAnsi="Bookman Old Style" w:cs="Arial"/>
        </w:rPr>
        <w:t>del inicio de la actuación administrativa</w:t>
      </w:r>
      <w:r w:rsidR="094A824B" w:rsidRPr="0086458B">
        <w:rPr>
          <w:rFonts w:ascii="Bookman Old Style" w:hAnsi="Bookman Old Style" w:cs="Arial"/>
        </w:rPr>
        <w:t>,</w:t>
      </w:r>
      <w:r w:rsidR="15BAFF98" w:rsidRPr="0086458B">
        <w:rPr>
          <w:rFonts w:ascii="Bookman Old Style" w:hAnsi="Bookman Old Style" w:cs="Arial"/>
        </w:rPr>
        <w:t xml:space="preserve"> para los fines previstos en el artículo 37 del Código de Procedimiento Administrativo y de lo Contencioso Administrativo, </w:t>
      </w:r>
      <w:r w:rsidR="00A45224">
        <w:rPr>
          <w:rFonts w:ascii="Bookman Old Style" w:hAnsi="Bookman Old Style" w:cs="Arial"/>
        </w:rPr>
        <w:t>la cual</w:t>
      </w:r>
      <w:r w:rsidR="0027455C">
        <w:rPr>
          <w:rFonts w:ascii="Bookman Old Style" w:hAnsi="Bookman Old Style" w:cs="Arial"/>
        </w:rPr>
        <w:t>,</w:t>
      </w:r>
      <w:r w:rsidR="15BAFF98" w:rsidRPr="0086458B">
        <w:rPr>
          <w:rFonts w:ascii="Bookman Old Style" w:hAnsi="Bookman Old Style" w:cs="Arial"/>
        </w:rPr>
        <w:t xml:space="preserve"> mediante comunicación E-2019-014214 del 30 de diciembre de 2019, remit</w:t>
      </w:r>
      <w:r w:rsidR="00C74749">
        <w:rPr>
          <w:rFonts w:ascii="Bookman Old Style" w:hAnsi="Bookman Old Style" w:cs="Arial"/>
        </w:rPr>
        <w:t>ió</w:t>
      </w:r>
      <w:r w:rsidR="15BAFF98" w:rsidRPr="0086458B">
        <w:rPr>
          <w:rFonts w:ascii="Bookman Old Style" w:hAnsi="Bookman Old Style" w:cs="Arial"/>
        </w:rPr>
        <w:t xml:space="preserve"> a la Comisión copia del aviso publicado con constancia de fijación y desfijación. </w:t>
      </w:r>
    </w:p>
    <w:p w14:paraId="223339EB" w14:textId="2241AD09" w:rsidR="003F6DAE" w:rsidRPr="0086458B" w:rsidRDefault="003F6DAE" w:rsidP="00E57F55">
      <w:pPr>
        <w:ind w:left="284"/>
        <w:contextualSpacing/>
        <w:jc w:val="both"/>
        <w:rPr>
          <w:rFonts w:ascii="Bookman Old Style" w:hAnsi="Bookman Old Style" w:cs="Arial"/>
        </w:rPr>
      </w:pPr>
      <w:bookmarkStart w:id="0" w:name="_Hlk85620386"/>
    </w:p>
    <w:p w14:paraId="4A4C4C82" w14:textId="785FCF53" w:rsidR="003F6DAE" w:rsidRPr="0086458B" w:rsidRDefault="003F6DAE" w:rsidP="00E57F55">
      <w:pPr>
        <w:ind w:left="284"/>
        <w:contextualSpacing/>
        <w:jc w:val="both"/>
        <w:rPr>
          <w:rFonts w:ascii="Bookman Old Style" w:hAnsi="Bookman Old Style" w:cs="Arial"/>
        </w:rPr>
      </w:pPr>
      <w:r w:rsidRPr="0086458B">
        <w:rPr>
          <w:rFonts w:ascii="Bookman Old Style" w:hAnsi="Bookman Old Style" w:cs="Arial"/>
        </w:rPr>
        <w:t xml:space="preserve">Mediante comunicación con radicado </w:t>
      </w:r>
      <w:r w:rsidR="008567DD" w:rsidRPr="0086458B">
        <w:rPr>
          <w:rFonts w:ascii="Bookman Old Style" w:hAnsi="Bookman Old Style" w:cs="Arial"/>
        </w:rPr>
        <w:t>CREG S-2019-006702 del 04 de diciembre de 201</w:t>
      </w:r>
      <w:r w:rsidRPr="0086458B">
        <w:rPr>
          <w:rFonts w:ascii="Bookman Old Style" w:hAnsi="Bookman Old Style" w:cs="Arial"/>
        </w:rPr>
        <w:t xml:space="preserve">9, se le comunicó a </w:t>
      </w:r>
      <w:r w:rsidR="008567DD" w:rsidRPr="0086458B">
        <w:rPr>
          <w:rFonts w:ascii="Bookman Old Style" w:hAnsi="Bookman Old Style" w:cs="Arial"/>
        </w:rPr>
        <w:t xml:space="preserve">GENSA </w:t>
      </w:r>
      <w:r w:rsidRPr="0086458B">
        <w:rPr>
          <w:rFonts w:ascii="Bookman Old Style" w:hAnsi="Bookman Old Style" w:cs="Arial"/>
        </w:rPr>
        <w:t>del inicio de la actuación administrativa</w:t>
      </w:r>
      <w:r w:rsidR="00CA403D" w:rsidRPr="0086458B">
        <w:rPr>
          <w:rFonts w:ascii="Bookman Old Style" w:hAnsi="Bookman Old Style" w:cs="Arial"/>
        </w:rPr>
        <w:t xml:space="preserve"> para los fines previstos en el artículo 37 del Código de Procedimiento Administrativo y de lo Contencioso Administrativo</w:t>
      </w:r>
      <w:r w:rsidR="0027455C">
        <w:rPr>
          <w:rFonts w:ascii="Bookman Old Style" w:hAnsi="Bookman Old Style" w:cs="Arial"/>
        </w:rPr>
        <w:t>,</w:t>
      </w:r>
      <w:r w:rsidRPr="0086458B">
        <w:rPr>
          <w:rFonts w:ascii="Bookman Old Style" w:hAnsi="Bookman Old Style" w:cs="Arial"/>
        </w:rPr>
        <w:t xml:space="preserve"> y se le remitió copia del respectivo auto de inicio.</w:t>
      </w:r>
    </w:p>
    <w:bookmarkEnd w:id="0"/>
    <w:p w14:paraId="4C9802BE" w14:textId="7EAE1002" w:rsidR="003F6DAE" w:rsidRPr="0086458B" w:rsidRDefault="003F6DAE" w:rsidP="00E57F55">
      <w:pPr>
        <w:ind w:left="284"/>
        <w:contextualSpacing/>
        <w:jc w:val="both"/>
        <w:rPr>
          <w:rFonts w:ascii="Bookman Old Style" w:hAnsi="Bookman Old Style" w:cs="Arial"/>
        </w:rPr>
      </w:pPr>
    </w:p>
    <w:p w14:paraId="61B9DA6A" w14:textId="0EA19712" w:rsidR="00CA403D" w:rsidRPr="0086458B" w:rsidRDefault="00CA403D" w:rsidP="00E57F55">
      <w:pPr>
        <w:ind w:left="284"/>
        <w:contextualSpacing/>
        <w:jc w:val="both"/>
        <w:rPr>
          <w:rFonts w:ascii="Bookman Old Style" w:hAnsi="Bookman Old Style" w:cs="Arial"/>
        </w:rPr>
      </w:pPr>
      <w:r w:rsidRPr="0086458B">
        <w:rPr>
          <w:rFonts w:ascii="Bookman Old Style" w:hAnsi="Bookman Old Style" w:cs="Arial"/>
        </w:rPr>
        <w:t>Mediante comunicación con radicado CREG S-2019-0067</w:t>
      </w:r>
      <w:r w:rsidR="00C83720" w:rsidRPr="0086458B">
        <w:rPr>
          <w:rFonts w:ascii="Bookman Old Style" w:hAnsi="Bookman Old Style" w:cs="Arial"/>
        </w:rPr>
        <w:t xml:space="preserve">03 </w:t>
      </w:r>
      <w:r w:rsidRPr="0086458B">
        <w:rPr>
          <w:rFonts w:ascii="Bookman Old Style" w:hAnsi="Bookman Old Style" w:cs="Arial"/>
        </w:rPr>
        <w:t xml:space="preserve">del 04 de diciembre de 2019, se le comunicó </w:t>
      </w:r>
      <w:r w:rsidR="00C83720" w:rsidRPr="0086458B">
        <w:rPr>
          <w:rFonts w:ascii="Bookman Old Style" w:hAnsi="Bookman Old Style" w:cs="Arial"/>
        </w:rPr>
        <w:t xml:space="preserve">al Ministerio de Minas y </w:t>
      </w:r>
      <w:r w:rsidR="00662B2B" w:rsidRPr="0086458B">
        <w:rPr>
          <w:rFonts w:ascii="Bookman Old Style" w:hAnsi="Bookman Old Style" w:cs="Arial"/>
        </w:rPr>
        <w:t xml:space="preserve">Energía, </w:t>
      </w:r>
      <w:r w:rsidR="00B052F4">
        <w:rPr>
          <w:rFonts w:ascii="Bookman Old Style" w:hAnsi="Bookman Old Style" w:cs="Arial"/>
        </w:rPr>
        <w:t>MME</w:t>
      </w:r>
      <w:r w:rsidR="00662B2B" w:rsidRPr="0086458B">
        <w:rPr>
          <w:rFonts w:ascii="Bookman Old Style" w:hAnsi="Bookman Old Style" w:cs="Arial"/>
        </w:rPr>
        <w:t xml:space="preserve">, </w:t>
      </w:r>
      <w:r w:rsidRPr="0086458B">
        <w:rPr>
          <w:rFonts w:ascii="Bookman Old Style" w:hAnsi="Bookman Old Style" w:cs="Arial"/>
        </w:rPr>
        <w:t>del inicio de la actuación administrativa para los fines previstos en el artículo 37 del Código de Procedimiento Administrativo y de lo Contencioso Administrativo</w:t>
      </w:r>
      <w:r w:rsidR="0027455C">
        <w:rPr>
          <w:rFonts w:ascii="Bookman Old Style" w:hAnsi="Bookman Old Style" w:cs="Arial"/>
        </w:rPr>
        <w:t>,</w:t>
      </w:r>
      <w:r w:rsidRPr="0086458B">
        <w:rPr>
          <w:rFonts w:ascii="Bookman Old Style" w:hAnsi="Bookman Old Style" w:cs="Arial"/>
        </w:rPr>
        <w:t xml:space="preserve"> y se le remitió copia del respectivo auto de inicio.</w:t>
      </w:r>
    </w:p>
    <w:p w14:paraId="4C6076A6" w14:textId="2BB49CCA" w:rsidR="00D35822" w:rsidRPr="0086458B" w:rsidRDefault="00D35822" w:rsidP="00E57F55">
      <w:pPr>
        <w:ind w:left="284"/>
        <w:contextualSpacing/>
        <w:jc w:val="both"/>
        <w:rPr>
          <w:rFonts w:ascii="Bookman Old Style" w:hAnsi="Bookman Old Style" w:cs="Arial"/>
        </w:rPr>
      </w:pPr>
    </w:p>
    <w:p w14:paraId="5E989514" w14:textId="682D4103" w:rsidR="00D35822" w:rsidRPr="0086458B" w:rsidRDefault="00D35822" w:rsidP="00E57F55">
      <w:pPr>
        <w:ind w:left="284"/>
        <w:contextualSpacing/>
        <w:jc w:val="both"/>
        <w:rPr>
          <w:rFonts w:ascii="Bookman Old Style" w:hAnsi="Bookman Old Style" w:cs="Arial"/>
        </w:rPr>
      </w:pPr>
      <w:r w:rsidRPr="0086458B">
        <w:rPr>
          <w:rFonts w:ascii="Bookman Old Style" w:hAnsi="Bookman Old Style" w:cs="Arial"/>
        </w:rPr>
        <w:t xml:space="preserve">Mediante comunicación con radicado CREG S-2019-006704 del 04 de diciembre de 2019, se le comunicó a </w:t>
      </w:r>
      <w:r w:rsidR="00435BA2" w:rsidRPr="0086458B">
        <w:rPr>
          <w:rFonts w:ascii="Bookman Old Style" w:hAnsi="Bookman Old Style" w:cs="Arial"/>
        </w:rPr>
        <w:t xml:space="preserve">la Gobernación del Vaupés, en adelante la Gobernación, </w:t>
      </w:r>
      <w:r w:rsidRPr="0086458B">
        <w:rPr>
          <w:rFonts w:ascii="Bookman Old Style" w:hAnsi="Bookman Old Style" w:cs="Arial"/>
        </w:rPr>
        <w:t>del inicio de la actuación administrativa para los fines previstos en el artículo 37 del Código de Procedimiento Administrativo y de lo Contencioso Administrativo</w:t>
      </w:r>
      <w:r w:rsidR="0027455C">
        <w:rPr>
          <w:rFonts w:ascii="Bookman Old Style" w:hAnsi="Bookman Old Style" w:cs="Arial"/>
        </w:rPr>
        <w:t>,</w:t>
      </w:r>
      <w:r w:rsidRPr="0086458B">
        <w:rPr>
          <w:rFonts w:ascii="Bookman Old Style" w:hAnsi="Bookman Old Style" w:cs="Arial"/>
        </w:rPr>
        <w:t xml:space="preserve"> y se le remitió copia del respectivo auto de inicio. </w:t>
      </w:r>
    </w:p>
    <w:p w14:paraId="4AEFCD18" w14:textId="1B033AB0" w:rsidR="00D35822" w:rsidRPr="00BA075A" w:rsidRDefault="00D35822" w:rsidP="00E57F55">
      <w:pPr>
        <w:ind w:left="284"/>
        <w:contextualSpacing/>
        <w:jc w:val="both"/>
        <w:rPr>
          <w:rFonts w:ascii="Bookman Old Style" w:hAnsi="Bookman Old Style" w:cs="Arial"/>
        </w:rPr>
      </w:pPr>
    </w:p>
    <w:p w14:paraId="5F192576" w14:textId="63783BD3" w:rsidR="002037BF" w:rsidRDefault="008404EA" w:rsidP="00E57F55">
      <w:pPr>
        <w:ind w:left="284"/>
        <w:contextualSpacing/>
        <w:jc w:val="both"/>
        <w:rPr>
          <w:rFonts w:ascii="Bookman Old Style" w:hAnsi="Bookman Old Style" w:cs="Arial"/>
          <w:lang w:val="es-CO"/>
        </w:rPr>
      </w:pPr>
      <w:r>
        <w:rPr>
          <w:rFonts w:ascii="Bookman Old Style" w:hAnsi="Bookman Old Style" w:cs="Arial"/>
        </w:rPr>
        <w:t>Mediante</w:t>
      </w:r>
      <w:r w:rsidR="00DD3BD7" w:rsidRPr="00BA075A">
        <w:rPr>
          <w:rFonts w:ascii="Bookman Old Style" w:hAnsi="Bookman Old Style" w:cs="Arial"/>
        </w:rPr>
        <w:t xml:space="preserve"> comunicación </w:t>
      </w:r>
      <w:r>
        <w:rPr>
          <w:rFonts w:ascii="Bookman Old Style" w:hAnsi="Bookman Old Style" w:cs="Arial"/>
        </w:rPr>
        <w:t>con</w:t>
      </w:r>
      <w:r w:rsidR="00DD3BD7" w:rsidRPr="00BA075A">
        <w:rPr>
          <w:rFonts w:ascii="Bookman Old Style" w:hAnsi="Bookman Old Style" w:cs="Arial"/>
        </w:rPr>
        <w:t xml:space="preserve"> radicado CREG</w:t>
      </w:r>
      <w:r w:rsidR="00DD3BD7" w:rsidRPr="00BA075A">
        <w:rPr>
          <w:rFonts w:ascii="Bookman Old Style" w:hAnsi="Bookman Old Style" w:cs="Arial"/>
          <w:lang w:val="es-CO"/>
        </w:rPr>
        <w:t xml:space="preserve"> E-2019-014169 del </w:t>
      </w:r>
      <w:r w:rsidR="00E55209" w:rsidRPr="00BA075A">
        <w:rPr>
          <w:rFonts w:ascii="Bookman Old Style" w:hAnsi="Bookman Old Style" w:cs="Arial"/>
          <w:lang w:val="es-CO"/>
        </w:rPr>
        <w:t xml:space="preserve">27 de diciembre de 2019, </w:t>
      </w:r>
      <w:r w:rsidR="005E5DAB" w:rsidRPr="00BA075A">
        <w:rPr>
          <w:rFonts w:ascii="Bookman Old Style" w:hAnsi="Bookman Old Style" w:cs="Arial"/>
        </w:rPr>
        <w:t xml:space="preserve">GENSA </w:t>
      </w:r>
      <w:r w:rsidR="00E55209" w:rsidRPr="00BA075A">
        <w:rPr>
          <w:rFonts w:ascii="Bookman Old Style" w:hAnsi="Bookman Old Style" w:cs="Arial"/>
          <w:lang w:val="es-CO"/>
        </w:rPr>
        <w:t>solicitó a la Comisión ser reconocid</w:t>
      </w:r>
      <w:r w:rsidR="005E5DAB" w:rsidRPr="00BA075A">
        <w:rPr>
          <w:rFonts w:ascii="Bookman Old Style" w:hAnsi="Bookman Old Style" w:cs="Arial"/>
          <w:lang w:val="es-CO"/>
        </w:rPr>
        <w:t>a</w:t>
      </w:r>
      <w:r w:rsidR="00E55209" w:rsidRPr="00BA075A">
        <w:rPr>
          <w:rFonts w:ascii="Bookman Old Style" w:hAnsi="Bookman Old Style" w:cs="Arial"/>
          <w:lang w:val="es-CO"/>
        </w:rPr>
        <w:t xml:space="preserve"> como </w:t>
      </w:r>
      <w:r w:rsidR="00B5174A" w:rsidRPr="00BA075A">
        <w:rPr>
          <w:rFonts w:ascii="Bookman Old Style" w:hAnsi="Bookman Old Style" w:cs="Arial"/>
          <w:lang w:val="es-CO"/>
        </w:rPr>
        <w:t>tercero interesado dentro de la actuación administrativa</w:t>
      </w:r>
      <w:r w:rsidR="00275668" w:rsidRPr="00BA075A">
        <w:rPr>
          <w:rFonts w:ascii="Bookman Old Style" w:hAnsi="Bookman Old Style" w:cs="Arial"/>
          <w:lang w:val="es-CO"/>
        </w:rPr>
        <w:t>, indicando como fundamento de su solicitud</w:t>
      </w:r>
      <w:r w:rsidR="002037BF">
        <w:rPr>
          <w:rFonts w:ascii="Bookman Old Style" w:hAnsi="Bookman Old Style" w:cs="Arial"/>
          <w:lang w:val="es-CO"/>
        </w:rPr>
        <w:t>:</w:t>
      </w:r>
    </w:p>
    <w:p w14:paraId="584F8EF2" w14:textId="77777777" w:rsidR="002037BF" w:rsidRDefault="002037BF" w:rsidP="00E57F55">
      <w:pPr>
        <w:ind w:left="284"/>
        <w:contextualSpacing/>
        <w:jc w:val="both"/>
        <w:rPr>
          <w:rFonts w:ascii="Bookman Old Style" w:hAnsi="Bookman Old Style" w:cs="Arial"/>
          <w:lang w:val="es-CO"/>
        </w:rPr>
      </w:pPr>
    </w:p>
    <w:p w14:paraId="3FE1194A" w14:textId="77777777" w:rsidR="00500332" w:rsidRDefault="00FB2742" w:rsidP="0027455C">
      <w:pPr>
        <w:pStyle w:val="Textoindependiente21"/>
        <w:ind w:left="567"/>
        <w:contextualSpacing/>
        <w:rPr>
          <w:rFonts w:ascii="Bookman Old Style" w:hAnsi="Bookman Old Style"/>
          <w:i/>
          <w:sz w:val="20"/>
          <w:lang w:val="es-CO"/>
        </w:rPr>
      </w:pPr>
      <w:r w:rsidRPr="00FC77E6">
        <w:rPr>
          <w:rFonts w:ascii="Bookman Old Style" w:hAnsi="Bookman Old Style"/>
          <w:i/>
          <w:sz w:val="20"/>
          <w:lang w:val="es-CO"/>
        </w:rPr>
        <w:t>“(…)</w:t>
      </w:r>
      <w:r>
        <w:rPr>
          <w:rFonts w:ascii="Bookman Old Style" w:hAnsi="Bookman Old Style"/>
          <w:i/>
          <w:sz w:val="20"/>
          <w:lang w:val="es-CO"/>
        </w:rPr>
        <w:t xml:space="preserve"> </w:t>
      </w:r>
      <w:r w:rsidRPr="00F3433E">
        <w:rPr>
          <w:rFonts w:ascii="Bookman Old Style" w:hAnsi="Bookman Old Style"/>
          <w:i/>
          <w:sz w:val="20"/>
          <w:lang w:val="es-CO"/>
        </w:rPr>
        <w:t>me permito solicitarle cordialmente (i) que se admita a mi representada como tercero interviniente en dicho proceso</w:t>
      </w:r>
      <w:r>
        <w:rPr>
          <w:rFonts w:ascii="Bookman Old Style" w:hAnsi="Bookman Old Style"/>
          <w:i/>
          <w:sz w:val="20"/>
          <w:lang w:val="es-CO"/>
        </w:rPr>
        <w:t xml:space="preserve"> (…)</w:t>
      </w:r>
      <w:r w:rsidRPr="00FC77E6">
        <w:rPr>
          <w:rFonts w:ascii="Bookman Old Style" w:hAnsi="Bookman Old Style"/>
          <w:i/>
          <w:sz w:val="20"/>
          <w:lang w:val="es-CO"/>
        </w:rPr>
        <w:t xml:space="preserve"> </w:t>
      </w:r>
    </w:p>
    <w:p w14:paraId="7E19C279" w14:textId="77777777" w:rsidR="00500332" w:rsidRDefault="00500332" w:rsidP="0027455C">
      <w:pPr>
        <w:pStyle w:val="Textoindependiente21"/>
        <w:ind w:left="567"/>
        <w:contextualSpacing/>
        <w:rPr>
          <w:rFonts w:ascii="Bookman Old Style" w:hAnsi="Bookman Old Style"/>
          <w:i/>
          <w:sz w:val="20"/>
          <w:lang w:val="es-CO"/>
        </w:rPr>
      </w:pPr>
    </w:p>
    <w:p w14:paraId="55D0E605" w14:textId="78C9458E" w:rsidR="00500332" w:rsidRDefault="00500332" w:rsidP="0027455C">
      <w:pPr>
        <w:pStyle w:val="Textoindependiente21"/>
        <w:ind w:left="567"/>
        <w:contextualSpacing/>
        <w:rPr>
          <w:rFonts w:ascii="Bookman Old Style" w:hAnsi="Bookman Old Style"/>
          <w:i/>
          <w:sz w:val="20"/>
          <w:lang w:val="es-CO"/>
        </w:rPr>
      </w:pPr>
      <w:r w:rsidRPr="00500332">
        <w:rPr>
          <w:rFonts w:ascii="Bookman Old Style" w:hAnsi="Bookman Old Style"/>
          <w:i/>
          <w:sz w:val="20"/>
          <w:lang w:val="es-CO"/>
        </w:rPr>
        <w:t>el art</w:t>
      </w:r>
      <w:r w:rsidR="00EC56DD">
        <w:rPr>
          <w:rFonts w:ascii="Bookman Old Style" w:hAnsi="Bookman Old Style"/>
          <w:i/>
          <w:sz w:val="20"/>
          <w:lang w:val="es-CO"/>
        </w:rPr>
        <w:t>í</w:t>
      </w:r>
      <w:r w:rsidRPr="00500332">
        <w:rPr>
          <w:rFonts w:ascii="Bookman Old Style" w:hAnsi="Bookman Old Style"/>
          <w:i/>
          <w:sz w:val="20"/>
          <w:lang w:val="es-CO"/>
        </w:rPr>
        <w:t>culo 38 del Código de Procedimiento Administrativo y de lo Contencioso Administrativo- CPACA establece que los terceros podrán intervenir en las actuaciones administrativas con los mismos derechos, deberes y responsabilidades de quienes son parte interesada, entre otros, en el caso que sus derechos o su situación jurídica puedan resultar afectados con la actuación administrativa adelantada en interés particular, o cuando la decisión que sobre ella recaiga pueda ocasionarles perjuicios.</w:t>
      </w:r>
    </w:p>
    <w:p w14:paraId="2C849CD4" w14:textId="77777777" w:rsidR="00500332" w:rsidRDefault="00500332" w:rsidP="0027455C">
      <w:pPr>
        <w:pStyle w:val="Textoindependiente21"/>
        <w:ind w:left="567"/>
        <w:contextualSpacing/>
        <w:rPr>
          <w:rFonts w:ascii="Bookman Old Style" w:hAnsi="Bookman Old Style"/>
          <w:i/>
          <w:sz w:val="20"/>
          <w:lang w:val="es-CO"/>
        </w:rPr>
      </w:pPr>
    </w:p>
    <w:p w14:paraId="42C3F420" w14:textId="77777777" w:rsidR="00767D88" w:rsidRDefault="00AB7636" w:rsidP="0027455C">
      <w:pPr>
        <w:pStyle w:val="Textoindependiente21"/>
        <w:ind w:left="567"/>
        <w:contextualSpacing/>
        <w:rPr>
          <w:rFonts w:ascii="Bookman Old Style" w:hAnsi="Bookman Old Style"/>
          <w:i/>
          <w:sz w:val="20"/>
        </w:rPr>
      </w:pPr>
      <w:r w:rsidRPr="00AB7636">
        <w:rPr>
          <w:rFonts w:ascii="Bookman Old Style" w:hAnsi="Bookman Old Style"/>
          <w:i/>
          <w:sz w:val="20"/>
          <w:lang w:val="es-CO"/>
        </w:rPr>
        <w:t xml:space="preserve">Según los hechos esbozados </w:t>
      </w:r>
      <w:r>
        <w:rPr>
          <w:rFonts w:ascii="Bookman Old Style" w:hAnsi="Bookman Old Style"/>
          <w:i/>
          <w:sz w:val="20"/>
          <w:lang w:val="es-CO"/>
        </w:rPr>
        <w:t xml:space="preserve">(…) </w:t>
      </w:r>
      <w:r w:rsidRPr="00AB7636">
        <w:rPr>
          <w:rFonts w:ascii="Bookman Old Style" w:hAnsi="Bookman Old Style"/>
          <w:i/>
          <w:sz w:val="20"/>
          <w:lang w:val="es-CO"/>
        </w:rPr>
        <w:t xml:space="preserve">la actuación administrativa </w:t>
      </w:r>
      <w:r w:rsidR="00B74EBB">
        <w:rPr>
          <w:rFonts w:ascii="Bookman Old Style" w:hAnsi="Bookman Old Style"/>
          <w:i/>
          <w:sz w:val="20"/>
          <w:lang w:val="es-CO"/>
        </w:rPr>
        <w:t xml:space="preserve">(…) </w:t>
      </w:r>
      <w:r w:rsidRPr="00AB7636">
        <w:rPr>
          <w:rFonts w:ascii="Bookman Old Style" w:hAnsi="Bookman Old Style"/>
          <w:i/>
          <w:sz w:val="20"/>
          <w:lang w:val="es-CO"/>
        </w:rPr>
        <w:t>tiene por objeto la imposición de una servidumbre de acceso a un bien que se encuentra bajo el uso y goce de GENSA. Una Servidumbre de Acceso es un l</w:t>
      </w:r>
      <w:r w:rsidR="009C7336">
        <w:rPr>
          <w:rFonts w:ascii="Bookman Old Style" w:hAnsi="Bookman Old Style"/>
          <w:i/>
          <w:sz w:val="20"/>
          <w:lang w:val="es-CO"/>
        </w:rPr>
        <w:t>í</w:t>
      </w:r>
      <w:r w:rsidRPr="00AB7636">
        <w:rPr>
          <w:rFonts w:ascii="Bookman Old Style" w:hAnsi="Bookman Old Style"/>
          <w:i/>
          <w:sz w:val="20"/>
          <w:lang w:val="es-CO"/>
        </w:rPr>
        <w:t>mite a la propiedad</w:t>
      </w:r>
      <w:r w:rsidR="00DB292A">
        <w:rPr>
          <w:rFonts w:ascii="Bookman Old Style" w:hAnsi="Bookman Old Style"/>
          <w:i/>
          <w:sz w:val="20"/>
          <w:lang w:val="es-CO"/>
        </w:rPr>
        <w:t xml:space="preserve">, </w:t>
      </w:r>
      <w:r w:rsidRPr="00AB7636">
        <w:rPr>
          <w:rFonts w:ascii="Bookman Old Style" w:hAnsi="Bookman Old Style"/>
          <w:i/>
          <w:sz w:val="20"/>
          <w:lang w:val="es-CO"/>
        </w:rPr>
        <w:t>y en consecuencia, es también un l</w:t>
      </w:r>
      <w:r w:rsidR="006474A4">
        <w:rPr>
          <w:rFonts w:ascii="Bookman Old Style" w:hAnsi="Bookman Old Style"/>
          <w:i/>
          <w:sz w:val="20"/>
          <w:lang w:val="es-CO"/>
        </w:rPr>
        <w:t>í</w:t>
      </w:r>
      <w:r w:rsidRPr="00AB7636">
        <w:rPr>
          <w:rFonts w:ascii="Bookman Old Style" w:hAnsi="Bookman Old Style"/>
          <w:i/>
          <w:sz w:val="20"/>
          <w:lang w:val="es-CO"/>
        </w:rPr>
        <w:t>mite a las caracter</w:t>
      </w:r>
      <w:r w:rsidR="004241C0">
        <w:rPr>
          <w:rFonts w:ascii="Bookman Old Style" w:hAnsi="Bookman Old Style"/>
          <w:i/>
          <w:sz w:val="20"/>
          <w:lang w:val="es-CO"/>
        </w:rPr>
        <w:t>í</w:t>
      </w:r>
      <w:r w:rsidRPr="00AB7636">
        <w:rPr>
          <w:rFonts w:ascii="Bookman Old Style" w:hAnsi="Bookman Old Style"/>
          <w:i/>
          <w:sz w:val="20"/>
          <w:lang w:val="es-CO"/>
        </w:rPr>
        <w:t>sticas que se derivan de dicho derecho real, como lo son el uso y goce del bien. En ese sentido, la imposición de servidumbre de acceso que solicita Due Capital and Services S.A.S. afectaría directamente los derechos de uso y goce que ostenta GENSA frente a</w:t>
      </w:r>
      <w:r w:rsidR="007D661C">
        <w:rPr>
          <w:rFonts w:ascii="Bookman Old Style" w:hAnsi="Bookman Old Style"/>
          <w:i/>
          <w:sz w:val="20"/>
          <w:lang w:val="es-CO"/>
        </w:rPr>
        <w:t>l</w:t>
      </w:r>
      <w:r w:rsidRPr="00AB7636">
        <w:rPr>
          <w:rFonts w:ascii="Bookman Old Style" w:hAnsi="Bookman Old Style"/>
          <w:i/>
          <w:sz w:val="20"/>
          <w:lang w:val="es-CO"/>
        </w:rPr>
        <w:t xml:space="preserve"> bien objeto de la solicitud</w:t>
      </w:r>
      <w:r w:rsidR="00FB2742" w:rsidRPr="00FC77E6">
        <w:rPr>
          <w:rFonts w:ascii="Bookman Old Style" w:hAnsi="Bookman Old Style"/>
          <w:i/>
          <w:sz w:val="20"/>
        </w:rPr>
        <w:t xml:space="preserve"> (…)</w:t>
      </w:r>
    </w:p>
    <w:p w14:paraId="2EFEEEB1" w14:textId="77777777" w:rsidR="00767D88" w:rsidRDefault="00767D88" w:rsidP="0027455C">
      <w:pPr>
        <w:pStyle w:val="Textoindependiente21"/>
        <w:ind w:left="567"/>
        <w:contextualSpacing/>
        <w:rPr>
          <w:rFonts w:ascii="Bookman Old Style" w:hAnsi="Bookman Old Style"/>
          <w:i/>
          <w:sz w:val="20"/>
        </w:rPr>
      </w:pPr>
    </w:p>
    <w:p w14:paraId="3738FBA9" w14:textId="1BFFCC18" w:rsidR="006464E8" w:rsidRDefault="006464E8" w:rsidP="0027455C">
      <w:pPr>
        <w:pStyle w:val="Textoindependiente21"/>
        <w:ind w:left="567"/>
        <w:contextualSpacing/>
        <w:rPr>
          <w:rFonts w:ascii="Bookman Old Style" w:hAnsi="Bookman Old Style"/>
          <w:i/>
          <w:sz w:val="20"/>
        </w:rPr>
      </w:pPr>
      <w:r w:rsidRPr="006464E8">
        <w:rPr>
          <w:rFonts w:ascii="Bookman Old Style" w:hAnsi="Bookman Old Style"/>
          <w:i/>
          <w:sz w:val="20"/>
        </w:rPr>
        <w:t xml:space="preserve">Una razón adicional </w:t>
      </w:r>
      <w:r>
        <w:rPr>
          <w:rFonts w:ascii="Bookman Old Style" w:hAnsi="Bookman Old Style"/>
          <w:i/>
          <w:sz w:val="20"/>
        </w:rPr>
        <w:t xml:space="preserve">(…) </w:t>
      </w:r>
      <w:r w:rsidRPr="006464E8">
        <w:rPr>
          <w:rFonts w:ascii="Bookman Old Style" w:hAnsi="Bookman Old Style"/>
          <w:i/>
          <w:sz w:val="20"/>
        </w:rPr>
        <w:t>es que GENSA ostenta unos deberes y derechos económicos por el uso y goce conjunto, tanto del bien respecto del cual se realizó la solicitud, como de los demás bienes que conforman el Sistema de Generación de Mitú. La imposición de la servidumbre solicitada tiene la potencialidad de afectar dichos deberes y derechos, particularmente, aquellos que se derivan de la prestación de la actividad de generación de energía eléctrica en el Municipio de Mitú.</w:t>
      </w:r>
    </w:p>
    <w:p w14:paraId="691665A8" w14:textId="77777777" w:rsidR="00126F25" w:rsidRPr="006464E8" w:rsidRDefault="00126F25" w:rsidP="0027455C">
      <w:pPr>
        <w:pStyle w:val="Textoindependiente21"/>
        <w:ind w:left="567"/>
        <w:contextualSpacing/>
        <w:rPr>
          <w:rFonts w:ascii="Bookman Old Style" w:hAnsi="Bookman Old Style"/>
          <w:i/>
          <w:sz w:val="20"/>
        </w:rPr>
      </w:pPr>
    </w:p>
    <w:p w14:paraId="7A78F58F" w14:textId="18F0EF4B" w:rsidR="00FB2742" w:rsidRPr="00FC77E6" w:rsidRDefault="006464E8" w:rsidP="0027455C">
      <w:pPr>
        <w:pStyle w:val="Textoindependiente21"/>
        <w:ind w:left="567"/>
        <w:contextualSpacing/>
        <w:rPr>
          <w:rFonts w:ascii="Bookman Old Style" w:hAnsi="Bookman Old Style"/>
          <w:sz w:val="20"/>
        </w:rPr>
      </w:pPr>
      <w:r w:rsidRPr="006464E8">
        <w:rPr>
          <w:rFonts w:ascii="Bookman Old Style" w:hAnsi="Bookman Old Style"/>
          <w:i/>
          <w:sz w:val="20"/>
        </w:rPr>
        <w:t>Justamente, el acceso que se pretende requiere un cambio de configuración de los bienes que destina GENSA a la actividad de generación de energía eléctrica en el Municipio de Mitú, cambio de configuración que conlleva afectaciones, tanto técnicas,</w:t>
      </w:r>
      <w:r w:rsidR="0023691A">
        <w:rPr>
          <w:rFonts w:ascii="Bookman Old Style" w:hAnsi="Bookman Old Style"/>
          <w:i/>
          <w:sz w:val="20"/>
        </w:rPr>
        <w:t xml:space="preserve"> </w:t>
      </w:r>
      <w:r w:rsidRPr="006464E8">
        <w:rPr>
          <w:rFonts w:ascii="Bookman Old Style" w:hAnsi="Bookman Old Style"/>
          <w:i/>
          <w:sz w:val="20"/>
        </w:rPr>
        <w:t xml:space="preserve">como económicas, en cuanto a la administración, operación, y mantenimiento de los </w:t>
      </w:r>
      <w:r w:rsidR="009B385B">
        <w:rPr>
          <w:rFonts w:ascii="Bookman Old Style" w:hAnsi="Bookman Old Style"/>
          <w:i/>
          <w:sz w:val="20"/>
        </w:rPr>
        <w:t>mencionados bienes</w:t>
      </w:r>
      <w:r w:rsidR="00116639">
        <w:rPr>
          <w:rFonts w:ascii="Bookman Old Style" w:hAnsi="Bookman Old Style"/>
          <w:i/>
          <w:sz w:val="20"/>
        </w:rPr>
        <w:t xml:space="preserve">, y de contera, </w:t>
      </w:r>
      <w:r w:rsidR="00231E11" w:rsidRPr="00231E11">
        <w:rPr>
          <w:rFonts w:ascii="Bookman Old Style" w:hAnsi="Bookman Old Style"/>
          <w:i/>
          <w:sz w:val="20"/>
        </w:rPr>
        <w:t>perturbaciones en la prestación de la actividad</w:t>
      </w:r>
      <w:r w:rsidR="00CB7197">
        <w:rPr>
          <w:rFonts w:ascii="Segoe UI Symbol" w:hAnsi="Segoe UI Symbol" w:cs="Segoe UI Symbol"/>
          <w:i/>
          <w:sz w:val="20"/>
        </w:rPr>
        <w:t xml:space="preserve"> </w:t>
      </w:r>
      <w:r w:rsidR="00231E11" w:rsidRPr="00231E11">
        <w:rPr>
          <w:rFonts w:ascii="Bookman Old Style" w:hAnsi="Bookman Old Style"/>
          <w:i/>
          <w:sz w:val="20"/>
        </w:rPr>
        <w:t>anteriormente mencionada.</w:t>
      </w:r>
      <w:r w:rsidR="00CB7197">
        <w:rPr>
          <w:rFonts w:ascii="Bookman Old Style" w:hAnsi="Bookman Old Style"/>
          <w:i/>
          <w:sz w:val="20"/>
        </w:rPr>
        <w:t xml:space="preserve"> (…)</w:t>
      </w:r>
      <w:r w:rsidR="00FB2742" w:rsidRPr="00FC77E6">
        <w:rPr>
          <w:rFonts w:ascii="Bookman Old Style" w:hAnsi="Bookman Old Style"/>
          <w:i/>
          <w:sz w:val="20"/>
        </w:rPr>
        <w:t>”</w:t>
      </w:r>
    </w:p>
    <w:p w14:paraId="6F2B2F24" w14:textId="77777777" w:rsidR="002E5830" w:rsidRPr="00BA075A" w:rsidRDefault="002E5830" w:rsidP="00E57F55">
      <w:pPr>
        <w:ind w:left="284"/>
        <w:contextualSpacing/>
        <w:jc w:val="both"/>
        <w:rPr>
          <w:rFonts w:ascii="Bookman Old Style" w:hAnsi="Bookman Old Style" w:cs="Arial"/>
        </w:rPr>
      </w:pPr>
    </w:p>
    <w:p w14:paraId="0F7564B1" w14:textId="6DC666D2" w:rsidR="009F48AC" w:rsidRDefault="58033C43" w:rsidP="00E57F55">
      <w:pPr>
        <w:ind w:left="284"/>
        <w:contextualSpacing/>
        <w:jc w:val="both"/>
        <w:rPr>
          <w:rFonts w:ascii="Bookman Old Style" w:hAnsi="Bookman Old Style" w:cs="Arial"/>
        </w:rPr>
      </w:pPr>
      <w:r w:rsidRPr="00BA075A">
        <w:rPr>
          <w:rFonts w:ascii="Bookman Old Style" w:hAnsi="Bookman Old Style" w:cs="Arial"/>
        </w:rPr>
        <w:t xml:space="preserve">Mediante Auto con radicado CREG I-2020-000073 del 8 de enero de 2020, se reconoció como tercero interesado en la actuación administrativa a </w:t>
      </w:r>
      <w:r w:rsidR="136A41A3" w:rsidRPr="00BA075A">
        <w:rPr>
          <w:rFonts w:ascii="Bookman Old Style" w:hAnsi="Bookman Old Style"/>
        </w:rPr>
        <w:t>GE</w:t>
      </w:r>
      <w:r w:rsidR="136A41A3" w:rsidRPr="00BA075A">
        <w:rPr>
          <w:rFonts w:ascii="Bookman Old Style" w:hAnsi="Bookman Old Style" w:cs="Arial"/>
        </w:rPr>
        <w:t>NSA</w:t>
      </w:r>
      <w:r w:rsidR="0027455C">
        <w:rPr>
          <w:rFonts w:ascii="Bookman Old Style" w:hAnsi="Bookman Old Style" w:cs="Arial"/>
        </w:rPr>
        <w:t xml:space="preserve"> S.A. E.S.P</w:t>
      </w:r>
      <w:r w:rsidR="136A41A3" w:rsidRPr="00BA075A">
        <w:rPr>
          <w:rFonts w:ascii="Bookman Old Style" w:hAnsi="Bookman Old Style" w:cs="Arial"/>
        </w:rPr>
        <w:t>.</w:t>
      </w:r>
      <w:r w:rsidR="641951EF" w:rsidRPr="00BA075A">
        <w:rPr>
          <w:rFonts w:ascii="Bookman Old Style" w:hAnsi="Bookman Old Style" w:cs="Arial"/>
        </w:rPr>
        <w:t xml:space="preserve"> Dicha decisión se comunicó </w:t>
      </w:r>
      <w:r w:rsidR="00A93ECB">
        <w:rPr>
          <w:rFonts w:ascii="Bookman Old Style" w:hAnsi="Bookman Old Style" w:cs="Arial"/>
        </w:rPr>
        <w:t xml:space="preserve">el </w:t>
      </w:r>
      <w:r w:rsidR="00A93ECB" w:rsidRPr="00BA075A">
        <w:rPr>
          <w:rFonts w:ascii="Bookman Old Style" w:hAnsi="Bookman Old Style" w:cs="Arial"/>
        </w:rPr>
        <w:t>10 de enero de 2020</w:t>
      </w:r>
      <w:r w:rsidR="00A93ECB">
        <w:rPr>
          <w:rFonts w:ascii="Bookman Old Style" w:hAnsi="Bookman Old Style" w:cs="Arial"/>
        </w:rPr>
        <w:t xml:space="preserve"> </w:t>
      </w:r>
      <w:r w:rsidR="641951EF" w:rsidRPr="00BA075A">
        <w:rPr>
          <w:rFonts w:ascii="Bookman Old Style" w:hAnsi="Bookman Old Style" w:cs="Arial"/>
        </w:rPr>
        <w:t xml:space="preserve">a </w:t>
      </w:r>
      <w:r w:rsidR="00D024C6">
        <w:rPr>
          <w:rFonts w:ascii="Bookman Old Style" w:hAnsi="Bookman Old Style" w:cs="Arial"/>
        </w:rPr>
        <w:t xml:space="preserve">GENSA, </w:t>
      </w:r>
      <w:r w:rsidR="009F48AC">
        <w:rPr>
          <w:rFonts w:ascii="Bookman Old Style" w:hAnsi="Bookman Old Style" w:cs="Arial"/>
        </w:rPr>
        <w:t xml:space="preserve">a </w:t>
      </w:r>
      <w:r w:rsidR="00992DE7" w:rsidRPr="00BA075A">
        <w:rPr>
          <w:rFonts w:ascii="Bookman Old Style" w:hAnsi="Bookman Old Style" w:cs="Arial"/>
        </w:rPr>
        <w:t>la Gobernación</w:t>
      </w:r>
      <w:r w:rsidR="00992DE7">
        <w:rPr>
          <w:rFonts w:ascii="Bookman Old Style" w:hAnsi="Bookman Old Style" w:cs="Arial"/>
        </w:rPr>
        <w:t xml:space="preserve">, </w:t>
      </w:r>
      <w:r w:rsidR="009F48AC">
        <w:rPr>
          <w:rFonts w:ascii="Bookman Old Style" w:hAnsi="Bookman Old Style" w:cs="Arial"/>
        </w:rPr>
        <w:t xml:space="preserve">a </w:t>
      </w:r>
      <w:r w:rsidR="00D024C6">
        <w:rPr>
          <w:rFonts w:ascii="Bookman Old Style" w:hAnsi="Bookman Old Style" w:cs="Arial"/>
        </w:rPr>
        <w:t xml:space="preserve">MME y </w:t>
      </w:r>
      <w:r w:rsidRPr="00BA075A">
        <w:rPr>
          <w:rFonts w:ascii="Bookman Old Style" w:hAnsi="Bookman Old Style" w:cs="Arial"/>
        </w:rPr>
        <w:t>a</w:t>
      </w:r>
      <w:r w:rsidR="00992DE7">
        <w:rPr>
          <w:rFonts w:ascii="Bookman Old Style" w:hAnsi="Bookman Old Style" w:cs="Arial"/>
        </w:rPr>
        <w:t xml:space="preserve"> DUE,</w:t>
      </w:r>
      <w:r w:rsidR="16EF7F40" w:rsidRPr="00BA075A">
        <w:rPr>
          <w:rFonts w:ascii="Bookman Old Style" w:hAnsi="Bookman Old Style" w:cs="Arial"/>
        </w:rPr>
        <w:t xml:space="preserve"> mediante comunicaci</w:t>
      </w:r>
      <w:r w:rsidR="009F48AC">
        <w:rPr>
          <w:rFonts w:ascii="Bookman Old Style" w:hAnsi="Bookman Old Style" w:cs="Arial"/>
        </w:rPr>
        <w:t>o</w:t>
      </w:r>
      <w:r w:rsidR="16EF7F40" w:rsidRPr="00BA075A">
        <w:rPr>
          <w:rFonts w:ascii="Bookman Old Style" w:hAnsi="Bookman Old Style" w:cs="Arial"/>
        </w:rPr>
        <w:t>n</w:t>
      </w:r>
      <w:r w:rsidR="009F48AC">
        <w:rPr>
          <w:rFonts w:ascii="Bookman Old Style" w:hAnsi="Bookman Old Style" w:cs="Arial"/>
        </w:rPr>
        <w:t>es</w:t>
      </w:r>
      <w:r w:rsidR="16EF7F40" w:rsidRPr="00BA075A">
        <w:rPr>
          <w:rFonts w:ascii="Bookman Old Style" w:hAnsi="Bookman Old Style" w:cs="Arial"/>
        </w:rPr>
        <w:t xml:space="preserve"> con radicado</w:t>
      </w:r>
      <w:r w:rsidR="000467AC">
        <w:rPr>
          <w:rFonts w:ascii="Bookman Old Style" w:hAnsi="Bookman Old Style" w:cs="Arial"/>
        </w:rPr>
        <w:t>s</w:t>
      </w:r>
      <w:r w:rsidR="16EF7F40" w:rsidRPr="00BA075A">
        <w:rPr>
          <w:rFonts w:ascii="Bookman Old Style" w:hAnsi="Bookman Old Style" w:cs="Arial"/>
        </w:rPr>
        <w:t xml:space="preserve"> CREG </w:t>
      </w:r>
      <w:r w:rsidR="009F48AC" w:rsidRPr="00BA075A">
        <w:rPr>
          <w:rFonts w:ascii="Bookman Old Style" w:hAnsi="Bookman Old Style" w:cs="Arial"/>
        </w:rPr>
        <w:t>S-2020-00009</w:t>
      </w:r>
      <w:r w:rsidR="009F48AC">
        <w:rPr>
          <w:rFonts w:ascii="Bookman Old Style" w:hAnsi="Bookman Old Style" w:cs="Arial"/>
        </w:rPr>
        <w:t>6,</w:t>
      </w:r>
      <w:r w:rsidR="00A230C2">
        <w:rPr>
          <w:rFonts w:ascii="Bookman Old Style" w:hAnsi="Bookman Old Style" w:cs="Arial"/>
        </w:rPr>
        <w:t xml:space="preserve"> </w:t>
      </w:r>
      <w:r w:rsidR="00A230C2" w:rsidRPr="00BA075A">
        <w:rPr>
          <w:rFonts w:ascii="Bookman Old Style" w:hAnsi="Bookman Old Style" w:cs="Arial"/>
        </w:rPr>
        <w:t>S-2020-00009</w:t>
      </w:r>
      <w:r w:rsidR="00086C93">
        <w:rPr>
          <w:rFonts w:ascii="Bookman Old Style" w:hAnsi="Bookman Old Style" w:cs="Arial"/>
        </w:rPr>
        <w:t>7</w:t>
      </w:r>
      <w:r w:rsidR="00A230C2">
        <w:rPr>
          <w:rFonts w:ascii="Bookman Old Style" w:hAnsi="Bookman Old Style" w:cs="Arial"/>
        </w:rPr>
        <w:t>,</w:t>
      </w:r>
      <w:r w:rsidR="009F48AC">
        <w:rPr>
          <w:rFonts w:ascii="Bookman Old Style" w:hAnsi="Bookman Old Style" w:cs="Arial"/>
        </w:rPr>
        <w:t xml:space="preserve"> </w:t>
      </w:r>
      <w:r w:rsidR="16EF7F40" w:rsidRPr="00BA075A">
        <w:rPr>
          <w:rFonts w:ascii="Bookman Old Style" w:hAnsi="Bookman Old Style" w:cs="Arial"/>
        </w:rPr>
        <w:t>S-2020-000098</w:t>
      </w:r>
      <w:r w:rsidR="00086C93">
        <w:rPr>
          <w:rFonts w:ascii="Bookman Old Style" w:hAnsi="Bookman Old Style" w:cs="Arial"/>
        </w:rPr>
        <w:t xml:space="preserve"> y </w:t>
      </w:r>
      <w:r w:rsidR="00086C93" w:rsidRPr="00BA075A">
        <w:rPr>
          <w:rFonts w:ascii="Bookman Old Style" w:hAnsi="Bookman Old Style" w:cs="Arial"/>
        </w:rPr>
        <w:t>S-2020-000</w:t>
      </w:r>
      <w:r w:rsidR="00086C93">
        <w:rPr>
          <w:rFonts w:ascii="Bookman Old Style" w:hAnsi="Bookman Old Style" w:cs="Arial"/>
        </w:rPr>
        <w:t>176, respectivamente.</w:t>
      </w:r>
    </w:p>
    <w:p w14:paraId="74EC472B" w14:textId="59BBF854" w:rsidR="00662B2B" w:rsidRPr="00BA075A" w:rsidRDefault="00662B2B" w:rsidP="00E57F55">
      <w:pPr>
        <w:ind w:left="284"/>
        <w:contextualSpacing/>
        <w:jc w:val="both"/>
        <w:rPr>
          <w:rFonts w:ascii="Bookman Old Style" w:hAnsi="Bookman Old Style" w:cs="Arial"/>
        </w:rPr>
      </w:pPr>
    </w:p>
    <w:p w14:paraId="10089006" w14:textId="5476CC32" w:rsidR="003D35AF" w:rsidRPr="0086458B" w:rsidRDefault="00C725FD" w:rsidP="00E57F55">
      <w:pPr>
        <w:ind w:left="284"/>
        <w:contextualSpacing/>
        <w:jc w:val="both"/>
        <w:rPr>
          <w:rFonts w:ascii="Bookman Old Style" w:hAnsi="Bookman Old Style" w:cs="Arial"/>
        </w:rPr>
      </w:pPr>
      <w:r>
        <w:rPr>
          <w:rFonts w:ascii="Bookman Old Style" w:hAnsi="Bookman Old Style" w:cs="Arial"/>
        </w:rPr>
        <w:t xml:space="preserve">Mediante </w:t>
      </w:r>
      <w:r w:rsidR="00BD2B6F" w:rsidRPr="0086458B">
        <w:rPr>
          <w:rFonts w:ascii="Bookman Old Style" w:hAnsi="Bookman Old Style" w:cs="Arial"/>
        </w:rPr>
        <w:t>comunicación con radicado CREG E-2020-001041</w:t>
      </w:r>
      <w:r w:rsidR="00662B2B" w:rsidRPr="0086458B">
        <w:rPr>
          <w:rFonts w:ascii="Bookman Old Style" w:hAnsi="Bookman Old Style" w:cs="Arial"/>
        </w:rPr>
        <w:t xml:space="preserve">, </w:t>
      </w:r>
      <w:r w:rsidR="000B2C81">
        <w:rPr>
          <w:rFonts w:ascii="Bookman Old Style" w:hAnsi="Bookman Old Style" w:cs="Arial"/>
        </w:rPr>
        <w:t xml:space="preserve">DUE </w:t>
      </w:r>
      <w:r w:rsidR="00BD2B6F" w:rsidRPr="0086458B">
        <w:rPr>
          <w:rFonts w:ascii="Bookman Old Style" w:hAnsi="Bookman Old Style" w:cs="Arial"/>
        </w:rPr>
        <w:t>se pronunció sobre los argumentos exp</w:t>
      </w:r>
      <w:r w:rsidR="005C6C53" w:rsidRPr="0086458B">
        <w:rPr>
          <w:rFonts w:ascii="Bookman Old Style" w:hAnsi="Bookman Old Style" w:cs="Arial"/>
        </w:rPr>
        <w:t xml:space="preserve">uestos </w:t>
      </w:r>
      <w:r w:rsidR="00BD2B6F" w:rsidRPr="0086458B">
        <w:rPr>
          <w:rFonts w:ascii="Bookman Old Style" w:hAnsi="Bookman Old Style" w:cs="Arial"/>
        </w:rPr>
        <w:t xml:space="preserve">por </w:t>
      </w:r>
      <w:r w:rsidR="00DD5F62" w:rsidRPr="0086458B">
        <w:rPr>
          <w:rFonts w:ascii="Bookman Old Style" w:hAnsi="Bookman Old Style"/>
        </w:rPr>
        <w:t>GENSA,</w:t>
      </w:r>
      <w:r w:rsidR="00BD2B6F" w:rsidRPr="0086458B">
        <w:rPr>
          <w:rFonts w:ascii="Bookman Old Style" w:hAnsi="Bookman Old Style" w:cs="Arial"/>
        </w:rPr>
        <w:t xml:space="preserve"> en la comunicación </w:t>
      </w:r>
      <w:r w:rsidR="005C6C53" w:rsidRPr="0086458B">
        <w:rPr>
          <w:rFonts w:ascii="Bookman Old Style" w:hAnsi="Bookman Old Style" w:cs="Arial"/>
        </w:rPr>
        <w:t xml:space="preserve">radicado CREG </w:t>
      </w:r>
      <w:r w:rsidR="00BD2B6F" w:rsidRPr="0086458B">
        <w:rPr>
          <w:rFonts w:ascii="Bookman Old Style" w:hAnsi="Bookman Old Style" w:cs="Arial"/>
          <w:lang w:val="es-MX"/>
        </w:rPr>
        <w:t>E-2019-014169</w:t>
      </w:r>
      <w:r w:rsidR="0027455C">
        <w:rPr>
          <w:rFonts w:ascii="Bookman Old Style" w:hAnsi="Bookman Old Style" w:cs="Arial"/>
          <w:lang w:val="es-MX"/>
        </w:rPr>
        <w:t>,</w:t>
      </w:r>
      <w:r w:rsidR="00C8593C">
        <w:rPr>
          <w:rFonts w:ascii="Bookman Old Style" w:hAnsi="Bookman Old Style" w:cs="Arial"/>
          <w:lang w:val="es-MX"/>
        </w:rPr>
        <w:t xml:space="preserve"> y</w:t>
      </w:r>
      <w:r w:rsidR="0034050A" w:rsidRPr="0086458B">
        <w:rPr>
          <w:rFonts w:ascii="Bookman Old Style" w:hAnsi="Bookman Old Style" w:cs="Arial"/>
        </w:rPr>
        <w:t xml:space="preserve"> alleg</w:t>
      </w:r>
      <w:r w:rsidR="00C8593C">
        <w:rPr>
          <w:rFonts w:ascii="Bookman Old Style" w:hAnsi="Bookman Old Style" w:cs="Arial"/>
        </w:rPr>
        <w:t>ó</w:t>
      </w:r>
      <w:r w:rsidR="0034050A" w:rsidRPr="0086458B">
        <w:rPr>
          <w:rFonts w:ascii="Bookman Old Style" w:hAnsi="Bookman Old Style" w:cs="Arial"/>
        </w:rPr>
        <w:t xml:space="preserve"> </w:t>
      </w:r>
      <w:r w:rsidR="003D35AF" w:rsidRPr="0086458B">
        <w:rPr>
          <w:rFonts w:ascii="Bookman Old Style" w:hAnsi="Bookman Old Style" w:cs="Arial"/>
        </w:rPr>
        <w:t xml:space="preserve">como anexo la comunicación </w:t>
      </w:r>
      <w:r w:rsidR="0086619E">
        <w:rPr>
          <w:rFonts w:ascii="Bookman Old Style" w:hAnsi="Bookman Old Style" w:cs="Arial"/>
        </w:rPr>
        <w:t xml:space="preserve">con </w:t>
      </w:r>
      <w:r w:rsidR="003D35AF" w:rsidRPr="0086458B">
        <w:rPr>
          <w:rFonts w:ascii="Bookman Old Style" w:hAnsi="Bookman Old Style" w:cs="Arial"/>
        </w:rPr>
        <w:t xml:space="preserve">radicado </w:t>
      </w:r>
      <w:r w:rsidR="0086619E">
        <w:rPr>
          <w:rFonts w:ascii="Bookman Old Style" w:hAnsi="Bookman Old Style" w:cs="Arial"/>
        </w:rPr>
        <w:t xml:space="preserve">MME </w:t>
      </w:r>
      <w:r w:rsidR="37C5BCA3" w:rsidRPr="0086458B">
        <w:rPr>
          <w:rFonts w:ascii="Bookman Old Style" w:hAnsi="Bookman Old Style" w:cs="Arial"/>
        </w:rPr>
        <w:t>No</w:t>
      </w:r>
      <w:r w:rsidR="003D35AF" w:rsidRPr="0086458B">
        <w:rPr>
          <w:rFonts w:ascii="Bookman Old Style" w:hAnsi="Bookman Old Style" w:cs="Arial"/>
        </w:rPr>
        <w:t xml:space="preserve">. 2019091375 del 26 de diciembre del 2019, </w:t>
      </w:r>
      <w:r w:rsidR="00175F22">
        <w:rPr>
          <w:rFonts w:ascii="Bookman Old Style" w:hAnsi="Bookman Old Style" w:cs="Arial"/>
        </w:rPr>
        <w:t xml:space="preserve">en la que </w:t>
      </w:r>
      <w:r w:rsidR="003D35AF" w:rsidRPr="0086458B">
        <w:rPr>
          <w:rFonts w:ascii="Bookman Old Style" w:hAnsi="Bookman Old Style" w:cs="Arial"/>
        </w:rPr>
        <w:t xml:space="preserve">la Dirección de Energía Eléctrica </w:t>
      </w:r>
      <w:r w:rsidR="00832426">
        <w:rPr>
          <w:rFonts w:ascii="Bookman Old Style" w:hAnsi="Bookman Old Style" w:cs="Arial"/>
        </w:rPr>
        <w:t>del MME responde a</w:t>
      </w:r>
      <w:r w:rsidR="003D35AF" w:rsidRPr="0086458B">
        <w:rPr>
          <w:rFonts w:ascii="Bookman Old Style" w:hAnsi="Bookman Old Style" w:cs="Arial"/>
        </w:rPr>
        <w:t xml:space="preserve"> derecho de petición presentado </w:t>
      </w:r>
      <w:r w:rsidR="00832426">
        <w:rPr>
          <w:rFonts w:ascii="Bookman Old Style" w:hAnsi="Bookman Old Style" w:cs="Arial"/>
        </w:rPr>
        <w:t>por DUE</w:t>
      </w:r>
      <w:r w:rsidR="0086619E">
        <w:rPr>
          <w:rFonts w:ascii="Bookman Old Style" w:hAnsi="Bookman Old Style" w:cs="Arial"/>
        </w:rPr>
        <w:t>. En esta última comunicación</w:t>
      </w:r>
      <w:r w:rsidR="0027455C">
        <w:rPr>
          <w:rFonts w:ascii="Bookman Old Style" w:hAnsi="Bookman Old Style" w:cs="Arial"/>
        </w:rPr>
        <w:t>,</w:t>
      </w:r>
      <w:r w:rsidR="0086619E">
        <w:rPr>
          <w:rFonts w:ascii="Bookman Old Style" w:hAnsi="Bookman Old Style" w:cs="Arial"/>
        </w:rPr>
        <w:t xml:space="preserve"> la Dirección de Energía </w:t>
      </w:r>
      <w:r w:rsidR="00983717">
        <w:rPr>
          <w:rFonts w:ascii="Bookman Old Style" w:hAnsi="Bookman Old Style" w:cs="Arial"/>
        </w:rPr>
        <w:t xml:space="preserve">del MME </w:t>
      </w:r>
      <w:r w:rsidR="0086619E" w:rsidRPr="0ECC7FE6">
        <w:rPr>
          <w:rFonts w:ascii="Bookman Old Style" w:hAnsi="Bookman Old Style" w:cs="Arial"/>
        </w:rPr>
        <w:t>indicó</w:t>
      </w:r>
      <w:r w:rsidR="00983717">
        <w:rPr>
          <w:rFonts w:ascii="Bookman Old Style" w:hAnsi="Bookman Old Style" w:cs="Arial"/>
        </w:rPr>
        <w:t xml:space="preserve"> lo siguiente</w:t>
      </w:r>
      <w:r w:rsidR="003D35AF" w:rsidRPr="0086458B">
        <w:rPr>
          <w:rFonts w:ascii="Bookman Old Style" w:hAnsi="Bookman Old Style" w:cs="Arial"/>
        </w:rPr>
        <w:t>:</w:t>
      </w:r>
    </w:p>
    <w:p w14:paraId="338A01A2" w14:textId="77777777" w:rsidR="003D35AF" w:rsidRPr="0086458B" w:rsidRDefault="003D35AF" w:rsidP="00E57F55">
      <w:pPr>
        <w:ind w:left="284"/>
        <w:contextualSpacing/>
        <w:jc w:val="both"/>
        <w:rPr>
          <w:rFonts w:ascii="Bookman Old Style" w:hAnsi="Bookman Old Style" w:cs="Arial"/>
        </w:rPr>
      </w:pPr>
    </w:p>
    <w:p w14:paraId="3D680282" w14:textId="5C10805B" w:rsidR="009E0FC2" w:rsidRDefault="003D35AF" w:rsidP="0027455C">
      <w:pPr>
        <w:ind w:left="567"/>
        <w:contextualSpacing/>
        <w:jc w:val="both"/>
        <w:rPr>
          <w:rFonts w:ascii="Bookman Old Style" w:hAnsi="Bookman Old Style" w:cs="Arial"/>
          <w:i/>
          <w:iCs/>
          <w:sz w:val="20"/>
          <w:szCs w:val="20"/>
        </w:rPr>
      </w:pPr>
      <w:r w:rsidRPr="00766F40">
        <w:rPr>
          <w:rFonts w:ascii="Bookman Old Style" w:hAnsi="Bookman Old Style" w:cs="Arial"/>
          <w:i/>
          <w:iCs/>
          <w:sz w:val="20"/>
          <w:szCs w:val="20"/>
        </w:rPr>
        <w:t>“</w:t>
      </w:r>
      <w:r w:rsidR="00AE3D26">
        <w:rPr>
          <w:rFonts w:ascii="Bookman Old Style" w:hAnsi="Bookman Old Style" w:cs="Arial"/>
          <w:i/>
          <w:iCs/>
          <w:sz w:val="20"/>
          <w:szCs w:val="20"/>
        </w:rPr>
        <w:t xml:space="preserve">(…) </w:t>
      </w:r>
      <w:r w:rsidR="009E0FC2" w:rsidRPr="009E0FC2">
        <w:rPr>
          <w:rFonts w:ascii="Bookman Old Style" w:hAnsi="Bookman Old Style" w:cs="Arial"/>
          <w:i/>
          <w:iCs/>
          <w:sz w:val="20"/>
          <w:szCs w:val="20"/>
        </w:rPr>
        <w:t>nos permitimos responder a su solicitud de autorización de la conexión de su proyecto de generación solar fotovoltaica a la red de distribución en el punto de conexión correspondiente a una infraestructura propiedad del Ministerio, así:</w:t>
      </w:r>
    </w:p>
    <w:p w14:paraId="1F4F2C90" w14:textId="77777777" w:rsidR="0074338C" w:rsidRDefault="0074338C" w:rsidP="0027455C">
      <w:pPr>
        <w:ind w:left="567"/>
        <w:contextualSpacing/>
        <w:jc w:val="both"/>
        <w:rPr>
          <w:rFonts w:ascii="Bookman Old Style" w:hAnsi="Bookman Old Style" w:cs="Arial"/>
          <w:i/>
          <w:iCs/>
          <w:sz w:val="20"/>
          <w:szCs w:val="20"/>
        </w:rPr>
      </w:pPr>
    </w:p>
    <w:p w14:paraId="06445B73" w14:textId="6B5B1C35" w:rsidR="0074338C" w:rsidRPr="0074338C" w:rsidRDefault="0074338C" w:rsidP="0027455C">
      <w:pPr>
        <w:ind w:left="567"/>
        <w:contextualSpacing/>
        <w:jc w:val="both"/>
        <w:rPr>
          <w:rFonts w:ascii="Bookman Old Style" w:hAnsi="Bookman Old Style" w:cs="Arial"/>
          <w:i/>
          <w:iCs/>
          <w:sz w:val="20"/>
          <w:szCs w:val="20"/>
        </w:rPr>
      </w:pPr>
      <w:r w:rsidRPr="0074338C">
        <w:rPr>
          <w:rFonts w:ascii="Bookman Old Style" w:hAnsi="Bookman Old Style" w:cs="Arial"/>
          <w:i/>
          <w:iCs/>
          <w:sz w:val="20"/>
          <w:szCs w:val="20"/>
        </w:rPr>
        <w:t>1.</w:t>
      </w:r>
      <w:r>
        <w:rPr>
          <w:rFonts w:ascii="Bookman Old Style" w:hAnsi="Bookman Old Style" w:cs="Arial"/>
          <w:i/>
          <w:iCs/>
          <w:sz w:val="20"/>
          <w:szCs w:val="20"/>
        </w:rPr>
        <w:t xml:space="preserve"> </w:t>
      </w:r>
      <w:r w:rsidRPr="0074338C">
        <w:rPr>
          <w:rFonts w:ascii="Bookman Old Style" w:hAnsi="Bookman Old Style" w:cs="Arial"/>
          <w:i/>
          <w:iCs/>
          <w:sz w:val="20"/>
          <w:szCs w:val="20"/>
        </w:rPr>
        <w:t>No hay ningún otro caso en el país en el cual un generador distribuido haya pretendido conectarse a una red de distribución en ZNI y menos en un punto de conexión correspondiente a una red privada, por lo que se está conceptuando de la manera más precisa en los términos de la regulación vigente y el contrato de uso y goce de la infraestructura.</w:t>
      </w:r>
    </w:p>
    <w:p w14:paraId="7AE69A99" w14:textId="77777777" w:rsidR="0074338C" w:rsidRDefault="0074338C" w:rsidP="0027455C">
      <w:pPr>
        <w:ind w:left="567"/>
        <w:contextualSpacing/>
        <w:jc w:val="both"/>
        <w:rPr>
          <w:rFonts w:ascii="Bookman Old Style" w:hAnsi="Bookman Old Style" w:cs="Arial"/>
          <w:i/>
          <w:iCs/>
          <w:sz w:val="20"/>
          <w:szCs w:val="20"/>
        </w:rPr>
      </w:pPr>
    </w:p>
    <w:p w14:paraId="0774FC4F" w14:textId="71FE8A24" w:rsidR="0074338C" w:rsidRPr="0074338C" w:rsidRDefault="0074338C" w:rsidP="0027455C">
      <w:pPr>
        <w:ind w:left="567"/>
        <w:contextualSpacing/>
        <w:jc w:val="both"/>
        <w:rPr>
          <w:rFonts w:ascii="Bookman Old Style" w:hAnsi="Bookman Old Style" w:cs="Arial"/>
          <w:i/>
          <w:iCs/>
          <w:sz w:val="20"/>
          <w:szCs w:val="20"/>
        </w:rPr>
      </w:pPr>
      <w:r w:rsidRPr="0074338C">
        <w:rPr>
          <w:rFonts w:ascii="Bookman Old Style" w:hAnsi="Bookman Old Style" w:cs="Arial"/>
          <w:i/>
          <w:iCs/>
          <w:sz w:val="20"/>
          <w:szCs w:val="20"/>
        </w:rPr>
        <w:t>2.</w:t>
      </w:r>
      <w:r>
        <w:rPr>
          <w:rFonts w:ascii="Bookman Old Style" w:hAnsi="Bookman Old Style" w:cs="Arial"/>
          <w:i/>
          <w:iCs/>
          <w:sz w:val="20"/>
          <w:szCs w:val="20"/>
        </w:rPr>
        <w:t xml:space="preserve"> </w:t>
      </w:r>
      <w:r w:rsidRPr="0074338C">
        <w:rPr>
          <w:rFonts w:ascii="Bookman Old Style" w:hAnsi="Bookman Old Style" w:cs="Arial"/>
          <w:i/>
          <w:iCs/>
          <w:sz w:val="20"/>
          <w:szCs w:val="20"/>
        </w:rPr>
        <w:t>El uso y goce de dicha infraestructura, fue entregado a la empresa GENSA S.A. E,S,P. por medio del contrato GGC 209 - 2013, en el cual también se le asignaron a la mencionada empresa obligaciones en materia de administración, operación y mantenimiento.</w:t>
      </w:r>
    </w:p>
    <w:p w14:paraId="46A26D76" w14:textId="77777777" w:rsidR="002F0894" w:rsidRDefault="002F0894" w:rsidP="0027455C">
      <w:pPr>
        <w:ind w:left="567"/>
        <w:contextualSpacing/>
        <w:jc w:val="both"/>
        <w:rPr>
          <w:rFonts w:ascii="Bookman Old Style" w:hAnsi="Bookman Old Style" w:cs="Arial"/>
          <w:i/>
          <w:iCs/>
          <w:sz w:val="20"/>
          <w:szCs w:val="20"/>
        </w:rPr>
      </w:pPr>
    </w:p>
    <w:p w14:paraId="40451436" w14:textId="22CF348D" w:rsidR="009E0FC2" w:rsidRDefault="0074338C" w:rsidP="0027455C">
      <w:pPr>
        <w:ind w:left="567"/>
        <w:contextualSpacing/>
        <w:jc w:val="both"/>
        <w:rPr>
          <w:rFonts w:ascii="Bookman Old Style" w:hAnsi="Bookman Old Style" w:cs="Arial"/>
          <w:i/>
          <w:iCs/>
          <w:sz w:val="20"/>
          <w:szCs w:val="20"/>
        </w:rPr>
      </w:pPr>
      <w:r w:rsidRPr="0074338C">
        <w:rPr>
          <w:rFonts w:ascii="Bookman Old Style" w:hAnsi="Bookman Old Style" w:cs="Arial"/>
          <w:i/>
          <w:iCs/>
          <w:sz w:val="20"/>
          <w:szCs w:val="20"/>
        </w:rPr>
        <w:t>3.</w:t>
      </w:r>
      <w:r>
        <w:rPr>
          <w:rFonts w:ascii="Bookman Old Style" w:hAnsi="Bookman Old Style" w:cs="Arial"/>
          <w:i/>
          <w:iCs/>
          <w:sz w:val="20"/>
          <w:szCs w:val="20"/>
        </w:rPr>
        <w:t xml:space="preserve"> E</w:t>
      </w:r>
      <w:r w:rsidRPr="0074338C">
        <w:rPr>
          <w:rFonts w:ascii="Bookman Old Style" w:hAnsi="Bookman Old Style" w:cs="Arial"/>
          <w:i/>
          <w:iCs/>
          <w:sz w:val="20"/>
          <w:szCs w:val="20"/>
        </w:rPr>
        <w:t>ste Ministerio como propietario no tendría aposición para la conexión del proyecto, sin embargo, siendo GENSA quien dispone del uso y goce</w:t>
      </w:r>
      <w:r w:rsidR="002F0894">
        <w:rPr>
          <w:rFonts w:ascii="Bookman Old Style" w:hAnsi="Bookman Old Style" w:cs="Arial"/>
          <w:i/>
          <w:iCs/>
          <w:sz w:val="20"/>
          <w:szCs w:val="20"/>
        </w:rPr>
        <w:t xml:space="preserve"> </w:t>
      </w:r>
      <w:r w:rsidR="002F0894" w:rsidRPr="002F0894">
        <w:rPr>
          <w:rFonts w:ascii="Bookman Old Style" w:hAnsi="Bookman Old Style" w:cs="Arial"/>
          <w:i/>
          <w:iCs/>
          <w:sz w:val="20"/>
          <w:szCs w:val="20"/>
        </w:rPr>
        <w:t>de la infraestructura, asumiendo obligaciones en materia de administración, operación y mantenimiento y además quien conoce plenamente el sistema, deberá analizar el estudio de conexión presentado por DUE Capital y emitir concepto técnico de conexión bajo criterios de calidad, confiabilidad, seguridad, estabilidad y eficiencia</w:t>
      </w:r>
    </w:p>
    <w:p w14:paraId="0D129733" w14:textId="77777777" w:rsidR="0074338C" w:rsidRDefault="0074338C" w:rsidP="0027455C">
      <w:pPr>
        <w:ind w:left="567"/>
        <w:contextualSpacing/>
        <w:jc w:val="both"/>
        <w:rPr>
          <w:rFonts w:ascii="Bookman Old Style" w:hAnsi="Bookman Old Style" w:cs="Arial"/>
          <w:i/>
          <w:iCs/>
          <w:sz w:val="20"/>
          <w:szCs w:val="20"/>
        </w:rPr>
      </w:pPr>
    </w:p>
    <w:p w14:paraId="6BE85BAE" w14:textId="45A3C46E" w:rsidR="00FB39DC" w:rsidRPr="00FB39DC" w:rsidRDefault="00FB39DC" w:rsidP="0027455C">
      <w:pPr>
        <w:ind w:left="567"/>
        <w:contextualSpacing/>
        <w:jc w:val="both"/>
        <w:rPr>
          <w:rFonts w:ascii="Bookman Old Style" w:hAnsi="Bookman Old Style" w:cs="Arial"/>
          <w:i/>
          <w:iCs/>
          <w:sz w:val="20"/>
          <w:szCs w:val="20"/>
        </w:rPr>
      </w:pPr>
      <w:r w:rsidRPr="00FB39DC">
        <w:rPr>
          <w:rFonts w:ascii="Bookman Old Style" w:hAnsi="Bookman Old Style" w:cs="Arial"/>
          <w:i/>
          <w:iCs/>
          <w:sz w:val="20"/>
          <w:szCs w:val="20"/>
        </w:rPr>
        <w:t>4.</w:t>
      </w:r>
      <w:r>
        <w:rPr>
          <w:rFonts w:ascii="Bookman Old Style" w:hAnsi="Bookman Old Style" w:cs="Arial"/>
          <w:i/>
          <w:iCs/>
          <w:sz w:val="20"/>
          <w:szCs w:val="20"/>
        </w:rPr>
        <w:t xml:space="preserve"> </w:t>
      </w:r>
      <w:r w:rsidRPr="00FB39DC">
        <w:rPr>
          <w:rFonts w:ascii="Bookman Old Style" w:hAnsi="Bookman Old Style" w:cs="Arial"/>
          <w:i/>
          <w:iCs/>
          <w:sz w:val="20"/>
          <w:szCs w:val="20"/>
        </w:rPr>
        <w:t xml:space="preserve">Una vez se surta tal requisito se podría proceder a </w:t>
      </w:r>
      <w:r w:rsidR="004E1764">
        <w:rPr>
          <w:rFonts w:ascii="Bookman Old Style" w:hAnsi="Bookman Old Style" w:cs="Arial"/>
          <w:i/>
          <w:iCs/>
          <w:sz w:val="20"/>
          <w:szCs w:val="20"/>
        </w:rPr>
        <w:t>l</w:t>
      </w:r>
      <w:r w:rsidRPr="00FB39DC">
        <w:rPr>
          <w:rFonts w:ascii="Bookman Old Style" w:hAnsi="Bookman Old Style" w:cs="Arial"/>
          <w:i/>
          <w:iCs/>
          <w:sz w:val="20"/>
          <w:szCs w:val="20"/>
        </w:rPr>
        <w:t>a suscripción de un contrato de conexión en los términos de los artículos 3 y 5 de la Resolución CREG 038 de 2018, para lo cual, se deberá hacer un análisis detallado del contrato para determinar si este sería suscrito entre DUE Capital y GENSA o si deber</w:t>
      </w:r>
      <w:r w:rsidR="00F32012">
        <w:rPr>
          <w:rFonts w:ascii="Bookman Old Style" w:hAnsi="Bookman Old Style" w:cs="Arial"/>
          <w:i/>
          <w:iCs/>
          <w:sz w:val="20"/>
          <w:szCs w:val="20"/>
        </w:rPr>
        <w:t>í</w:t>
      </w:r>
      <w:r w:rsidRPr="00FB39DC">
        <w:rPr>
          <w:rFonts w:ascii="Bookman Old Style" w:hAnsi="Bookman Old Style" w:cs="Arial"/>
          <w:i/>
          <w:iCs/>
          <w:sz w:val="20"/>
          <w:szCs w:val="20"/>
        </w:rPr>
        <w:t>a también suscribirlo este Ministerio, en virtud de la propiedad de tales activos. Dicho contrato deberá regular las relaciones técnicas, operativas, administrativas y jurídicas que se deriven de la conexión.</w:t>
      </w:r>
    </w:p>
    <w:p w14:paraId="2F0441FA" w14:textId="77777777" w:rsidR="00FB39DC" w:rsidRDefault="00FB39DC" w:rsidP="0027455C">
      <w:pPr>
        <w:ind w:left="567"/>
        <w:contextualSpacing/>
        <w:jc w:val="both"/>
        <w:rPr>
          <w:rFonts w:ascii="Bookman Old Style" w:hAnsi="Bookman Old Style" w:cs="Arial"/>
          <w:i/>
          <w:iCs/>
          <w:sz w:val="20"/>
          <w:szCs w:val="20"/>
        </w:rPr>
      </w:pPr>
    </w:p>
    <w:p w14:paraId="1F186212" w14:textId="3423068B" w:rsidR="0074338C" w:rsidRDefault="00FB39DC" w:rsidP="0027455C">
      <w:pPr>
        <w:ind w:left="567"/>
        <w:contextualSpacing/>
        <w:jc w:val="both"/>
        <w:rPr>
          <w:rFonts w:ascii="Bookman Old Style" w:hAnsi="Bookman Old Style" w:cs="Arial"/>
          <w:i/>
          <w:iCs/>
          <w:sz w:val="20"/>
          <w:szCs w:val="20"/>
        </w:rPr>
      </w:pPr>
      <w:r w:rsidRPr="00FB39DC">
        <w:rPr>
          <w:rFonts w:ascii="Bookman Old Style" w:hAnsi="Bookman Old Style" w:cs="Arial"/>
          <w:i/>
          <w:iCs/>
          <w:sz w:val="20"/>
          <w:szCs w:val="20"/>
        </w:rPr>
        <w:t>5.</w:t>
      </w:r>
      <w:r w:rsidR="00CA7A3B">
        <w:rPr>
          <w:rFonts w:ascii="Bookman Old Style" w:hAnsi="Bookman Old Style" w:cs="Arial"/>
          <w:i/>
          <w:iCs/>
          <w:sz w:val="20"/>
          <w:szCs w:val="20"/>
        </w:rPr>
        <w:t xml:space="preserve"> </w:t>
      </w:r>
      <w:r w:rsidRPr="00FB39DC">
        <w:rPr>
          <w:rFonts w:ascii="Bookman Old Style" w:hAnsi="Bookman Old Style" w:cs="Arial"/>
          <w:i/>
          <w:iCs/>
          <w:sz w:val="20"/>
          <w:szCs w:val="20"/>
        </w:rPr>
        <w:t>Consideramos que DUE Capital también debería suscribir otro contrato con el prestador del servicio público domiciliario de energía eléctrica (distribuidor y c</w:t>
      </w:r>
      <w:r w:rsidR="004E1764">
        <w:rPr>
          <w:rFonts w:ascii="Bookman Old Style" w:hAnsi="Bookman Old Style" w:cs="Arial"/>
          <w:i/>
          <w:iCs/>
          <w:sz w:val="20"/>
          <w:szCs w:val="20"/>
        </w:rPr>
        <w:t>o</w:t>
      </w:r>
      <w:r w:rsidRPr="00FB39DC">
        <w:rPr>
          <w:rFonts w:ascii="Bookman Old Style" w:hAnsi="Bookman Old Style" w:cs="Arial"/>
          <w:i/>
          <w:iCs/>
          <w:sz w:val="20"/>
          <w:szCs w:val="20"/>
        </w:rPr>
        <w:t xml:space="preserve">mercializador), en este caso, el Departamento de </w:t>
      </w:r>
      <w:r w:rsidR="004E1764">
        <w:rPr>
          <w:rFonts w:ascii="Bookman Old Style" w:hAnsi="Bookman Old Style" w:cs="Arial"/>
          <w:i/>
          <w:iCs/>
          <w:sz w:val="20"/>
          <w:szCs w:val="20"/>
        </w:rPr>
        <w:t>V</w:t>
      </w:r>
      <w:r w:rsidRPr="00FB39DC">
        <w:rPr>
          <w:rFonts w:ascii="Bookman Old Style" w:hAnsi="Bookman Old Style" w:cs="Arial"/>
          <w:i/>
          <w:iCs/>
          <w:sz w:val="20"/>
          <w:szCs w:val="20"/>
        </w:rPr>
        <w:t>aupés, en el cual se regulen las relaciones comerciales.</w:t>
      </w:r>
    </w:p>
    <w:p w14:paraId="6E3EA9A8" w14:textId="77777777" w:rsidR="009E0FC2" w:rsidRDefault="009E0FC2" w:rsidP="0027455C">
      <w:pPr>
        <w:ind w:left="567"/>
        <w:contextualSpacing/>
        <w:jc w:val="both"/>
        <w:rPr>
          <w:rFonts w:ascii="Bookman Old Style" w:hAnsi="Bookman Old Style" w:cs="Arial"/>
          <w:i/>
          <w:iCs/>
          <w:sz w:val="20"/>
          <w:szCs w:val="20"/>
        </w:rPr>
      </w:pPr>
    </w:p>
    <w:p w14:paraId="53A44799" w14:textId="056343DB" w:rsidR="003D35AF" w:rsidRPr="00766F40" w:rsidRDefault="00CA7A3B" w:rsidP="0027455C">
      <w:pPr>
        <w:ind w:left="567"/>
        <w:contextualSpacing/>
        <w:jc w:val="both"/>
        <w:rPr>
          <w:rFonts w:ascii="Bookman Old Style" w:hAnsi="Bookman Old Style" w:cs="Arial"/>
          <w:i/>
          <w:iCs/>
          <w:sz w:val="20"/>
          <w:szCs w:val="20"/>
        </w:rPr>
      </w:pPr>
      <w:r w:rsidRPr="00CA7A3B">
        <w:rPr>
          <w:rFonts w:ascii="Bookman Old Style" w:hAnsi="Bookman Old Style" w:cs="Arial"/>
          <w:i/>
          <w:iCs/>
          <w:sz w:val="20"/>
          <w:szCs w:val="20"/>
        </w:rPr>
        <w:t xml:space="preserve">Por todo lo anterior, recomendamos, procedan a presentar a GENSA el estudio de conexión, para lo cual solicitamos a la empresa que en un término máximo de tres meses, a partir del recibo del estudio de conexión, presente un concepto sobre la viabilidad técnica de conectar el proyecto al punto de conexión solicitado y paralelamente esta Dirección, evaluará junto al Grupo de Gestión Contractual, si de ser técnicamente viable, con quien se suscribiría el contrato de conexión. </w:t>
      </w:r>
      <w:r w:rsidR="00AE3D26">
        <w:rPr>
          <w:rFonts w:ascii="Bookman Old Style" w:hAnsi="Bookman Old Style" w:cs="Arial"/>
          <w:i/>
          <w:iCs/>
          <w:sz w:val="20"/>
          <w:szCs w:val="20"/>
        </w:rPr>
        <w:t>(…)”</w:t>
      </w:r>
      <w:r w:rsidR="003D35AF" w:rsidRPr="00766F40">
        <w:rPr>
          <w:rFonts w:ascii="Bookman Old Style" w:hAnsi="Bookman Old Style" w:cs="Arial"/>
          <w:i/>
          <w:iCs/>
          <w:sz w:val="20"/>
          <w:szCs w:val="20"/>
        </w:rPr>
        <w:t xml:space="preserve"> </w:t>
      </w:r>
    </w:p>
    <w:p w14:paraId="605B8B14" w14:textId="77777777" w:rsidR="003D35AF" w:rsidRPr="0086458B" w:rsidRDefault="003D35AF" w:rsidP="00E57F55">
      <w:pPr>
        <w:ind w:left="284"/>
        <w:contextualSpacing/>
        <w:jc w:val="both"/>
        <w:rPr>
          <w:rFonts w:ascii="Bookman Old Style" w:hAnsi="Bookman Old Style" w:cs="Arial"/>
          <w:highlight w:val="green"/>
        </w:rPr>
      </w:pPr>
    </w:p>
    <w:p w14:paraId="7FDACBFE" w14:textId="48A8E07D" w:rsidR="00CF20F4" w:rsidRDefault="7A3E46F0" w:rsidP="00E57F55">
      <w:pPr>
        <w:ind w:left="284"/>
        <w:contextualSpacing/>
        <w:jc w:val="both"/>
        <w:rPr>
          <w:rFonts w:ascii="Bookman Old Style" w:hAnsi="Bookman Old Style" w:cs="Arial"/>
        </w:rPr>
      </w:pPr>
      <w:r w:rsidRPr="0086458B">
        <w:rPr>
          <w:rFonts w:ascii="Bookman Old Style" w:hAnsi="Bookman Old Style" w:cs="Arial"/>
        </w:rPr>
        <w:t xml:space="preserve">Con el ánimo de aclarar y complementar la información necesaria para el desarrollo de la actuación administrativa, la </w:t>
      </w:r>
      <w:r w:rsidR="00E6156C">
        <w:rPr>
          <w:rFonts w:ascii="Bookman Old Style" w:hAnsi="Bookman Old Style" w:cs="Arial"/>
        </w:rPr>
        <w:t xml:space="preserve">CREG </w:t>
      </w:r>
      <w:r w:rsidR="7A9C0EB4" w:rsidRPr="0086458B">
        <w:rPr>
          <w:rFonts w:ascii="Bookman Old Style" w:hAnsi="Bookman Old Style" w:cs="Arial"/>
        </w:rPr>
        <w:t>decretó la práctica de pruebas</w:t>
      </w:r>
      <w:r w:rsidRPr="0086458B">
        <w:rPr>
          <w:rFonts w:ascii="Bookman Old Style" w:hAnsi="Bookman Old Style" w:cs="Arial"/>
        </w:rPr>
        <w:t xml:space="preserve"> mediante Auto con radicado CREG I-2020-000792</w:t>
      </w:r>
      <w:r w:rsidR="1617FF24" w:rsidRPr="0086458B">
        <w:rPr>
          <w:rFonts w:ascii="Bookman Old Style" w:hAnsi="Bookman Old Style" w:cs="Arial"/>
        </w:rPr>
        <w:t xml:space="preserve"> </w:t>
      </w:r>
      <w:r w:rsidRPr="0086458B">
        <w:rPr>
          <w:rFonts w:ascii="Bookman Old Style" w:hAnsi="Bookman Old Style" w:cs="Arial"/>
        </w:rPr>
        <w:t>requir</w:t>
      </w:r>
      <w:r w:rsidR="47A958B3" w:rsidRPr="0086458B">
        <w:rPr>
          <w:rFonts w:ascii="Bookman Old Style" w:hAnsi="Bookman Old Style" w:cs="Arial"/>
        </w:rPr>
        <w:t>iendo</w:t>
      </w:r>
      <w:r w:rsidR="4A1009A0" w:rsidRPr="0086458B">
        <w:rPr>
          <w:rFonts w:ascii="Bookman Old Style" w:hAnsi="Bookman Old Style" w:cs="Arial"/>
        </w:rPr>
        <w:t xml:space="preserve">, </w:t>
      </w:r>
      <w:r w:rsidR="00422284">
        <w:rPr>
          <w:rFonts w:ascii="Bookman Old Style" w:hAnsi="Bookman Old Style" w:cs="Arial"/>
        </w:rPr>
        <w:t xml:space="preserve">entre otras cosas, </w:t>
      </w:r>
      <w:r w:rsidR="4A1009A0" w:rsidRPr="0086458B">
        <w:rPr>
          <w:rFonts w:ascii="Bookman Old Style" w:hAnsi="Bookman Old Style" w:cs="Arial"/>
        </w:rPr>
        <w:t>lo siguiente:</w:t>
      </w:r>
    </w:p>
    <w:p w14:paraId="5DDC24FB" w14:textId="77777777" w:rsidR="00EE6A6E" w:rsidRDefault="00EE6A6E" w:rsidP="00E57F55">
      <w:pPr>
        <w:ind w:left="284"/>
        <w:contextualSpacing/>
        <w:jc w:val="both"/>
        <w:rPr>
          <w:rFonts w:ascii="Bookman Old Style" w:hAnsi="Bookman Old Style" w:cs="Arial"/>
        </w:rPr>
      </w:pPr>
    </w:p>
    <w:p w14:paraId="45FF8F60" w14:textId="43522707" w:rsidR="003F768A" w:rsidRPr="003F768A" w:rsidRDefault="00355214" w:rsidP="0027455C">
      <w:pPr>
        <w:ind w:left="567"/>
        <w:contextualSpacing/>
        <w:jc w:val="both"/>
        <w:rPr>
          <w:rFonts w:ascii="Bookman Old Style" w:hAnsi="Bookman Old Style" w:cs="Arial"/>
        </w:rPr>
      </w:pPr>
      <w:r w:rsidRPr="0ECC7FE6">
        <w:rPr>
          <w:rFonts w:ascii="Bookman Old Style" w:hAnsi="Bookman Old Style" w:cs="Arial"/>
        </w:rPr>
        <w:t>A GENSA</w:t>
      </w:r>
      <w:r w:rsidR="003F768A" w:rsidRPr="0ECC7FE6">
        <w:rPr>
          <w:rFonts w:ascii="Bookman Old Style" w:hAnsi="Bookman Old Style" w:cs="Arial"/>
        </w:rPr>
        <w:t>:</w:t>
      </w:r>
    </w:p>
    <w:p w14:paraId="51CD958C" w14:textId="77777777" w:rsidR="003F768A" w:rsidRDefault="003F768A" w:rsidP="0027455C">
      <w:pPr>
        <w:ind w:left="567"/>
        <w:contextualSpacing/>
        <w:jc w:val="both"/>
        <w:rPr>
          <w:rFonts w:ascii="Bookman Old Style" w:hAnsi="Bookman Old Style" w:cs="Arial"/>
          <w:i/>
          <w:iCs/>
          <w:sz w:val="20"/>
          <w:szCs w:val="20"/>
        </w:rPr>
      </w:pPr>
    </w:p>
    <w:p w14:paraId="6091D756" w14:textId="0B05186B" w:rsidR="00EE6A6E" w:rsidRDefault="003F768A" w:rsidP="0027455C">
      <w:pPr>
        <w:ind w:left="567"/>
        <w:contextualSpacing/>
        <w:jc w:val="both"/>
        <w:rPr>
          <w:rFonts w:ascii="Bookman Old Style" w:hAnsi="Bookman Old Style" w:cs="Arial"/>
          <w:i/>
          <w:iCs/>
          <w:sz w:val="20"/>
          <w:szCs w:val="20"/>
        </w:rPr>
      </w:pPr>
      <w:r>
        <w:rPr>
          <w:rFonts w:ascii="Bookman Old Style" w:hAnsi="Bookman Old Style" w:cs="Arial"/>
          <w:i/>
          <w:iCs/>
          <w:sz w:val="20"/>
          <w:szCs w:val="20"/>
        </w:rPr>
        <w:t>“(…)</w:t>
      </w:r>
      <w:r w:rsidR="00355214" w:rsidRPr="00355214">
        <w:rPr>
          <w:rFonts w:ascii="Bookman Old Style" w:hAnsi="Bookman Old Style" w:cs="Arial"/>
          <w:i/>
          <w:iCs/>
          <w:sz w:val="20"/>
          <w:szCs w:val="20"/>
        </w:rPr>
        <w:t xml:space="preserve"> </w:t>
      </w:r>
      <w:r w:rsidR="00EE6A6E" w:rsidRPr="00355214">
        <w:rPr>
          <w:rFonts w:ascii="Bookman Old Style" w:hAnsi="Bookman Old Style" w:cs="Arial"/>
          <w:i/>
          <w:iCs/>
          <w:sz w:val="20"/>
          <w:szCs w:val="20"/>
        </w:rPr>
        <w:t>1.</w:t>
      </w:r>
      <w:r>
        <w:rPr>
          <w:rFonts w:ascii="Bookman Old Style" w:hAnsi="Bookman Old Style" w:cs="Arial"/>
          <w:i/>
          <w:iCs/>
          <w:sz w:val="20"/>
          <w:szCs w:val="20"/>
        </w:rPr>
        <w:t xml:space="preserve"> </w:t>
      </w:r>
      <w:r w:rsidR="00EE6A6E" w:rsidRPr="00355214">
        <w:rPr>
          <w:rFonts w:ascii="Bookman Old Style" w:hAnsi="Bookman Old Style" w:cs="Arial"/>
          <w:i/>
          <w:iCs/>
          <w:sz w:val="20"/>
          <w:szCs w:val="20"/>
        </w:rPr>
        <w:t xml:space="preserve">Diagrama unifilar, en el que se muestre la operación actual con todas sus conexiones y derivaciones, así como el nivel de tensión en el que opera, del activo denominado </w:t>
      </w:r>
      <w:r w:rsidR="009F52E8">
        <w:rPr>
          <w:rFonts w:ascii="Bookman Old Style" w:hAnsi="Bookman Old Style" w:cs="Arial"/>
          <w:i/>
          <w:iCs/>
          <w:sz w:val="20"/>
          <w:szCs w:val="20"/>
        </w:rPr>
        <w:t>‘</w:t>
      </w:r>
      <w:r w:rsidR="00EE6A6E" w:rsidRPr="00355214">
        <w:rPr>
          <w:rFonts w:ascii="Bookman Old Style" w:hAnsi="Bookman Old Style" w:cs="Arial"/>
          <w:i/>
          <w:iCs/>
          <w:sz w:val="20"/>
          <w:szCs w:val="20"/>
        </w:rPr>
        <w:t>Línea de Transmisión de la MCH Mitú a la Subestación Eléctrica Mitú</w:t>
      </w:r>
      <w:r w:rsidR="009F52E8">
        <w:rPr>
          <w:rFonts w:ascii="Bookman Old Style" w:hAnsi="Bookman Old Style" w:cs="Arial"/>
          <w:i/>
          <w:iCs/>
          <w:sz w:val="20"/>
          <w:szCs w:val="20"/>
        </w:rPr>
        <w:t>’</w:t>
      </w:r>
      <w:r w:rsidR="00EE6A6E" w:rsidRPr="00355214">
        <w:rPr>
          <w:rFonts w:ascii="Bookman Old Style" w:hAnsi="Bookman Old Style" w:cs="Arial"/>
          <w:i/>
          <w:iCs/>
          <w:sz w:val="20"/>
          <w:szCs w:val="20"/>
        </w:rPr>
        <w:t>, descrito en el numeral 3) de la cláusula séptima del Contrato Especial No. GGC-209-2013, suscrito entre el Ministerio de Minas y Energía y GENSA S.A. E.S.P.</w:t>
      </w:r>
    </w:p>
    <w:p w14:paraId="6CA28496" w14:textId="77777777" w:rsidR="00967ECD" w:rsidRPr="00355214" w:rsidRDefault="00967ECD" w:rsidP="0027455C">
      <w:pPr>
        <w:ind w:left="567"/>
        <w:contextualSpacing/>
        <w:jc w:val="both"/>
        <w:rPr>
          <w:rFonts w:ascii="Bookman Old Style" w:hAnsi="Bookman Old Style" w:cs="Arial"/>
          <w:i/>
          <w:iCs/>
          <w:sz w:val="20"/>
          <w:szCs w:val="20"/>
        </w:rPr>
      </w:pPr>
    </w:p>
    <w:p w14:paraId="12B4E619" w14:textId="33425550" w:rsidR="00EE6A6E" w:rsidRDefault="00EE6A6E" w:rsidP="0027455C">
      <w:pPr>
        <w:ind w:left="567"/>
        <w:contextualSpacing/>
        <w:jc w:val="both"/>
        <w:rPr>
          <w:rFonts w:ascii="Bookman Old Style" w:hAnsi="Bookman Old Style" w:cs="Arial"/>
          <w:i/>
          <w:iCs/>
          <w:sz w:val="20"/>
          <w:szCs w:val="20"/>
        </w:rPr>
      </w:pPr>
      <w:r w:rsidRPr="00355214">
        <w:rPr>
          <w:rFonts w:ascii="Bookman Old Style" w:hAnsi="Bookman Old Style" w:cs="Arial"/>
          <w:i/>
          <w:iCs/>
          <w:sz w:val="20"/>
          <w:szCs w:val="20"/>
        </w:rPr>
        <w:t>2.</w:t>
      </w:r>
      <w:r w:rsidR="00967ECD">
        <w:rPr>
          <w:rFonts w:ascii="Bookman Old Style" w:hAnsi="Bookman Old Style" w:cs="Arial"/>
          <w:i/>
          <w:iCs/>
          <w:sz w:val="20"/>
          <w:szCs w:val="20"/>
        </w:rPr>
        <w:t xml:space="preserve"> </w:t>
      </w:r>
      <w:r w:rsidRPr="00355214">
        <w:rPr>
          <w:rFonts w:ascii="Bookman Old Style" w:hAnsi="Bookman Old Style" w:cs="Arial"/>
          <w:i/>
          <w:iCs/>
          <w:sz w:val="20"/>
          <w:szCs w:val="20"/>
        </w:rPr>
        <w:t>Informar a la Comisión si existe algún tipo de acuerdo con la Gobernación del Vaupés para el uso compartido de la infraestructura operada por GENSA S.A. E.S.P. En caso de existir tal acuerdo, sírvase remitir la documentación en la que se evidencien las condiciones del mismo.</w:t>
      </w:r>
      <w:r w:rsidR="00967ECD">
        <w:rPr>
          <w:rFonts w:ascii="Bookman Old Style" w:hAnsi="Bookman Old Style" w:cs="Arial"/>
          <w:i/>
          <w:iCs/>
          <w:sz w:val="20"/>
          <w:szCs w:val="20"/>
        </w:rPr>
        <w:t xml:space="preserve"> (…)”</w:t>
      </w:r>
    </w:p>
    <w:p w14:paraId="2C037B48" w14:textId="77777777" w:rsidR="003F768A" w:rsidRDefault="003F768A" w:rsidP="0027455C">
      <w:pPr>
        <w:ind w:left="567"/>
        <w:contextualSpacing/>
        <w:jc w:val="both"/>
        <w:rPr>
          <w:rFonts w:ascii="Bookman Old Style" w:hAnsi="Bookman Old Style" w:cs="Arial"/>
          <w:i/>
          <w:iCs/>
          <w:sz w:val="20"/>
          <w:szCs w:val="20"/>
        </w:rPr>
      </w:pPr>
    </w:p>
    <w:p w14:paraId="591BA29A" w14:textId="62571F21" w:rsidR="003F768A" w:rsidRDefault="003F768A" w:rsidP="0027455C">
      <w:pPr>
        <w:ind w:left="567"/>
        <w:contextualSpacing/>
        <w:jc w:val="both"/>
        <w:rPr>
          <w:rFonts w:ascii="Bookman Old Style" w:hAnsi="Bookman Old Style" w:cs="Arial"/>
          <w:sz w:val="20"/>
          <w:szCs w:val="20"/>
        </w:rPr>
      </w:pPr>
      <w:r w:rsidRPr="003F768A">
        <w:rPr>
          <w:rFonts w:ascii="Bookman Old Style" w:hAnsi="Bookman Old Style" w:cs="Arial"/>
          <w:sz w:val="20"/>
          <w:szCs w:val="20"/>
        </w:rPr>
        <w:t>A la Gobernación</w:t>
      </w:r>
      <w:r>
        <w:rPr>
          <w:rFonts w:ascii="Bookman Old Style" w:hAnsi="Bookman Old Style" w:cs="Arial"/>
          <w:sz w:val="20"/>
          <w:szCs w:val="20"/>
        </w:rPr>
        <w:t xml:space="preserve"> del Vaupés</w:t>
      </w:r>
      <w:r w:rsidRPr="003F768A">
        <w:rPr>
          <w:rFonts w:ascii="Bookman Old Style" w:hAnsi="Bookman Old Style" w:cs="Arial"/>
          <w:sz w:val="20"/>
          <w:szCs w:val="20"/>
        </w:rPr>
        <w:t>:</w:t>
      </w:r>
    </w:p>
    <w:p w14:paraId="679877C6" w14:textId="77777777" w:rsidR="00930282" w:rsidRDefault="00930282" w:rsidP="0027455C">
      <w:pPr>
        <w:ind w:left="567"/>
        <w:contextualSpacing/>
        <w:jc w:val="both"/>
        <w:rPr>
          <w:rFonts w:ascii="Bookman Old Style" w:hAnsi="Bookman Old Style" w:cs="Arial"/>
          <w:sz w:val="20"/>
          <w:szCs w:val="20"/>
        </w:rPr>
      </w:pPr>
    </w:p>
    <w:p w14:paraId="7A04CA90" w14:textId="3FE15F24" w:rsidR="00930282" w:rsidRPr="00930282" w:rsidRDefault="00930282" w:rsidP="0027455C">
      <w:pPr>
        <w:ind w:left="567"/>
        <w:contextualSpacing/>
        <w:jc w:val="both"/>
        <w:rPr>
          <w:rFonts w:ascii="Bookman Old Style" w:hAnsi="Bookman Old Style" w:cs="Arial"/>
          <w:i/>
          <w:iCs/>
          <w:sz w:val="20"/>
          <w:szCs w:val="20"/>
        </w:rPr>
      </w:pPr>
      <w:r w:rsidRPr="00930282">
        <w:rPr>
          <w:rFonts w:ascii="Bookman Old Style" w:hAnsi="Bookman Old Style" w:cs="Arial"/>
          <w:i/>
          <w:iCs/>
          <w:sz w:val="20"/>
          <w:szCs w:val="20"/>
        </w:rPr>
        <w:t>“(…) Diagrama unifilar de la(s) red(es) de distribución que opere la Gobernación</w:t>
      </w:r>
      <w:r>
        <w:rPr>
          <w:rFonts w:ascii="Bookman Old Style" w:hAnsi="Bookman Old Style" w:cs="Arial"/>
          <w:i/>
          <w:iCs/>
          <w:sz w:val="20"/>
          <w:szCs w:val="20"/>
        </w:rPr>
        <w:t xml:space="preserve"> </w:t>
      </w:r>
      <w:r w:rsidRPr="00930282">
        <w:rPr>
          <w:rFonts w:ascii="Bookman Old Style" w:hAnsi="Bookman Old Style" w:cs="Arial"/>
          <w:i/>
          <w:iCs/>
          <w:sz w:val="20"/>
          <w:szCs w:val="20"/>
        </w:rPr>
        <w:t>del Vaupés en el Municipio de Mitú y se alimenten de la línea de 34,5 kV que conecta la MCH Mitú y la Subestación Eléctrica Mitú, en el que se muestre: la operación actual de este(os) activo(s), los niveles de tensión en los que opera, el punto de la línea de 34,5 kV del que se deriva y los usuarios servidos.</w:t>
      </w:r>
      <w:r>
        <w:rPr>
          <w:rFonts w:ascii="Bookman Old Style" w:hAnsi="Bookman Old Style" w:cs="Arial"/>
          <w:i/>
          <w:iCs/>
          <w:sz w:val="20"/>
          <w:szCs w:val="20"/>
        </w:rPr>
        <w:t xml:space="preserve"> (…)”</w:t>
      </w:r>
    </w:p>
    <w:p w14:paraId="012977B9" w14:textId="3BBA7240" w:rsidR="00BD2B6F" w:rsidRPr="0086458B" w:rsidRDefault="00BD2B6F" w:rsidP="00E57F55">
      <w:pPr>
        <w:ind w:left="284"/>
        <w:contextualSpacing/>
        <w:jc w:val="both"/>
        <w:rPr>
          <w:rFonts w:ascii="Bookman Old Style" w:hAnsi="Bookman Old Style" w:cs="Arial"/>
        </w:rPr>
      </w:pPr>
    </w:p>
    <w:p w14:paraId="28A78AA6" w14:textId="25F704C4" w:rsidR="00BD2B6F" w:rsidRPr="0086458B" w:rsidRDefault="1489FEB5" w:rsidP="00E57F55">
      <w:pPr>
        <w:ind w:left="284"/>
        <w:contextualSpacing/>
        <w:jc w:val="both"/>
        <w:rPr>
          <w:rFonts w:ascii="Bookman Old Style" w:hAnsi="Bookman Old Style" w:cs="Arial"/>
        </w:rPr>
      </w:pPr>
      <w:r w:rsidRPr="0086458B">
        <w:rPr>
          <w:rFonts w:ascii="Bookman Old Style" w:hAnsi="Bookman Old Style" w:cs="Arial"/>
        </w:rPr>
        <w:t>Dicho auto fue comunicado</w:t>
      </w:r>
      <w:r w:rsidR="45328198" w:rsidRPr="0086458B">
        <w:rPr>
          <w:rFonts w:ascii="Bookman Old Style" w:hAnsi="Bookman Old Style" w:cs="Arial"/>
        </w:rPr>
        <w:t xml:space="preserve"> a</w:t>
      </w:r>
      <w:r w:rsidR="0A815E6F" w:rsidRPr="0086458B">
        <w:rPr>
          <w:rFonts w:ascii="Bookman Old Style" w:hAnsi="Bookman Old Style" w:cs="Arial"/>
        </w:rPr>
        <w:t xml:space="preserve">l </w:t>
      </w:r>
      <w:r w:rsidR="00E0443A">
        <w:rPr>
          <w:rFonts w:ascii="Bookman Old Style" w:hAnsi="Bookman Old Style" w:cs="Arial"/>
        </w:rPr>
        <w:t>MME</w:t>
      </w:r>
      <w:r w:rsidR="0A815E6F" w:rsidRPr="0086458B">
        <w:rPr>
          <w:rFonts w:ascii="Bookman Old Style" w:hAnsi="Bookman Old Style" w:cs="Arial"/>
        </w:rPr>
        <w:t>, a GENSA, a</w:t>
      </w:r>
      <w:r w:rsidR="47E41EC8" w:rsidRPr="0086458B">
        <w:rPr>
          <w:rFonts w:ascii="Bookman Old Style" w:hAnsi="Bookman Old Style"/>
        </w:rPr>
        <w:t xml:space="preserve"> </w:t>
      </w:r>
      <w:r w:rsidR="001C7639">
        <w:rPr>
          <w:rFonts w:ascii="Bookman Old Style" w:hAnsi="Bookman Old Style" w:cs="Arial"/>
        </w:rPr>
        <w:t xml:space="preserve">DUE </w:t>
      </w:r>
      <w:r w:rsidR="0A815E6F" w:rsidRPr="0086458B">
        <w:rPr>
          <w:rFonts w:ascii="Bookman Old Style" w:hAnsi="Bookman Old Style" w:cs="Arial"/>
        </w:rPr>
        <w:t>y a</w:t>
      </w:r>
      <w:r w:rsidR="001C7639">
        <w:rPr>
          <w:rFonts w:ascii="Bookman Old Style" w:hAnsi="Bookman Old Style" w:cs="Arial"/>
        </w:rPr>
        <w:t xml:space="preserve"> </w:t>
      </w:r>
      <w:r w:rsidR="0A815E6F" w:rsidRPr="0086458B">
        <w:rPr>
          <w:rFonts w:ascii="Bookman Old Style" w:hAnsi="Bookman Old Style" w:cs="Arial"/>
        </w:rPr>
        <w:t>la Gobernación del Vaupés</w:t>
      </w:r>
      <w:r w:rsidR="0027455C">
        <w:rPr>
          <w:rFonts w:ascii="Bookman Old Style" w:hAnsi="Bookman Old Style" w:cs="Arial"/>
        </w:rPr>
        <w:t>,</w:t>
      </w:r>
      <w:r w:rsidRPr="0086458B">
        <w:rPr>
          <w:rFonts w:ascii="Bookman Old Style" w:hAnsi="Bookman Old Style" w:cs="Arial"/>
        </w:rPr>
        <w:t xml:space="preserve"> mediante los </w:t>
      </w:r>
      <w:r w:rsidR="0A7A93B7" w:rsidRPr="0086458B">
        <w:rPr>
          <w:rFonts w:ascii="Bookman Old Style" w:hAnsi="Bookman Old Style" w:cs="Arial"/>
        </w:rPr>
        <w:t>radicados CREG S-</w:t>
      </w:r>
      <w:r w:rsidR="74C86BFC" w:rsidRPr="0086458B">
        <w:rPr>
          <w:rFonts w:ascii="Bookman Old Style" w:hAnsi="Bookman Old Style" w:cs="Arial"/>
        </w:rPr>
        <w:t>2020-</w:t>
      </w:r>
      <w:r w:rsidR="45328198" w:rsidRPr="0086458B">
        <w:rPr>
          <w:rFonts w:ascii="Bookman Old Style" w:hAnsi="Bookman Old Style" w:cs="Arial"/>
        </w:rPr>
        <w:t>000</w:t>
      </w:r>
      <w:r w:rsidR="74C86BFC" w:rsidRPr="0086458B">
        <w:rPr>
          <w:rFonts w:ascii="Bookman Old Style" w:hAnsi="Bookman Old Style" w:cs="Arial"/>
        </w:rPr>
        <w:t>741</w:t>
      </w:r>
      <w:r w:rsidR="00501656">
        <w:rPr>
          <w:rFonts w:ascii="Bookman Old Style" w:hAnsi="Bookman Old Style" w:cs="Arial"/>
        </w:rPr>
        <w:t>,</w:t>
      </w:r>
      <w:r w:rsidR="74C86BFC" w:rsidRPr="0086458B">
        <w:rPr>
          <w:rFonts w:ascii="Bookman Old Style" w:hAnsi="Bookman Old Style" w:cs="Arial"/>
        </w:rPr>
        <w:t xml:space="preserve"> </w:t>
      </w:r>
      <w:r w:rsidR="45328198" w:rsidRPr="0086458B">
        <w:rPr>
          <w:rFonts w:ascii="Bookman Old Style" w:hAnsi="Bookman Old Style" w:cs="Arial"/>
        </w:rPr>
        <w:t>S-2020-000</w:t>
      </w:r>
      <w:r w:rsidR="74C86BFC" w:rsidRPr="0086458B">
        <w:rPr>
          <w:rFonts w:ascii="Bookman Old Style" w:hAnsi="Bookman Old Style" w:cs="Arial"/>
        </w:rPr>
        <w:t>742</w:t>
      </w:r>
      <w:r w:rsidR="45328198" w:rsidRPr="0086458B">
        <w:rPr>
          <w:rFonts w:ascii="Bookman Old Style" w:hAnsi="Bookman Old Style" w:cs="Arial"/>
        </w:rPr>
        <w:t>,</w:t>
      </w:r>
      <w:r w:rsidR="74C86BFC" w:rsidRPr="0086458B">
        <w:rPr>
          <w:rFonts w:ascii="Bookman Old Style" w:hAnsi="Bookman Old Style" w:cs="Arial"/>
        </w:rPr>
        <w:t xml:space="preserve"> </w:t>
      </w:r>
      <w:r w:rsidR="45328198" w:rsidRPr="0086458B">
        <w:rPr>
          <w:rFonts w:ascii="Bookman Old Style" w:hAnsi="Bookman Old Style" w:cs="Arial"/>
        </w:rPr>
        <w:t>S-2020-000</w:t>
      </w:r>
      <w:r w:rsidR="74C86BFC" w:rsidRPr="0086458B">
        <w:rPr>
          <w:rFonts w:ascii="Bookman Old Style" w:hAnsi="Bookman Old Style" w:cs="Arial"/>
        </w:rPr>
        <w:t>745</w:t>
      </w:r>
      <w:r w:rsidR="45328198" w:rsidRPr="0086458B">
        <w:rPr>
          <w:rFonts w:ascii="Bookman Old Style" w:hAnsi="Bookman Old Style" w:cs="Arial"/>
        </w:rPr>
        <w:t xml:space="preserve"> y S-2020-000</w:t>
      </w:r>
      <w:r w:rsidR="74C86BFC" w:rsidRPr="0086458B">
        <w:rPr>
          <w:rFonts w:ascii="Bookman Old Style" w:hAnsi="Bookman Old Style" w:cs="Arial"/>
        </w:rPr>
        <w:t>746</w:t>
      </w:r>
      <w:r w:rsidR="001A4B3C">
        <w:rPr>
          <w:rFonts w:ascii="Bookman Old Style" w:hAnsi="Bookman Old Style" w:cs="Arial"/>
        </w:rPr>
        <w:t>, respectivamente.</w:t>
      </w:r>
    </w:p>
    <w:p w14:paraId="54C2BD43" w14:textId="77777777" w:rsidR="00654228" w:rsidRPr="0086458B" w:rsidRDefault="00654228" w:rsidP="00654228">
      <w:pPr>
        <w:ind w:left="284"/>
        <w:contextualSpacing/>
        <w:jc w:val="both"/>
        <w:rPr>
          <w:rFonts w:ascii="Bookman Old Style" w:hAnsi="Bookman Old Style" w:cs="Arial"/>
          <w:bCs/>
        </w:rPr>
      </w:pPr>
    </w:p>
    <w:p w14:paraId="4A6546F3" w14:textId="107E9059" w:rsidR="006F2F4B" w:rsidRDefault="00634635" w:rsidP="00654228">
      <w:pPr>
        <w:ind w:left="284"/>
        <w:contextualSpacing/>
        <w:jc w:val="both"/>
        <w:rPr>
          <w:rFonts w:ascii="Bookman Old Style" w:hAnsi="Bookman Old Style" w:cs="Arial"/>
        </w:rPr>
      </w:pPr>
      <w:r>
        <w:rPr>
          <w:rFonts w:ascii="Bookman Old Style" w:hAnsi="Bookman Old Style" w:cs="Arial"/>
        </w:rPr>
        <w:t>M</w:t>
      </w:r>
      <w:r w:rsidR="00654228" w:rsidRPr="0086458B">
        <w:rPr>
          <w:rFonts w:ascii="Bookman Old Style" w:hAnsi="Bookman Old Style" w:cs="Arial"/>
        </w:rPr>
        <w:t>ediante comunicaciones con radicado CREG E-2020-001301 y E-2020-001572</w:t>
      </w:r>
      <w:r w:rsidR="00CA29ED">
        <w:rPr>
          <w:rFonts w:ascii="Bookman Old Style" w:hAnsi="Bookman Old Style" w:cs="Arial"/>
        </w:rPr>
        <w:t>,</w:t>
      </w:r>
      <w:r w:rsidR="00654228" w:rsidRPr="0086458B">
        <w:rPr>
          <w:rFonts w:ascii="Bookman Old Style" w:hAnsi="Bookman Old Style" w:cs="Arial"/>
        </w:rPr>
        <w:t xml:space="preserve"> </w:t>
      </w:r>
      <w:r w:rsidR="00CE1F5D">
        <w:rPr>
          <w:rFonts w:ascii="Bookman Old Style" w:hAnsi="Bookman Old Style" w:cs="Arial"/>
        </w:rPr>
        <w:t xml:space="preserve">el MME </w:t>
      </w:r>
      <w:r w:rsidR="00716FAC">
        <w:rPr>
          <w:rFonts w:ascii="Bookman Old Style" w:hAnsi="Bookman Old Style" w:cs="Arial"/>
        </w:rPr>
        <w:t xml:space="preserve">dio respuesta al Auto de pruebas </w:t>
      </w:r>
      <w:r w:rsidR="00906D69" w:rsidRPr="0086458B">
        <w:rPr>
          <w:rFonts w:ascii="Bookman Old Style" w:hAnsi="Bookman Old Style" w:cs="Arial"/>
        </w:rPr>
        <w:t>I-2020-000792</w:t>
      </w:r>
      <w:r w:rsidR="00654228" w:rsidRPr="0086458B">
        <w:rPr>
          <w:rFonts w:ascii="Bookman Old Style" w:hAnsi="Bookman Old Style" w:cs="Arial"/>
        </w:rPr>
        <w:t xml:space="preserve">. </w:t>
      </w:r>
      <w:r w:rsidR="00716FAC">
        <w:rPr>
          <w:rFonts w:ascii="Bookman Old Style" w:hAnsi="Bookman Old Style" w:cs="Arial"/>
        </w:rPr>
        <w:t xml:space="preserve">De igual forma lo hicieron </w:t>
      </w:r>
      <w:r w:rsidR="006F2F4B">
        <w:rPr>
          <w:rFonts w:ascii="Bookman Old Style" w:hAnsi="Bookman Old Style" w:cs="Arial"/>
        </w:rPr>
        <w:t xml:space="preserve">GENSA y la Gobernación mediante comunicaciones con radicados </w:t>
      </w:r>
      <w:r w:rsidR="006F2F4B" w:rsidRPr="0086458B">
        <w:rPr>
          <w:rFonts w:ascii="Bookman Old Style" w:hAnsi="Bookman Old Style" w:cs="Arial"/>
        </w:rPr>
        <w:t>CREG E-2020-</w:t>
      </w:r>
      <w:r w:rsidR="006F2F4B">
        <w:rPr>
          <w:rFonts w:ascii="Bookman Old Style" w:hAnsi="Bookman Old Style" w:cs="Arial"/>
        </w:rPr>
        <w:t>001520</w:t>
      </w:r>
      <w:r w:rsidR="003258A0">
        <w:rPr>
          <w:rFonts w:ascii="Bookman Old Style" w:hAnsi="Bookman Old Style" w:cs="Arial"/>
        </w:rPr>
        <w:t xml:space="preserve"> y </w:t>
      </w:r>
      <w:r w:rsidR="003258A0" w:rsidRPr="0086458B">
        <w:rPr>
          <w:rFonts w:ascii="Bookman Old Style" w:hAnsi="Bookman Old Style" w:cs="Arial"/>
        </w:rPr>
        <w:t>E-2020-</w:t>
      </w:r>
      <w:r w:rsidR="003258A0">
        <w:rPr>
          <w:rFonts w:ascii="Bookman Old Style" w:hAnsi="Bookman Old Style" w:cs="Arial"/>
        </w:rPr>
        <w:t>001640, respectivamente.</w:t>
      </w:r>
      <w:r w:rsidR="001C0BBA">
        <w:rPr>
          <w:rFonts w:ascii="Bookman Old Style" w:hAnsi="Bookman Old Style" w:cs="Arial"/>
        </w:rPr>
        <w:t xml:space="preserve"> En su respuesta</w:t>
      </w:r>
      <w:r w:rsidR="00FE1F3E">
        <w:rPr>
          <w:rFonts w:ascii="Bookman Old Style" w:hAnsi="Bookman Old Style" w:cs="Arial"/>
        </w:rPr>
        <w:t>,</w:t>
      </w:r>
      <w:r w:rsidR="001C0BBA">
        <w:rPr>
          <w:rFonts w:ascii="Bookman Old Style" w:hAnsi="Bookman Old Style" w:cs="Arial"/>
        </w:rPr>
        <w:t xml:space="preserve"> GENSA </w:t>
      </w:r>
      <w:r w:rsidR="00E454D8">
        <w:rPr>
          <w:rFonts w:ascii="Bookman Old Style" w:hAnsi="Bookman Old Style" w:cs="Arial"/>
        </w:rPr>
        <w:t>allega unifilar</w:t>
      </w:r>
      <w:r w:rsidR="0027455C">
        <w:rPr>
          <w:rFonts w:ascii="Bookman Old Style" w:hAnsi="Bookman Old Style" w:cs="Arial"/>
        </w:rPr>
        <w:t>,</w:t>
      </w:r>
      <w:r w:rsidR="00E454D8">
        <w:rPr>
          <w:rFonts w:ascii="Bookman Old Style" w:hAnsi="Bookman Old Style" w:cs="Arial"/>
        </w:rPr>
        <w:t xml:space="preserve"> pero no entrega el detalle requerido para </w:t>
      </w:r>
      <w:r w:rsidR="00E454D8" w:rsidRPr="00E454D8">
        <w:rPr>
          <w:rFonts w:ascii="Bookman Old Style" w:hAnsi="Bookman Old Style" w:cs="Arial"/>
        </w:rPr>
        <w:t xml:space="preserve">el activo denominado </w:t>
      </w:r>
      <w:r w:rsidR="00E454D8" w:rsidRPr="0ECC7FE6">
        <w:rPr>
          <w:rFonts w:ascii="Bookman Old Style" w:hAnsi="Bookman Old Style" w:cs="Arial"/>
          <w:i/>
        </w:rPr>
        <w:t>“Línea de Transmisión de la MCH Mitú a la Subestación Eléctrica Mitú”</w:t>
      </w:r>
      <w:r w:rsidR="00FE1F3E">
        <w:rPr>
          <w:rFonts w:ascii="Bookman Old Style" w:hAnsi="Bookman Old Style" w:cs="Arial"/>
        </w:rPr>
        <w:t xml:space="preserve"> e</w:t>
      </w:r>
      <w:r w:rsidR="00E454D8" w:rsidRPr="00E454D8">
        <w:rPr>
          <w:rFonts w:ascii="Bookman Old Style" w:hAnsi="Bookman Old Style" w:cs="Arial"/>
        </w:rPr>
        <w:t xml:space="preserve"> </w:t>
      </w:r>
      <w:r w:rsidR="00FE1F3E">
        <w:rPr>
          <w:rFonts w:ascii="Bookman Old Style" w:hAnsi="Bookman Old Style" w:cs="Arial"/>
        </w:rPr>
        <w:t>informa que</w:t>
      </w:r>
      <w:r w:rsidR="001C0BBA">
        <w:rPr>
          <w:rFonts w:ascii="Bookman Old Style" w:hAnsi="Bookman Old Style" w:cs="Arial"/>
        </w:rPr>
        <w:t>:</w:t>
      </w:r>
      <w:r w:rsidR="00FE1F3E">
        <w:rPr>
          <w:rFonts w:ascii="Bookman Old Style" w:hAnsi="Bookman Old Style" w:cs="Arial"/>
        </w:rPr>
        <w:t xml:space="preserve"> </w:t>
      </w:r>
      <w:r w:rsidR="00FE1F3E" w:rsidRPr="005E63DC">
        <w:rPr>
          <w:rFonts w:ascii="Bookman Old Style" w:hAnsi="Bookman Old Style" w:cs="Arial"/>
          <w:i/>
          <w:iCs/>
        </w:rPr>
        <w:t>“</w:t>
      </w:r>
      <w:r w:rsidR="008B6721">
        <w:rPr>
          <w:rFonts w:ascii="Bookman Old Style" w:hAnsi="Bookman Old Style" w:cs="Arial"/>
          <w:i/>
          <w:iCs/>
        </w:rPr>
        <w:t xml:space="preserve">(…) </w:t>
      </w:r>
      <w:r w:rsidR="00FE1F3E" w:rsidRPr="005E63DC">
        <w:rPr>
          <w:rFonts w:ascii="Bookman Old Style" w:hAnsi="Bookman Old Style" w:cs="Arial"/>
          <w:i/>
          <w:iCs/>
        </w:rPr>
        <w:t xml:space="preserve">no existe </w:t>
      </w:r>
      <w:r w:rsidR="005E63DC" w:rsidRPr="005E63DC">
        <w:rPr>
          <w:rFonts w:ascii="Bookman Old Style" w:hAnsi="Bookman Old Style" w:cs="Arial"/>
          <w:i/>
          <w:iCs/>
        </w:rPr>
        <w:t>n</w:t>
      </w:r>
      <w:r w:rsidR="00FE1F3E" w:rsidRPr="005E63DC">
        <w:rPr>
          <w:rFonts w:ascii="Bookman Old Style" w:hAnsi="Bookman Old Style" w:cs="Arial"/>
          <w:i/>
          <w:iCs/>
        </w:rPr>
        <w:t>ingún tipo de acuerdo con la Gobernación del Vau</w:t>
      </w:r>
      <w:r w:rsidR="005E63DC" w:rsidRPr="005E63DC">
        <w:rPr>
          <w:rFonts w:ascii="Bookman Old Style" w:hAnsi="Bookman Old Style" w:cs="Arial"/>
          <w:i/>
          <w:iCs/>
        </w:rPr>
        <w:t>pés para el uso compartido de la infraestructura operada por GENSA S.A. E.S.P.</w:t>
      </w:r>
      <w:r w:rsidR="0024794D">
        <w:rPr>
          <w:rFonts w:ascii="Bookman Old Style" w:hAnsi="Bookman Old Style" w:cs="Arial"/>
          <w:i/>
          <w:iCs/>
        </w:rPr>
        <w:t xml:space="preserve"> (…)</w:t>
      </w:r>
      <w:r w:rsidR="005E63DC" w:rsidRPr="005E63DC">
        <w:rPr>
          <w:rFonts w:ascii="Bookman Old Style" w:hAnsi="Bookman Old Style" w:cs="Arial"/>
          <w:i/>
          <w:iCs/>
        </w:rPr>
        <w:t>”</w:t>
      </w:r>
      <w:r w:rsidR="005E63DC">
        <w:rPr>
          <w:rFonts w:ascii="Bookman Old Style" w:hAnsi="Bookman Old Style" w:cs="Arial"/>
        </w:rPr>
        <w:t xml:space="preserve">. Por su parte, la Gobernación </w:t>
      </w:r>
      <w:r w:rsidR="00D80C69">
        <w:rPr>
          <w:rFonts w:ascii="Bookman Old Style" w:hAnsi="Bookman Old Style" w:cs="Arial"/>
        </w:rPr>
        <w:t>informa:</w:t>
      </w:r>
    </w:p>
    <w:p w14:paraId="49553CB1" w14:textId="77777777" w:rsidR="00D80C69" w:rsidRDefault="00D80C69" w:rsidP="00654228">
      <w:pPr>
        <w:ind w:left="284"/>
        <w:contextualSpacing/>
        <w:jc w:val="both"/>
        <w:rPr>
          <w:rFonts w:ascii="Bookman Old Style" w:hAnsi="Bookman Old Style" w:cs="Arial"/>
        </w:rPr>
      </w:pPr>
    </w:p>
    <w:p w14:paraId="0B72B7AE" w14:textId="1E3DFED5" w:rsidR="00C86BF1" w:rsidRPr="00C86BF1" w:rsidRDefault="00C86BF1" w:rsidP="0027455C">
      <w:pPr>
        <w:ind w:left="567"/>
        <w:contextualSpacing/>
        <w:jc w:val="both"/>
        <w:rPr>
          <w:rFonts w:ascii="Bookman Old Style" w:hAnsi="Bookman Old Style" w:cs="Arial"/>
          <w:i/>
          <w:iCs/>
          <w:sz w:val="20"/>
          <w:szCs w:val="20"/>
        </w:rPr>
      </w:pPr>
      <w:r w:rsidRPr="00C86BF1">
        <w:rPr>
          <w:rFonts w:ascii="Bookman Old Style" w:hAnsi="Bookman Old Style" w:cs="Arial"/>
          <w:i/>
          <w:iCs/>
          <w:sz w:val="20"/>
          <w:szCs w:val="20"/>
        </w:rPr>
        <w:t>“</w:t>
      </w:r>
      <w:r w:rsidR="003D6AC7">
        <w:rPr>
          <w:rFonts w:ascii="Bookman Old Style" w:hAnsi="Bookman Old Style" w:cs="Arial"/>
          <w:i/>
          <w:iCs/>
          <w:sz w:val="20"/>
          <w:szCs w:val="20"/>
        </w:rPr>
        <w:t xml:space="preserve">(…) </w:t>
      </w:r>
      <w:r w:rsidRPr="00C86BF1">
        <w:rPr>
          <w:rFonts w:ascii="Bookman Old Style" w:hAnsi="Bookman Old Style" w:cs="Arial"/>
          <w:i/>
          <w:iCs/>
          <w:sz w:val="20"/>
          <w:szCs w:val="20"/>
        </w:rPr>
        <w:t>Por medio de la presente, y en razón del Derecho de Petición por usted remitido el 13 de febrero del 2020, se procede a dar CONTESTACIÓN DE FONDO, citados en el A</w:t>
      </w:r>
      <w:r w:rsidR="003D6AC7">
        <w:rPr>
          <w:rFonts w:ascii="Bookman Old Style" w:hAnsi="Bookman Old Style" w:cs="Arial"/>
          <w:i/>
          <w:iCs/>
          <w:sz w:val="20"/>
          <w:szCs w:val="20"/>
        </w:rPr>
        <w:t>u</w:t>
      </w:r>
      <w:r w:rsidRPr="00C86BF1">
        <w:rPr>
          <w:rFonts w:ascii="Bookman Old Style" w:hAnsi="Bookman Old Style" w:cs="Arial"/>
          <w:i/>
          <w:iCs/>
          <w:sz w:val="20"/>
          <w:szCs w:val="20"/>
        </w:rPr>
        <w:t xml:space="preserve">to de Pruebas con radicado CREG </w:t>
      </w:r>
      <w:r w:rsidR="00366C38">
        <w:rPr>
          <w:rFonts w:ascii="Bookman Old Style" w:hAnsi="Bookman Old Style" w:cs="Arial"/>
          <w:i/>
          <w:iCs/>
          <w:sz w:val="20"/>
          <w:szCs w:val="20"/>
        </w:rPr>
        <w:t>I</w:t>
      </w:r>
      <w:r w:rsidRPr="00C86BF1">
        <w:rPr>
          <w:rFonts w:ascii="Bookman Old Style" w:hAnsi="Bookman Old Style" w:cs="Arial"/>
          <w:i/>
          <w:iCs/>
          <w:sz w:val="20"/>
          <w:szCs w:val="20"/>
        </w:rPr>
        <w:t xml:space="preserve">-2020-000792 Expediente 2019-0212 </w:t>
      </w:r>
    </w:p>
    <w:p w14:paraId="1F937106" w14:textId="77777777" w:rsidR="00366C38" w:rsidRDefault="00366C38" w:rsidP="0027455C">
      <w:pPr>
        <w:ind w:left="567"/>
        <w:contextualSpacing/>
        <w:jc w:val="both"/>
        <w:rPr>
          <w:rFonts w:ascii="Bookman Old Style" w:hAnsi="Bookman Old Style" w:cs="Arial"/>
          <w:i/>
          <w:iCs/>
          <w:sz w:val="20"/>
          <w:szCs w:val="20"/>
        </w:rPr>
      </w:pPr>
    </w:p>
    <w:p w14:paraId="7CA53E70" w14:textId="285E8468" w:rsidR="00366C38" w:rsidRDefault="00C86BF1" w:rsidP="0027455C">
      <w:pPr>
        <w:ind w:left="567"/>
        <w:contextualSpacing/>
        <w:jc w:val="both"/>
        <w:rPr>
          <w:rFonts w:ascii="Bookman Old Style" w:hAnsi="Bookman Old Style" w:cs="Arial"/>
          <w:i/>
          <w:iCs/>
          <w:sz w:val="20"/>
          <w:szCs w:val="20"/>
        </w:rPr>
      </w:pPr>
      <w:r w:rsidRPr="00C86BF1">
        <w:rPr>
          <w:rFonts w:ascii="Bookman Old Style" w:hAnsi="Bookman Old Style" w:cs="Arial"/>
          <w:i/>
          <w:iCs/>
          <w:sz w:val="20"/>
          <w:szCs w:val="20"/>
        </w:rPr>
        <w:t>Donde muy respetuosamente se le responde a su despacho que no es competenci</w:t>
      </w:r>
      <w:r w:rsidR="00BA45EC">
        <w:rPr>
          <w:rFonts w:ascii="Bookman Old Style" w:hAnsi="Bookman Old Style" w:cs="Arial"/>
          <w:i/>
          <w:iCs/>
          <w:sz w:val="20"/>
          <w:szCs w:val="20"/>
        </w:rPr>
        <w:t xml:space="preserve">a </w:t>
      </w:r>
      <w:r w:rsidRPr="00C86BF1">
        <w:rPr>
          <w:rFonts w:ascii="Bookman Old Style" w:hAnsi="Bookman Old Style" w:cs="Arial"/>
          <w:i/>
          <w:iCs/>
          <w:sz w:val="20"/>
          <w:szCs w:val="20"/>
        </w:rPr>
        <w:t xml:space="preserve">de la Gobernación del Vaupés, dar contestación al auto de pruebas numeral SEGUNDO, </w:t>
      </w:r>
      <w:r w:rsidR="00011ED6">
        <w:rPr>
          <w:rFonts w:ascii="Bookman Old Style" w:hAnsi="Bookman Old Style" w:cs="Arial"/>
          <w:i/>
          <w:iCs/>
          <w:sz w:val="20"/>
          <w:szCs w:val="20"/>
        </w:rPr>
        <w:t>q</w:t>
      </w:r>
      <w:r w:rsidRPr="00C86BF1">
        <w:rPr>
          <w:rFonts w:ascii="Bookman Old Style" w:hAnsi="Bookman Old Style" w:cs="Arial"/>
          <w:i/>
          <w:iCs/>
          <w:sz w:val="20"/>
          <w:szCs w:val="20"/>
        </w:rPr>
        <w:t xml:space="preserve">ue nos solicita un </w:t>
      </w:r>
      <w:r w:rsidR="00011ED6">
        <w:rPr>
          <w:rFonts w:ascii="Bookman Old Style" w:hAnsi="Bookman Old Style" w:cs="Arial"/>
          <w:i/>
          <w:iCs/>
          <w:sz w:val="20"/>
          <w:szCs w:val="20"/>
        </w:rPr>
        <w:t>‘</w:t>
      </w:r>
      <w:r w:rsidRPr="00C86BF1">
        <w:rPr>
          <w:rFonts w:ascii="Bookman Old Style" w:hAnsi="Bookman Old Style" w:cs="Arial"/>
          <w:i/>
          <w:iCs/>
          <w:sz w:val="20"/>
          <w:szCs w:val="20"/>
        </w:rPr>
        <w:t>Diagrama Unifilar de las redes de distribución que opera la Gobernac</w:t>
      </w:r>
      <w:r w:rsidR="00011ED6">
        <w:rPr>
          <w:rFonts w:ascii="Bookman Old Style" w:hAnsi="Bookman Old Style" w:cs="Arial"/>
          <w:i/>
          <w:iCs/>
          <w:sz w:val="20"/>
          <w:szCs w:val="20"/>
        </w:rPr>
        <w:t>i</w:t>
      </w:r>
      <w:r w:rsidRPr="00C86BF1">
        <w:rPr>
          <w:rFonts w:ascii="Bookman Old Style" w:hAnsi="Bookman Old Style" w:cs="Arial"/>
          <w:i/>
          <w:iCs/>
          <w:sz w:val="20"/>
          <w:szCs w:val="20"/>
        </w:rPr>
        <w:t>ón</w:t>
      </w:r>
      <w:r w:rsidR="00011ED6">
        <w:rPr>
          <w:rFonts w:ascii="Bookman Old Style" w:hAnsi="Bookman Old Style" w:cs="Arial"/>
          <w:i/>
          <w:iCs/>
          <w:sz w:val="20"/>
          <w:szCs w:val="20"/>
        </w:rPr>
        <w:t xml:space="preserve"> </w:t>
      </w:r>
      <w:r w:rsidR="00366C38" w:rsidRPr="00366C38">
        <w:rPr>
          <w:rFonts w:ascii="Bookman Old Style" w:hAnsi="Bookman Old Style" w:cs="Arial"/>
          <w:i/>
          <w:iCs/>
          <w:sz w:val="20"/>
          <w:szCs w:val="20"/>
        </w:rPr>
        <w:t>del Vaupés en el Municipio de Mitú</w:t>
      </w:r>
      <w:r w:rsidR="00011ED6">
        <w:rPr>
          <w:rFonts w:ascii="Bookman Old Style" w:hAnsi="Bookman Old Style" w:cs="Arial"/>
          <w:i/>
          <w:iCs/>
          <w:sz w:val="20"/>
          <w:szCs w:val="20"/>
        </w:rPr>
        <w:t>…’</w:t>
      </w:r>
    </w:p>
    <w:p w14:paraId="5C0256C6" w14:textId="77777777" w:rsidR="00366C38" w:rsidRDefault="00366C38" w:rsidP="0027455C">
      <w:pPr>
        <w:ind w:left="567"/>
        <w:contextualSpacing/>
        <w:jc w:val="both"/>
        <w:rPr>
          <w:rFonts w:ascii="Bookman Old Style" w:hAnsi="Bookman Old Style" w:cs="Arial"/>
          <w:i/>
          <w:iCs/>
          <w:sz w:val="20"/>
          <w:szCs w:val="20"/>
        </w:rPr>
      </w:pPr>
    </w:p>
    <w:p w14:paraId="4D10E9BF" w14:textId="1D23AE49" w:rsidR="00553D8D" w:rsidRDefault="00560F63" w:rsidP="0027455C">
      <w:pPr>
        <w:ind w:left="567"/>
        <w:contextualSpacing/>
        <w:jc w:val="both"/>
        <w:rPr>
          <w:rFonts w:ascii="Bookman Old Style" w:hAnsi="Bookman Old Style" w:cs="Arial"/>
          <w:i/>
          <w:iCs/>
          <w:sz w:val="20"/>
          <w:szCs w:val="20"/>
        </w:rPr>
      </w:pPr>
      <w:r w:rsidRPr="00560F63">
        <w:rPr>
          <w:rFonts w:ascii="Bookman Old Style" w:hAnsi="Bookman Old Style" w:cs="Arial"/>
          <w:i/>
          <w:iCs/>
          <w:sz w:val="20"/>
          <w:szCs w:val="20"/>
        </w:rPr>
        <w:t>Por lo anterior se adjunta oficio dirigido a GENSA que es la empresa competen</w:t>
      </w:r>
      <w:r w:rsidR="00E7679B">
        <w:rPr>
          <w:rFonts w:ascii="Bookman Old Style" w:hAnsi="Bookman Old Style" w:cs="Arial"/>
          <w:i/>
          <w:iCs/>
          <w:sz w:val="20"/>
          <w:szCs w:val="20"/>
        </w:rPr>
        <w:t>t</w:t>
      </w:r>
      <w:r w:rsidRPr="00560F63">
        <w:rPr>
          <w:rFonts w:ascii="Bookman Old Style" w:hAnsi="Bookman Old Style" w:cs="Arial"/>
          <w:i/>
          <w:iCs/>
          <w:sz w:val="20"/>
          <w:szCs w:val="20"/>
        </w:rPr>
        <w:t>e</w:t>
      </w:r>
      <w:r w:rsidR="00E7679B">
        <w:rPr>
          <w:rFonts w:ascii="Bookman Old Style" w:hAnsi="Bookman Old Style" w:cs="Arial"/>
          <w:i/>
          <w:iCs/>
          <w:sz w:val="20"/>
          <w:szCs w:val="20"/>
        </w:rPr>
        <w:t xml:space="preserve"> e </w:t>
      </w:r>
      <w:r w:rsidR="00621014" w:rsidRPr="00621014">
        <w:rPr>
          <w:rFonts w:ascii="Bookman Old Style" w:hAnsi="Bookman Old Style" w:cs="Arial"/>
          <w:i/>
          <w:iCs/>
          <w:sz w:val="20"/>
          <w:szCs w:val="20"/>
        </w:rPr>
        <w:t>idónea para darle respuesta a su requerimiento, puesto que esta operadora de las re</w:t>
      </w:r>
      <w:r w:rsidR="00E7679B">
        <w:rPr>
          <w:rFonts w:ascii="Bookman Old Style" w:hAnsi="Bookman Old Style" w:cs="Arial"/>
          <w:i/>
          <w:iCs/>
          <w:sz w:val="20"/>
          <w:szCs w:val="20"/>
        </w:rPr>
        <w:t>d</w:t>
      </w:r>
      <w:r w:rsidR="00621014" w:rsidRPr="00621014">
        <w:rPr>
          <w:rFonts w:ascii="Bookman Old Style" w:hAnsi="Bookman Old Style" w:cs="Arial"/>
          <w:i/>
          <w:iCs/>
          <w:sz w:val="20"/>
          <w:szCs w:val="20"/>
        </w:rPr>
        <w:t>es</w:t>
      </w:r>
      <w:r w:rsidR="00E7679B">
        <w:rPr>
          <w:rFonts w:ascii="Bookman Old Style" w:hAnsi="Bookman Old Style" w:cs="Arial"/>
          <w:i/>
          <w:iCs/>
          <w:sz w:val="20"/>
          <w:szCs w:val="20"/>
        </w:rPr>
        <w:t xml:space="preserve"> </w:t>
      </w:r>
      <w:r w:rsidR="00553D8D" w:rsidRPr="00553D8D">
        <w:rPr>
          <w:rFonts w:ascii="Bookman Old Style" w:hAnsi="Bookman Old Style" w:cs="Arial"/>
          <w:i/>
          <w:iCs/>
          <w:sz w:val="20"/>
          <w:szCs w:val="20"/>
        </w:rPr>
        <w:t>de 34.5 Kv que se encuentran sobre las torres de energía desde la central hidroeléct</w:t>
      </w:r>
      <w:r w:rsidR="00D603E3">
        <w:rPr>
          <w:rFonts w:ascii="Bookman Old Style" w:hAnsi="Bookman Old Style" w:cs="Arial"/>
          <w:i/>
          <w:iCs/>
          <w:sz w:val="20"/>
          <w:szCs w:val="20"/>
        </w:rPr>
        <w:t>r</w:t>
      </w:r>
      <w:r w:rsidR="00553D8D" w:rsidRPr="00553D8D">
        <w:rPr>
          <w:rFonts w:ascii="Bookman Old Style" w:hAnsi="Bookman Old Style" w:cs="Arial"/>
          <w:i/>
          <w:iCs/>
          <w:sz w:val="20"/>
          <w:szCs w:val="20"/>
        </w:rPr>
        <w:t>ica ubicada en la comunidad de Santa Cruz hasta la central Diesel del Municipio de Mitú, igual que la Generación de energía eléctrica del Municipio de Mitú y el mantenimiento de la misma.</w:t>
      </w:r>
    </w:p>
    <w:p w14:paraId="4C051BEB" w14:textId="77777777" w:rsidR="00553D8D" w:rsidRPr="00553D8D" w:rsidRDefault="00553D8D" w:rsidP="0027455C">
      <w:pPr>
        <w:ind w:left="567"/>
        <w:contextualSpacing/>
        <w:jc w:val="both"/>
        <w:rPr>
          <w:rFonts w:ascii="Bookman Old Style" w:hAnsi="Bookman Old Style" w:cs="Arial"/>
          <w:i/>
          <w:iCs/>
          <w:sz w:val="20"/>
          <w:szCs w:val="20"/>
        </w:rPr>
      </w:pPr>
    </w:p>
    <w:p w14:paraId="7E8D9A13" w14:textId="566263A3" w:rsidR="00366C38" w:rsidRPr="00C86BF1" w:rsidRDefault="00553D8D" w:rsidP="0027455C">
      <w:pPr>
        <w:ind w:left="567"/>
        <w:contextualSpacing/>
        <w:jc w:val="both"/>
        <w:rPr>
          <w:rFonts w:ascii="Bookman Old Style" w:hAnsi="Bookman Old Style" w:cs="Arial"/>
          <w:i/>
          <w:iCs/>
          <w:sz w:val="20"/>
          <w:szCs w:val="20"/>
        </w:rPr>
      </w:pPr>
      <w:r w:rsidRPr="00553D8D">
        <w:rPr>
          <w:rFonts w:ascii="Bookman Old Style" w:hAnsi="Bookman Old Style" w:cs="Arial"/>
          <w:i/>
          <w:iCs/>
          <w:sz w:val="20"/>
          <w:szCs w:val="20"/>
        </w:rPr>
        <w:t>Se anexan dos oficios de la Secretaria de Infraestructura solicitándole a GENSA S.A E.S.P, donde se le da traslado a dicha empresa para su respectiva respuesta.</w:t>
      </w:r>
      <w:r w:rsidR="00420F1F">
        <w:rPr>
          <w:rFonts w:ascii="Bookman Old Style" w:hAnsi="Bookman Old Style" w:cs="Arial"/>
          <w:i/>
          <w:iCs/>
          <w:sz w:val="20"/>
          <w:szCs w:val="20"/>
        </w:rPr>
        <w:t xml:space="preserve"> (…)”</w:t>
      </w:r>
    </w:p>
    <w:p w14:paraId="08AC1717" w14:textId="00139071" w:rsidR="00005C3F" w:rsidRPr="0086458B" w:rsidRDefault="00005C3F" w:rsidP="00E57F55">
      <w:pPr>
        <w:ind w:left="284"/>
        <w:contextualSpacing/>
        <w:jc w:val="both"/>
        <w:rPr>
          <w:rFonts w:ascii="Bookman Old Style" w:hAnsi="Bookman Old Style" w:cs="Arial"/>
          <w:bCs/>
        </w:rPr>
      </w:pPr>
    </w:p>
    <w:p w14:paraId="2927F9A9" w14:textId="557C34FD" w:rsidR="3AA7CE62" w:rsidRDefault="00756EB0" w:rsidP="00E57F55">
      <w:pPr>
        <w:ind w:left="284"/>
        <w:contextualSpacing/>
        <w:jc w:val="both"/>
        <w:rPr>
          <w:rFonts w:ascii="Bookman Old Style" w:hAnsi="Bookman Old Style" w:cs="Arial"/>
        </w:rPr>
      </w:pPr>
      <w:r>
        <w:rPr>
          <w:rFonts w:ascii="Bookman Old Style" w:hAnsi="Bookman Old Style" w:cs="Arial"/>
        </w:rPr>
        <w:t xml:space="preserve">Mediante comunicación con </w:t>
      </w:r>
      <w:r w:rsidR="006B4965">
        <w:rPr>
          <w:rFonts w:ascii="Bookman Old Style" w:hAnsi="Bookman Old Style" w:cs="Arial"/>
        </w:rPr>
        <w:t xml:space="preserve">radicado CREG </w:t>
      </w:r>
      <w:r w:rsidRPr="00756EB0">
        <w:rPr>
          <w:rFonts w:ascii="Bookman Old Style" w:hAnsi="Bookman Old Style" w:cs="Arial"/>
        </w:rPr>
        <w:t>E-2020-001587</w:t>
      </w:r>
      <w:r w:rsidR="006B4965">
        <w:rPr>
          <w:rFonts w:ascii="Bookman Old Style" w:hAnsi="Bookman Old Style" w:cs="Arial"/>
        </w:rPr>
        <w:t xml:space="preserve">, DUE presenta comentarios a las respuestas del Auto de prueba </w:t>
      </w:r>
      <w:r w:rsidRPr="00756EB0">
        <w:rPr>
          <w:rFonts w:ascii="Bookman Old Style" w:hAnsi="Bookman Old Style" w:cs="Arial"/>
        </w:rPr>
        <w:t>I-2020-000792</w:t>
      </w:r>
      <w:r w:rsidR="006B4965">
        <w:rPr>
          <w:rFonts w:ascii="Bookman Old Style" w:hAnsi="Bookman Old Style" w:cs="Arial"/>
        </w:rPr>
        <w:t xml:space="preserve"> en los siguientes términos:</w:t>
      </w:r>
    </w:p>
    <w:p w14:paraId="26BC7127" w14:textId="77777777" w:rsidR="006B4965" w:rsidRDefault="006B4965" w:rsidP="00E57F55">
      <w:pPr>
        <w:ind w:left="284"/>
        <w:contextualSpacing/>
        <w:jc w:val="both"/>
        <w:rPr>
          <w:rFonts w:ascii="Bookman Old Style" w:hAnsi="Bookman Old Style" w:cs="Arial"/>
        </w:rPr>
      </w:pPr>
    </w:p>
    <w:p w14:paraId="0A3EDF9C" w14:textId="5C1F600A" w:rsidR="006B4965" w:rsidRDefault="00F839B8" w:rsidP="0027455C">
      <w:pPr>
        <w:ind w:left="567"/>
        <w:contextualSpacing/>
        <w:jc w:val="both"/>
        <w:rPr>
          <w:rFonts w:ascii="Bookman Old Style" w:hAnsi="Bookman Old Style" w:cs="Arial"/>
          <w:i/>
          <w:iCs/>
          <w:sz w:val="20"/>
          <w:szCs w:val="20"/>
        </w:rPr>
      </w:pPr>
      <w:r>
        <w:rPr>
          <w:rFonts w:ascii="Bookman Old Style" w:hAnsi="Bookman Old Style" w:cs="Arial"/>
          <w:i/>
          <w:iCs/>
          <w:sz w:val="20"/>
          <w:szCs w:val="20"/>
        </w:rPr>
        <w:t xml:space="preserve">“(…) </w:t>
      </w:r>
      <w:r w:rsidRPr="00F839B8">
        <w:rPr>
          <w:rFonts w:ascii="Bookman Old Style" w:hAnsi="Bookman Old Style" w:cs="Arial"/>
          <w:i/>
          <w:iCs/>
          <w:sz w:val="20"/>
          <w:szCs w:val="20"/>
        </w:rPr>
        <w:t xml:space="preserve">GENSA E.S.P S.A. (en adelante </w:t>
      </w:r>
      <w:r w:rsidR="0035122F">
        <w:rPr>
          <w:rFonts w:ascii="Bookman Old Style" w:hAnsi="Bookman Old Style" w:cs="Arial"/>
          <w:i/>
          <w:iCs/>
          <w:sz w:val="20"/>
          <w:szCs w:val="20"/>
        </w:rPr>
        <w:t>‘</w:t>
      </w:r>
      <w:r w:rsidRPr="00F839B8">
        <w:rPr>
          <w:rFonts w:ascii="Bookman Old Style" w:hAnsi="Bookman Old Style" w:cs="Arial"/>
          <w:i/>
          <w:iCs/>
          <w:sz w:val="20"/>
          <w:szCs w:val="20"/>
        </w:rPr>
        <w:t>GENSA</w:t>
      </w:r>
      <w:r w:rsidR="0035122F">
        <w:rPr>
          <w:rFonts w:ascii="Bookman Old Style" w:hAnsi="Bookman Old Style" w:cs="Arial"/>
          <w:i/>
          <w:iCs/>
          <w:sz w:val="20"/>
          <w:szCs w:val="20"/>
        </w:rPr>
        <w:t>’</w:t>
      </w:r>
      <w:r w:rsidRPr="00F839B8">
        <w:rPr>
          <w:rFonts w:ascii="Bookman Old Style" w:hAnsi="Bookman Old Style" w:cs="Arial"/>
          <w:i/>
          <w:iCs/>
          <w:sz w:val="20"/>
          <w:szCs w:val="20"/>
        </w:rPr>
        <w:t xml:space="preserve">) en sus pronunciamientos, no solo en este procedimiento administrativo sino también en el Expediente 2019-00031, ha sostenido que la línea de interconexión a 34.5 kV entre la PCH Mitú a la Subestación Eléctrica de la generación diésel de Mitú no hace parte de una sistema de distribución, sino que es una línea de </w:t>
      </w:r>
      <w:r w:rsidR="000A751A">
        <w:rPr>
          <w:rFonts w:ascii="Bookman Old Style" w:hAnsi="Bookman Old Style" w:cs="Arial"/>
          <w:i/>
          <w:iCs/>
          <w:sz w:val="20"/>
          <w:szCs w:val="20"/>
        </w:rPr>
        <w:t>‘</w:t>
      </w:r>
      <w:r w:rsidRPr="00F839B8">
        <w:rPr>
          <w:rFonts w:ascii="Bookman Old Style" w:hAnsi="Bookman Old Style" w:cs="Arial"/>
          <w:i/>
          <w:iCs/>
          <w:sz w:val="20"/>
          <w:szCs w:val="20"/>
        </w:rPr>
        <w:t>transmisión</w:t>
      </w:r>
      <w:r w:rsidR="000A751A">
        <w:rPr>
          <w:rFonts w:ascii="Bookman Old Style" w:hAnsi="Bookman Old Style" w:cs="Arial"/>
          <w:i/>
          <w:iCs/>
          <w:sz w:val="20"/>
          <w:szCs w:val="20"/>
        </w:rPr>
        <w:t>’</w:t>
      </w:r>
      <w:r w:rsidRPr="00F839B8">
        <w:rPr>
          <w:rFonts w:ascii="Bookman Old Style" w:hAnsi="Bookman Old Style" w:cs="Arial"/>
          <w:i/>
          <w:iCs/>
          <w:sz w:val="20"/>
          <w:szCs w:val="20"/>
        </w:rPr>
        <w:t>. Como se ha dejando en evidencia la misma línea tiene un número plural de derivaciones a usuarios regulados (20 en total), lo que tal y como lo estipula el Artículo 2 CRE091 de 20071, complementada por la definición de Sistema de Distribución en ZNI del Articulo 4 de la CREG038/2018 la cual es</w:t>
      </w:r>
      <w:r w:rsidR="00E417D3">
        <w:rPr>
          <w:rFonts w:ascii="Bookman Old Style" w:hAnsi="Bookman Old Style" w:cs="Arial"/>
          <w:i/>
          <w:iCs/>
          <w:sz w:val="20"/>
          <w:szCs w:val="20"/>
        </w:rPr>
        <w:t xml:space="preserve"> ‘</w:t>
      </w:r>
      <w:r w:rsidRPr="00F839B8">
        <w:rPr>
          <w:rFonts w:ascii="Bookman Old Style" w:hAnsi="Bookman Old Style" w:cs="Arial"/>
          <w:i/>
          <w:iCs/>
          <w:sz w:val="20"/>
          <w:szCs w:val="20"/>
        </w:rPr>
        <w:t xml:space="preserve">.. el conjunto de redes físicas de uso público que transporta energía eléctrica desde la barra de un generador hasta el punto de derivación de </w:t>
      </w:r>
      <w:r w:rsidRPr="00AC0589">
        <w:rPr>
          <w:rFonts w:ascii="Bookman Old Style" w:hAnsi="Bookman Old Style" w:cs="Arial"/>
          <w:i/>
          <w:iCs/>
          <w:sz w:val="20"/>
          <w:szCs w:val="20"/>
          <w:u w:val="single"/>
        </w:rPr>
        <w:t>las acometidas de los inmuebles</w:t>
      </w:r>
      <w:r w:rsidRPr="00F839B8">
        <w:rPr>
          <w:rFonts w:ascii="Bookman Old Style" w:hAnsi="Bookman Old Style" w:cs="Arial"/>
          <w:i/>
          <w:iCs/>
          <w:sz w:val="20"/>
          <w:szCs w:val="20"/>
        </w:rPr>
        <w:t>, sin incluir su conexión y medición. No se incluyen los transformadores elevadores ni servicios auxiliares del</w:t>
      </w:r>
      <w:r w:rsidR="00AC0589">
        <w:rPr>
          <w:rFonts w:ascii="Bookman Old Style" w:hAnsi="Bookman Old Style" w:cs="Arial"/>
          <w:i/>
          <w:iCs/>
          <w:sz w:val="20"/>
          <w:szCs w:val="20"/>
        </w:rPr>
        <w:t xml:space="preserve"> </w:t>
      </w:r>
      <w:r w:rsidR="00AC0589" w:rsidRPr="00AC0589">
        <w:rPr>
          <w:rFonts w:ascii="Bookman Old Style" w:hAnsi="Bookman Old Style" w:cs="Arial"/>
          <w:i/>
          <w:iCs/>
          <w:sz w:val="20"/>
          <w:szCs w:val="20"/>
        </w:rPr>
        <w:t>generador</w:t>
      </w:r>
      <w:r w:rsidR="00AC0589">
        <w:rPr>
          <w:rFonts w:ascii="Bookman Old Style" w:hAnsi="Bookman Old Style" w:cs="Arial"/>
          <w:i/>
          <w:iCs/>
          <w:sz w:val="20"/>
          <w:szCs w:val="20"/>
        </w:rPr>
        <w:t>’</w:t>
      </w:r>
      <w:r w:rsidR="00AC0589" w:rsidRPr="00AC0589">
        <w:rPr>
          <w:rFonts w:ascii="Bookman Old Style" w:hAnsi="Bookman Old Style" w:cs="Arial"/>
          <w:i/>
          <w:iCs/>
          <w:sz w:val="20"/>
          <w:szCs w:val="20"/>
        </w:rPr>
        <w:t xml:space="preserve"> (negrilla y subrayado fuera del texto original); por tanto, la misma ya es de hecho una red de distribución.</w:t>
      </w:r>
    </w:p>
    <w:p w14:paraId="4AD43003" w14:textId="77777777" w:rsidR="005124AD" w:rsidRDefault="005124AD" w:rsidP="004C1175">
      <w:pPr>
        <w:ind w:left="709"/>
        <w:contextualSpacing/>
        <w:jc w:val="both"/>
        <w:rPr>
          <w:rFonts w:ascii="Bookman Old Style" w:hAnsi="Bookman Old Style" w:cs="Arial"/>
          <w:i/>
          <w:iCs/>
          <w:sz w:val="20"/>
          <w:szCs w:val="20"/>
        </w:rPr>
      </w:pPr>
    </w:p>
    <w:p w14:paraId="772D091F" w14:textId="44429ED5" w:rsidR="00E3338F" w:rsidRDefault="00E3338F" w:rsidP="0027455C">
      <w:pPr>
        <w:ind w:left="567"/>
        <w:contextualSpacing/>
        <w:jc w:val="both"/>
        <w:rPr>
          <w:rFonts w:ascii="Bookman Old Style" w:hAnsi="Bookman Old Style" w:cs="Arial"/>
          <w:i/>
          <w:iCs/>
          <w:sz w:val="20"/>
          <w:szCs w:val="20"/>
        </w:rPr>
      </w:pPr>
      <w:r w:rsidRPr="00E3338F">
        <w:rPr>
          <w:rFonts w:ascii="Bookman Old Style" w:hAnsi="Bookman Old Style" w:cs="Arial"/>
          <w:i/>
          <w:iCs/>
          <w:sz w:val="20"/>
          <w:szCs w:val="20"/>
        </w:rPr>
        <w:t>No obstante, lo anterior, es relevante poner de manifiesto a la Comisión que en la Resolución 969 del 6 de septiembre de 1996 del Ministerio del Medio Ambiente, hoy Ministerio de Ambiente y Desarrollo Sostenible, por el cual se otorga la Licencia Ambiental al proyecto de construcción de la Microcentral eléctrica de Mitú, el cual constará básicamente de los siguientes componentes:</w:t>
      </w:r>
      <w:r w:rsidR="00452306">
        <w:rPr>
          <w:rFonts w:ascii="Bookman Old Style" w:hAnsi="Bookman Old Style" w:cs="Arial"/>
          <w:i/>
          <w:iCs/>
          <w:sz w:val="20"/>
          <w:szCs w:val="20"/>
        </w:rPr>
        <w:t xml:space="preserve"> ‘…</w:t>
      </w:r>
    </w:p>
    <w:p w14:paraId="1604200E" w14:textId="77777777" w:rsidR="00E3338F" w:rsidRDefault="00E3338F" w:rsidP="004C1175">
      <w:pPr>
        <w:ind w:left="709"/>
        <w:contextualSpacing/>
        <w:jc w:val="both"/>
        <w:rPr>
          <w:rFonts w:ascii="Bookman Old Style" w:hAnsi="Bookman Old Style" w:cs="Arial"/>
          <w:i/>
          <w:iCs/>
          <w:sz w:val="20"/>
          <w:szCs w:val="20"/>
        </w:rPr>
      </w:pPr>
    </w:p>
    <w:p w14:paraId="2D86821C" w14:textId="2F9F7046" w:rsidR="00452306" w:rsidRPr="003C3EB8" w:rsidRDefault="003C3EB8" w:rsidP="0027455C">
      <w:pPr>
        <w:pStyle w:val="Prrafodelista"/>
        <w:numPr>
          <w:ilvl w:val="0"/>
          <w:numId w:val="34"/>
        </w:numPr>
        <w:ind w:left="851" w:hanging="284"/>
        <w:contextualSpacing/>
        <w:jc w:val="both"/>
        <w:rPr>
          <w:rFonts w:ascii="Bookman Old Style" w:hAnsi="Bookman Old Style" w:cs="Arial"/>
          <w:i/>
          <w:iCs/>
        </w:rPr>
      </w:pPr>
      <w:r w:rsidRPr="003C3EB8">
        <w:rPr>
          <w:rFonts w:ascii="Bookman Old Style" w:hAnsi="Bookman Old Style" w:cs="Arial"/>
          <w:i/>
          <w:iCs/>
        </w:rPr>
        <w:t xml:space="preserve">La línea de transmisión de la central hasta Mitú, tendrá una longitud aproximada de 34,5 km y se localizar en un tramo de 12,5 km sobre la vía de acceso que se construirá desde Santacruz hasta la carretera existente </w:t>
      </w:r>
      <w:r w:rsidR="00A86F16" w:rsidRPr="003C3EB8">
        <w:rPr>
          <w:rFonts w:ascii="Bookman Old Style" w:hAnsi="Bookman Old Style" w:cs="Arial"/>
          <w:i/>
          <w:iCs/>
        </w:rPr>
        <w:t>Mitú-Monfort</w:t>
      </w:r>
      <w:r w:rsidRPr="003C3EB8">
        <w:rPr>
          <w:rFonts w:ascii="Bookman Old Style" w:hAnsi="Bookman Old Style" w:cs="Arial"/>
          <w:i/>
          <w:iCs/>
        </w:rPr>
        <w:t xml:space="preserve"> en el sitio conocido como Yararaka y un segundo tramo de 22 km sobre la v</w:t>
      </w:r>
      <w:r w:rsidR="00961BF1">
        <w:rPr>
          <w:rFonts w:ascii="Bookman Old Style" w:hAnsi="Bookman Old Style" w:cs="Arial"/>
          <w:i/>
          <w:iCs/>
        </w:rPr>
        <w:t>í</w:t>
      </w:r>
      <w:r w:rsidRPr="003C3EB8">
        <w:rPr>
          <w:rFonts w:ascii="Bookman Old Style" w:hAnsi="Bookman Old Style" w:cs="Arial"/>
          <w:i/>
          <w:iCs/>
        </w:rPr>
        <w:t>a existente Mitú-Monfort. Se instalarán postes de concreto de 12 m de longitud, siguiendo el lineamento de la v</w:t>
      </w:r>
      <w:r w:rsidR="00A86F16">
        <w:rPr>
          <w:rFonts w:ascii="Bookman Old Style" w:hAnsi="Bookman Old Style" w:cs="Arial"/>
          <w:i/>
          <w:iCs/>
        </w:rPr>
        <w:t>í</w:t>
      </w:r>
      <w:r w:rsidRPr="003C3EB8">
        <w:rPr>
          <w:rFonts w:ascii="Bookman Old Style" w:hAnsi="Bookman Old Style" w:cs="Arial"/>
          <w:i/>
          <w:iCs/>
        </w:rPr>
        <w:t>a. El voltaje de transmisión será de 34.5 kV</w:t>
      </w:r>
      <w:r w:rsidR="00935D28">
        <w:rPr>
          <w:rFonts w:ascii="Bookman Old Style" w:hAnsi="Bookman Old Style" w:cs="Arial"/>
          <w:i/>
          <w:iCs/>
        </w:rPr>
        <w:t>.</w:t>
      </w:r>
      <w:r w:rsidR="001E0858">
        <w:rPr>
          <w:rFonts w:ascii="Bookman Old Style" w:hAnsi="Bookman Old Style" w:cs="Arial"/>
          <w:i/>
          <w:iCs/>
        </w:rPr>
        <w:t xml:space="preserve"> </w:t>
      </w:r>
      <w:r w:rsidRPr="003C3EB8">
        <w:rPr>
          <w:rFonts w:ascii="Bookman Old Style" w:hAnsi="Bookman Old Style" w:cs="Arial"/>
          <w:i/>
          <w:iCs/>
        </w:rPr>
        <w:t>...</w:t>
      </w:r>
      <w:r w:rsidR="00935D28">
        <w:rPr>
          <w:rFonts w:ascii="Bookman Old Style" w:hAnsi="Bookman Old Style" w:cs="Arial"/>
          <w:i/>
          <w:iCs/>
        </w:rPr>
        <w:t>’</w:t>
      </w:r>
    </w:p>
    <w:p w14:paraId="017A5FD4" w14:textId="77777777" w:rsidR="00452306" w:rsidRDefault="00452306" w:rsidP="004C1175">
      <w:pPr>
        <w:ind w:left="709"/>
        <w:contextualSpacing/>
        <w:jc w:val="both"/>
        <w:rPr>
          <w:rFonts w:ascii="Bookman Old Style" w:hAnsi="Bookman Old Style" w:cs="Arial"/>
          <w:i/>
          <w:iCs/>
          <w:sz w:val="20"/>
          <w:szCs w:val="20"/>
        </w:rPr>
      </w:pPr>
    </w:p>
    <w:p w14:paraId="7758DD79" w14:textId="12A2FDD5" w:rsidR="00AC7499" w:rsidRDefault="00AC7499" w:rsidP="0027455C">
      <w:pPr>
        <w:ind w:left="567"/>
        <w:contextualSpacing/>
        <w:jc w:val="both"/>
        <w:rPr>
          <w:rFonts w:ascii="Bookman Old Style" w:hAnsi="Bookman Old Style" w:cs="Arial"/>
          <w:i/>
          <w:iCs/>
          <w:sz w:val="20"/>
          <w:szCs w:val="20"/>
        </w:rPr>
      </w:pPr>
      <w:r w:rsidRPr="00AC7499">
        <w:rPr>
          <w:rFonts w:ascii="Bookman Old Style" w:hAnsi="Bookman Old Style" w:cs="Arial"/>
          <w:i/>
          <w:iCs/>
          <w:sz w:val="20"/>
          <w:szCs w:val="20"/>
        </w:rPr>
        <w:t>En el Artículo Tercero se encuentran las obligaciones contenidas en Acta de Consulta Pre</w:t>
      </w:r>
      <w:r w:rsidR="00935D28">
        <w:rPr>
          <w:rFonts w:ascii="Bookman Old Style" w:hAnsi="Bookman Old Style" w:cs="Arial"/>
          <w:i/>
          <w:iCs/>
          <w:sz w:val="20"/>
          <w:szCs w:val="20"/>
        </w:rPr>
        <w:t>v</w:t>
      </w:r>
      <w:r w:rsidRPr="00AC7499">
        <w:rPr>
          <w:rFonts w:ascii="Bookman Old Style" w:hAnsi="Bookman Old Style" w:cs="Arial"/>
          <w:i/>
          <w:iCs/>
          <w:sz w:val="20"/>
          <w:szCs w:val="20"/>
        </w:rPr>
        <w:t xml:space="preserve">ia con la comunidad indígena Santacruz; en el numeral 2 del referido Artículo se consagra </w:t>
      </w:r>
      <w:r w:rsidR="00935D28">
        <w:rPr>
          <w:rFonts w:ascii="Bookman Old Style" w:hAnsi="Bookman Old Style" w:cs="Arial"/>
          <w:i/>
          <w:iCs/>
          <w:sz w:val="20"/>
          <w:szCs w:val="20"/>
        </w:rPr>
        <w:t>‘</w:t>
      </w:r>
      <w:r w:rsidRPr="00AC7499">
        <w:rPr>
          <w:rFonts w:ascii="Bookman Old Style" w:hAnsi="Bookman Old Style" w:cs="Arial"/>
          <w:i/>
          <w:iCs/>
          <w:sz w:val="20"/>
          <w:szCs w:val="20"/>
        </w:rPr>
        <w:t xml:space="preserve">2. El trazo y la </w:t>
      </w:r>
      <w:r w:rsidRPr="006D78F0">
        <w:rPr>
          <w:rFonts w:ascii="Bookman Old Style" w:hAnsi="Bookman Old Style" w:cs="Arial"/>
          <w:i/>
          <w:iCs/>
          <w:sz w:val="20"/>
          <w:szCs w:val="20"/>
          <w:u w:val="single"/>
        </w:rPr>
        <w:t>apertura de la línea de transmisión</w:t>
      </w:r>
      <w:r w:rsidRPr="00AC7499">
        <w:rPr>
          <w:rFonts w:ascii="Bookman Old Style" w:hAnsi="Bookman Old Style" w:cs="Arial"/>
          <w:i/>
          <w:iCs/>
          <w:sz w:val="20"/>
          <w:szCs w:val="20"/>
        </w:rPr>
        <w:t xml:space="preserve"> entre Santacruz­Yararaca Mitú.</w:t>
      </w:r>
      <w:r w:rsidR="006D78F0">
        <w:rPr>
          <w:rFonts w:ascii="Bookman Old Style" w:hAnsi="Bookman Old Style" w:cs="Arial"/>
          <w:i/>
          <w:iCs/>
          <w:sz w:val="20"/>
          <w:szCs w:val="20"/>
        </w:rPr>
        <w:t>’</w:t>
      </w:r>
      <w:r w:rsidRPr="00AC7499">
        <w:rPr>
          <w:rFonts w:ascii="Bookman Old Style" w:hAnsi="Bookman Old Style" w:cs="Arial"/>
          <w:i/>
          <w:iCs/>
          <w:sz w:val="20"/>
          <w:szCs w:val="20"/>
        </w:rPr>
        <w:t xml:space="preserve"> En el numeral 4 </w:t>
      </w:r>
      <w:r w:rsidR="006D78F0">
        <w:rPr>
          <w:rFonts w:ascii="Bookman Old Style" w:hAnsi="Bookman Old Style" w:cs="Arial"/>
          <w:i/>
          <w:iCs/>
          <w:sz w:val="20"/>
          <w:szCs w:val="20"/>
        </w:rPr>
        <w:t>‘</w:t>
      </w:r>
      <w:r w:rsidRPr="00AC7499">
        <w:rPr>
          <w:rFonts w:ascii="Bookman Old Style" w:hAnsi="Bookman Old Style" w:cs="Arial"/>
          <w:i/>
          <w:iCs/>
          <w:sz w:val="20"/>
          <w:szCs w:val="20"/>
        </w:rPr>
        <w:t>... La creación de un fondo a favor de las comunidades indígenas no beneficiados con la energía de la PCH, cuya finalidad es la de ampliar la cobertura del servicio eléctrico en el departamento. ...</w:t>
      </w:r>
      <w:r w:rsidR="001E0858">
        <w:rPr>
          <w:rFonts w:ascii="Bookman Old Style" w:hAnsi="Bookman Old Style" w:cs="Arial"/>
          <w:i/>
          <w:iCs/>
          <w:sz w:val="20"/>
          <w:szCs w:val="20"/>
        </w:rPr>
        <w:t>’</w:t>
      </w:r>
      <w:r w:rsidRPr="00AC7499">
        <w:rPr>
          <w:rFonts w:ascii="Bookman Old Style" w:hAnsi="Bookman Old Style" w:cs="Arial"/>
          <w:i/>
          <w:iCs/>
          <w:sz w:val="20"/>
          <w:szCs w:val="20"/>
        </w:rPr>
        <w:t>. (Negrita y subrayado fuera del texto original). Es clara desde un principio la destinación de la línea como elemento de distribución.</w:t>
      </w:r>
    </w:p>
    <w:p w14:paraId="534199BD" w14:textId="77777777" w:rsidR="00AC7499" w:rsidRPr="00AC7499" w:rsidRDefault="00AC7499" w:rsidP="004C1175">
      <w:pPr>
        <w:ind w:left="709"/>
        <w:contextualSpacing/>
        <w:jc w:val="both"/>
        <w:rPr>
          <w:rFonts w:ascii="Bookman Old Style" w:hAnsi="Bookman Old Style" w:cs="Arial"/>
          <w:i/>
          <w:iCs/>
          <w:sz w:val="20"/>
          <w:szCs w:val="20"/>
        </w:rPr>
      </w:pPr>
    </w:p>
    <w:p w14:paraId="57E6B3A1" w14:textId="74FA9661" w:rsidR="00E3338F" w:rsidRDefault="00AC7499" w:rsidP="0027455C">
      <w:pPr>
        <w:ind w:left="567"/>
        <w:contextualSpacing/>
        <w:jc w:val="both"/>
        <w:rPr>
          <w:rFonts w:ascii="Bookman Old Style" w:hAnsi="Bookman Old Style" w:cs="Arial"/>
          <w:i/>
          <w:iCs/>
          <w:sz w:val="20"/>
          <w:szCs w:val="20"/>
        </w:rPr>
      </w:pPr>
      <w:r w:rsidRPr="00AC7499">
        <w:rPr>
          <w:rFonts w:ascii="Bookman Old Style" w:hAnsi="Bookman Old Style" w:cs="Arial"/>
          <w:i/>
          <w:iCs/>
          <w:sz w:val="20"/>
          <w:szCs w:val="20"/>
        </w:rPr>
        <w:t>Por lo anterior, y ante la evidencia palpable de las conexiones, la aseveración de GENSA que las conexiones a la línea constituyen una situación atípica carece de sustento, y lo que resultan ser son el cumplimiento de los compromisos adquiridos para la obtención de la licencia ambiental.</w:t>
      </w:r>
      <w:r w:rsidR="005124AD">
        <w:rPr>
          <w:rFonts w:ascii="Bookman Old Style" w:hAnsi="Bookman Old Style" w:cs="Arial"/>
          <w:i/>
          <w:iCs/>
          <w:sz w:val="20"/>
          <w:szCs w:val="20"/>
        </w:rPr>
        <w:t xml:space="preserve"> (…)</w:t>
      </w:r>
    </w:p>
    <w:p w14:paraId="4A68D476" w14:textId="77777777" w:rsidR="005124AD" w:rsidRDefault="005124AD" w:rsidP="004C1175">
      <w:pPr>
        <w:ind w:left="709"/>
        <w:contextualSpacing/>
        <w:jc w:val="both"/>
        <w:rPr>
          <w:rFonts w:ascii="Bookman Old Style" w:hAnsi="Bookman Old Style" w:cs="Arial"/>
          <w:i/>
          <w:iCs/>
          <w:sz w:val="20"/>
          <w:szCs w:val="20"/>
        </w:rPr>
      </w:pPr>
    </w:p>
    <w:p w14:paraId="7941F8EF" w14:textId="1A91C6D5" w:rsidR="005124AD" w:rsidRDefault="00D7621B" w:rsidP="0027455C">
      <w:pPr>
        <w:ind w:left="567"/>
        <w:contextualSpacing/>
        <w:jc w:val="both"/>
        <w:rPr>
          <w:rFonts w:ascii="Bookman Old Style" w:hAnsi="Bookman Old Style" w:cs="Arial"/>
          <w:i/>
          <w:iCs/>
          <w:sz w:val="20"/>
          <w:szCs w:val="20"/>
        </w:rPr>
      </w:pPr>
      <w:r w:rsidRPr="00D7621B">
        <w:rPr>
          <w:rFonts w:ascii="Bookman Old Style" w:hAnsi="Bookman Old Style" w:cs="Arial"/>
          <w:i/>
          <w:iCs/>
          <w:sz w:val="20"/>
          <w:szCs w:val="20"/>
        </w:rPr>
        <w:t>Según el levantamiento comisionado por DUE en sitio, la línea de 34,5 kV tiene 20 torres con derivaciones así:</w:t>
      </w:r>
    </w:p>
    <w:p w14:paraId="584CA0EB" w14:textId="77777777" w:rsidR="00E3338F" w:rsidRDefault="00E3338F" w:rsidP="004C1175">
      <w:pPr>
        <w:ind w:left="709"/>
        <w:contextualSpacing/>
        <w:jc w:val="both"/>
        <w:rPr>
          <w:rFonts w:ascii="Bookman Old Style" w:hAnsi="Bookman Old Style" w:cs="Arial"/>
          <w:i/>
          <w:iCs/>
          <w:sz w:val="20"/>
          <w:szCs w:val="20"/>
        </w:rPr>
      </w:pPr>
    </w:p>
    <w:tbl>
      <w:tblPr>
        <w:tblW w:w="8222" w:type="dxa"/>
        <w:tblInd w:w="709" w:type="dxa"/>
        <w:tblCellMar>
          <w:left w:w="70" w:type="dxa"/>
          <w:right w:w="70" w:type="dxa"/>
        </w:tblCellMar>
        <w:tblLook w:val="04A0" w:firstRow="1" w:lastRow="0" w:firstColumn="1" w:lastColumn="0" w:noHBand="0" w:noVBand="1"/>
      </w:tblPr>
      <w:tblGrid>
        <w:gridCol w:w="1269"/>
        <w:gridCol w:w="713"/>
        <w:gridCol w:w="6347"/>
      </w:tblGrid>
      <w:tr w:rsidR="001B371F" w:rsidRPr="00420548" w14:paraId="42DFFA28" w14:textId="77777777" w:rsidTr="001B371F">
        <w:trPr>
          <w:trHeight w:val="300"/>
        </w:trPr>
        <w:tc>
          <w:tcPr>
            <w:tcW w:w="1180" w:type="dxa"/>
            <w:tcBorders>
              <w:top w:val="nil"/>
              <w:left w:val="nil"/>
              <w:bottom w:val="nil"/>
              <w:right w:val="nil"/>
            </w:tcBorders>
            <w:shd w:val="clear" w:color="auto" w:fill="000000" w:themeFill="text1"/>
            <w:noWrap/>
            <w:vAlign w:val="center"/>
            <w:hideMark/>
          </w:tcPr>
          <w:p w14:paraId="4F6958E1" w14:textId="77777777" w:rsidR="003738B9" w:rsidRPr="00420548" w:rsidRDefault="003738B9" w:rsidP="009E7133">
            <w:pPr>
              <w:jc w:val="center"/>
              <w:rPr>
                <w:rFonts w:ascii="Bookman Old Style" w:hAnsi="Bookman Old Style"/>
                <w:b/>
                <w:bCs/>
                <w:i/>
                <w:iCs/>
                <w:color w:val="FFFFFF" w:themeColor="background1"/>
                <w:sz w:val="20"/>
                <w:szCs w:val="20"/>
                <w:lang w:val="es-CO" w:eastAsia="es-CO"/>
              </w:rPr>
            </w:pPr>
            <w:r w:rsidRPr="00420548">
              <w:rPr>
                <w:rFonts w:ascii="Bookman Old Style" w:hAnsi="Bookman Old Style"/>
                <w:b/>
                <w:bCs/>
                <w:i/>
                <w:iCs/>
                <w:color w:val="FFFFFF" w:themeColor="background1"/>
                <w:sz w:val="20"/>
                <w:szCs w:val="20"/>
              </w:rPr>
              <w:t>Derivación</w:t>
            </w:r>
          </w:p>
        </w:tc>
        <w:tc>
          <w:tcPr>
            <w:tcW w:w="695" w:type="dxa"/>
            <w:tcBorders>
              <w:top w:val="nil"/>
              <w:left w:val="nil"/>
              <w:bottom w:val="nil"/>
              <w:right w:val="nil"/>
            </w:tcBorders>
            <w:shd w:val="clear" w:color="auto" w:fill="000000" w:themeFill="text1"/>
            <w:noWrap/>
            <w:vAlign w:val="center"/>
            <w:hideMark/>
          </w:tcPr>
          <w:p w14:paraId="17838828" w14:textId="77777777" w:rsidR="003738B9" w:rsidRPr="00420548" w:rsidRDefault="003738B9" w:rsidP="009E7133">
            <w:pPr>
              <w:jc w:val="center"/>
              <w:rPr>
                <w:rFonts w:ascii="Bookman Old Style" w:hAnsi="Bookman Old Style"/>
                <w:b/>
                <w:bCs/>
                <w:i/>
                <w:iCs/>
                <w:color w:val="FFFFFF" w:themeColor="background1"/>
                <w:sz w:val="20"/>
                <w:szCs w:val="20"/>
              </w:rPr>
            </w:pPr>
            <w:r w:rsidRPr="00420548">
              <w:rPr>
                <w:rFonts w:ascii="Bookman Old Style" w:hAnsi="Bookman Old Style"/>
                <w:b/>
                <w:bCs/>
                <w:i/>
                <w:iCs/>
                <w:color w:val="FFFFFF" w:themeColor="background1"/>
                <w:sz w:val="20"/>
                <w:szCs w:val="20"/>
              </w:rPr>
              <w:t>Torre</w:t>
            </w:r>
          </w:p>
        </w:tc>
        <w:tc>
          <w:tcPr>
            <w:tcW w:w="6347" w:type="dxa"/>
            <w:tcBorders>
              <w:top w:val="nil"/>
              <w:left w:val="nil"/>
              <w:bottom w:val="nil"/>
              <w:right w:val="nil"/>
            </w:tcBorders>
            <w:shd w:val="clear" w:color="auto" w:fill="000000" w:themeFill="text1"/>
            <w:noWrap/>
            <w:vAlign w:val="center"/>
            <w:hideMark/>
          </w:tcPr>
          <w:p w14:paraId="2C0B26E5" w14:textId="77777777" w:rsidR="003738B9" w:rsidRPr="00420548" w:rsidRDefault="003738B9">
            <w:pPr>
              <w:rPr>
                <w:rFonts w:ascii="Bookman Old Style" w:hAnsi="Bookman Old Style"/>
                <w:b/>
                <w:bCs/>
                <w:i/>
                <w:iCs/>
                <w:color w:val="FFFFFF" w:themeColor="background1"/>
                <w:sz w:val="20"/>
                <w:szCs w:val="20"/>
              </w:rPr>
            </w:pPr>
            <w:r w:rsidRPr="00420548">
              <w:rPr>
                <w:rFonts w:ascii="Bookman Old Style" w:hAnsi="Bookman Old Style"/>
                <w:b/>
                <w:bCs/>
                <w:i/>
                <w:iCs/>
                <w:color w:val="FFFFFF" w:themeColor="background1"/>
                <w:sz w:val="20"/>
                <w:szCs w:val="20"/>
              </w:rPr>
              <w:t>Sirve a</w:t>
            </w:r>
          </w:p>
        </w:tc>
      </w:tr>
      <w:tr w:rsidR="003738B9" w:rsidRPr="00420548" w14:paraId="1ECD74C4" w14:textId="77777777" w:rsidTr="001B371F">
        <w:trPr>
          <w:trHeight w:val="300"/>
        </w:trPr>
        <w:tc>
          <w:tcPr>
            <w:tcW w:w="1180" w:type="dxa"/>
            <w:tcBorders>
              <w:top w:val="nil"/>
              <w:left w:val="nil"/>
              <w:bottom w:val="nil"/>
              <w:right w:val="nil"/>
            </w:tcBorders>
            <w:shd w:val="clear" w:color="auto" w:fill="auto"/>
            <w:noWrap/>
            <w:hideMark/>
          </w:tcPr>
          <w:p w14:paraId="258C97A4"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w:t>
            </w:r>
          </w:p>
        </w:tc>
        <w:tc>
          <w:tcPr>
            <w:tcW w:w="695" w:type="dxa"/>
            <w:tcBorders>
              <w:top w:val="nil"/>
              <w:left w:val="nil"/>
              <w:bottom w:val="nil"/>
              <w:right w:val="nil"/>
            </w:tcBorders>
            <w:shd w:val="clear" w:color="auto" w:fill="auto"/>
            <w:noWrap/>
            <w:hideMark/>
          </w:tcPr>
          <w:p w14:paraId="1DA23084"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w:t>
            </w:r>
          </w:p>
        </w:tc>
        <w:tc>
          <w:tcPr>
            <w:tcW w:w="6347" w:type="dxa"/>
            <w:tcBorders>
              <w:top w:val="nil"/>
              <w:left w:val="nil"/>
              <w:bottom w:val="nil"/>
              <w:right w:val="nil"/>
            </w:tcBorders>
            <w:shd w:val="clear" w:color="auto" w:fill="auto"/>
            <w:noWrap/>
            <w:hideMark/>
          </w:tcPr>
          <w:p w14:paraId="722C0BCC"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Santacruz (aprox 1200 personas) </w:t>
            </w:r>
          </w:p>
        </w:tc>
      </w:tr>
      <w:tr w:rsidR="003738B9" w:rsidRPr="00420548" w14:paraId="76D739D3" w14:textId="77777777" w:rsidTr="001B371F">
        <w:trPr>
          <w:trHeight w:val="300"/>
        </w:trPr>
        <w:tc>
          <w:tcPr>
            <w:tcW w:w="1180" w:type="dxa"/>
            <w:tcBorders>
              <w:top w:val="nil"/>
              <w:left w:val="nil"/>
              <w:bottom w:val="nil"/>
              <w:right w:val="nil"/>
            </w:tcBorders>
            <w:shd w:val="clear" w:color="auto" w:fill="auto"/>
            <w:noWrap/>
            <w:hideMark/>
          </w:tcPr>
          <w:p w14:paraId="4B054D28"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2</w:t>
            </w:r>
          </w:p>
        </w:tc>
        <w:tc>
          <w:tcPr>
            <w:tcW w:w="695" w:type="dxa"/>
            <w:tcBorders>
              <w:top w:val="nil"/>
              <w:left w:val="nil"/>
              <w:bottom w:val="nil"/>
              <w:right w:val="nil"/>
            </w:tcBorders>
            <w:shd w:val="clear" w:color="auto" w:fill="auto"/>
            <w:noWrap/>
            <w:hideMark/>
          </w:tcPr>
          <w:p w14:paraId="256DDC16"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52</w:t>
            </w:r>
          </w:p>
        </w:tc>
        <w:tc>
          <w:tcPr>
            <w:tcW w:w="6347" w:type="dxa"/>
            <w:tcBorders>
              <w:top w:val="nil"/>
              <w:left w:val="nil"/>
              <w:bottom w:val="nil"/>
              <w:right w:val="nil"/>
            </w:tcBorders>
            <w:shd w:val="clear" w:color="auto" w:fill="auto"/>
            <w:noWrap/>
            <w:hideMark/>
          </w:tcPr>
          <w:p w14:paraId="02A108B2"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Puente Lata (aprox 563 personas) </w:t>
            </w:r>
          </w:p>
        </w:tc>
      </w:tr>
      <w:tr w:rsidR="003738B9" w:rsidRPr="00420548" w14:paraId="070CFD0C" w14:textId="77777777" w:rsidTr="001B371F">
        <w:trPr>
          <w:trHeight w:val="300"/>
        </w:trPr>
        <w:tc>
          <w:tcPr>
            <w:tcW w:w="1180" w:type="dxa"/>
            <w:tcBorders>
              <w:top w:val="nil"/>
              <w:left w:val="nil"/>
              <w:bottom w:val="nil"/>
              <w:right w:val="nil"/>
            </w:tcBorders>
            <w:shd w:val="clear" w:color="auto" w:fill="auto"/>
            <w:noWrap/>
            <w:hideMark/>
          </w:tcPr>
          <w:p w14:paraId="39D25774"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3</w:t>
            </w:r>
          </w:p>
        </w:tc>
        <w:tc>
          <w:tcPr>
            <w:tcW w:w="695" w:type="dxa"/>
            <w:tcBorders>
              <w:top w:val="nil"/>
              <w:left w:val="nil"/>
              <w:bottom w:val="nil"/>
              <w:right w:val="nil"/>
            </w:tcBorders>
            <w:shd w:val="clear" w:color="auto" w:fill="auto"/>
            <w:noWrap/>
            <w:hideMark/>
          </w:tcPr>
          <w:p w14:paraId="5571DB06"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60</w:t>
            </w:r>
          </w:p>
        </w:tc>
        <w:tc>
          <w:tcPr>
            <w:tcW w:w="6347" w:type="dxa"/>
            <w:tcBorders>
              <w:top w:val="nil"/>
              <w:left w:val="nil"/>
              <w:bottom w:val="nil"/>
              <w:right w:val="nil"/>
            </w:tcBorders>
            <w:shd w:val="clear" w:color="auto" w:fill="auto"/>
            <w:noWrap/>
            <w:hideMark/>
          </w:tcPr>
          <w:p w14:paraId="0BEC65E0"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Derivación doble a Finca de Banbawe y Comunidad Yararaka (aprox 500 personas), la línea sigue hasta la Comunidad el Timbo (aprox 70 personas) </w:t>
            </w:r>
          </w:p>
        </w:tc>
      </w:tr>
      <w:tr w:rsidR="003738B9" w:rsidRPr="00420548" w14:paraId="2D647F19" w14:textId="77777777" w:rsidTr="001B371F">
        <w:trPr>
          <w:trHeight w:val="300"/>
        </w:trPr>
        <w:tc>
          <w:tcPr>
            <w:tcW w:w="1180" w:type="dxa"/>
            <w:tcBorders>
              <w:top w:val="nil"/>
              <w:left w:val="nil"/>
              <w:bottom w:val="nil"/>
              <w:right w:val="nil"/>
            </w:tcBorders>
            <w:shd w:val="clear" w:color="auto" w:fill="auto"/>
            <w:noWrap/>
            <w:hideMark/>
          </w:tcPr>
          <w:p w14:paraId="18547174"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4</w:t>
            </w:r>
          </w:p>
        </w:tc>
        <w:tc>
          <w:tcPr>
            <w:tcW w:w="695" w:type="dxa"/>
            <w:tcBorders>
              <w:top w:val="nil"/>
              <w:left w:val="nil"/>
              <w:bottom w:val="nil"/>
              <w:right w:val="nil"/>
            </w:tcBorders>
            <w:shd w:val="clear" w:color="auto" w:fill="auto"/>
            <w:noWrap/>
            <w:hideMark/>
          </w:tcPr>
          <w:p w14:paraId="7A913C8A"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68</w:t>
            </w:r>
          </w:p>
        </w:tc>
        <w:tc>
          <w:tcPr>
            <w:tcW w:w="6347" w:type="dxa"/>
            <w:tcBorders>
              <w:top w:val="nil"/>
              <w:left w:val="nil"/>
              <w:bottom w:val="nil"/>
              <w:right w:val="nil"/>
            </w:tcBorders>
            <w:shd w:val="clear" w:color="auto" w:fill="auto"/>
            <w:noWrap/>
            <w:hideMark/>
          </w:tcPr>
          <w:p w14:paraId="30CC6C53"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Comunidad de Pueblo Nuevo (aprox 750 personas) </w:t>
            </w:r>
          </w:p>
        </w:tc>
      </w:tr>
      <w:tr w:rsidR="003738B9" w:rsidRPr="00420548" w14:paraId="4E417F1E" w14:textId="77777777" w:rsidTr="001B371F">
        <w:trPr>
          <w:trHeight w:val="300"/>
        </w:trPr>
        <w:tc>
          <w:tcPr>
            <w:tcW w:w="1180" w:type="dxa"/>
            <w:tcBorders>
              <w:top w:val="nil"/>
              <w:left w:val="nil"/>
              <w:bottom w:val="nil"/>
              <w:right w:val="nil"/>
            </w:tcBorders>
            <w:shd w:val="clear" w:color="auto" w:fill="auto"/>
            <w:noWrap/>
            <w:hideMark/>
          </w:tcPr>
          <w:p w14:paraId="036CBED9"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5</w:t>
            </w:r>
          </w:p>
        </w:tc>
        <w:tc>
          <w:tcPr>
            <w:tcW w:w="695" w:type="dxa"/>
            <w:tcBorders>
              <w:top w:val="nil"/>
              <w:left w:val="nil"/>
              <w:bottom w:val="nil"/>
              <w:right w:val="nil"/>
            </w:tcBorders>
            <w:shd w:val="clear" w:color="auto" w:fill="auto"/>
            <w:noWrap/>
            <w:hideMark/>
          </w:tcPr>
          <w:p w14:paraId="7DE2395C"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75</w:t>
            </w:r>
          </w:p>
        </w:tc>
        <w:tc>
          <w:tcPr>
            <w:tcW w:w="6347" w:type="dxa"/>
            <w:tcBorders>
              <w:top w:val="nil"/>
              <w:left w:val="nil"/>
              <w:bottom w:val="nil"/>
              <w:right w:val="nil"/>
            </w:tcBorders>
            <w:shd w:val="clear" w:color="auto" w:fill="auto"/>
            <w:noWrap/>
            <w:hideMark/>
          </w:tcPr>
          <w:p w14:paraId="6ABF76E7"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Caqueteña </w:t>
            </w:r>
          </w:p>
        </w:tc>
      </w:tr>
      <w:tr w:rsidR="003738B9" w:rsidRPr="00420548" w14:paraId="613CC3C4" w14:textId="77777777" w:rsidTr="001B371F">
        <w:trPr>
          <w:trHeight w:val="300"/>
        </w:trPr>
        <w:tc>
          <w:tcPr>
            <w:tcW w:w="1180" w:type="dxa"/>
            <w:tcBorders>
              <w:top w:val="nil"/>
              <w:left w:val="nil"/>
              <w:bottom w:val="nil"/>
              <w:right w:val="nil"/>
            </w:tcBorders>
            <w:shd w:val="clear" w:color="auto" w:fill="auto"/>
            <w:noWrap/>
            <w:hideMark/>
          </w:tcPr>
          <w:p w14:paraId="41B67DC3"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6</w:t>
            </w:r>
          </w:p>
        </w:tc>
        <w:tc>
          <w:tcPr>
            <w:tcW w:w="695" w:type="dxa"/>
            <w:tcBorders>
              <w:top w:val="nil"/>
              <w:left w:val="nil"/>
              <w:bottom w:val="nil"/>
              <w:right w:val="nil"/>
            </w:tcBorders>
            <w:shd w:val="clear" w:color="auto" w:fill="auto"/>
            <w:noWrap/>
            <w:hideMark/>
          </w:tcPr>
          <w:p w14:paraId="11036FD8"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78</w:t>
            </w:r>
          </w:p>
        </w:tc>
        <w:tc>
          <w:tcPr>
            <w:tcW w:w="6347" w:type="dxa"/>
            <w:tcBorders>
              <w:top w:val="nil"/>
              <w:left w:val="nil"/>
              <w:bottom w:val="nil"/>
              <w:right w:val="nil"/>
            </w:tcBorders>
            <w:shd w:val="clear" w:color="auto" w:fill="auto"/>
            <w:noWrap/>
            <w:hideMark/>
          </w:tcPr>
          <w:p w14:paraId="4BE66851"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Comunidad Cucura (aprox 25 personas) </w:t>
            </w:r>
          </w:p>
        </w:tc>
      </w:tr>
      <w:tr w:rsidR="003738B9" w:rsidRPr="00420548" w14:paraId="1C41C3C8" w14:textId="77777777" w:rsidTr="001B371F">
        <w:trPr>
          <w:trHeight w:val="300"/>
        </w:trPr>
        <w:tc>
          <w:tcPr>
            <w:tcW w:w="1180" w:type="dxa"/>
            <w:tcBorders>
              <w:top w:val="nil"/>
              <w:left w:val="nil"/>
              <w:bottom w:val="nil"/>
              <w:right w:val="nil"/>
            </w:tcBorders>
            <w:shd w:val="clear" w:color="auto" w:fill="auto"/>
            <w:noWrap/>
            <w:hideMark/>
          </w:tcPr>
          <w:p w14:paraId="732F15F5"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7</w:t>
            </w:r>
          </w:p>
        </w:tc>
        <w:tc>
          <w:tcPr>
            <w:tcW w:w="695" w:type="dxa"/>
            <w:tcBorders>
              <w:top w:val="nil"/>
              <w:left w:val="nil"/>
              <w:bottom w:val="nil"/>
              <w:right w:val="nil"/>
            </w:tcBorders>
            <w:shd w:val="clear" w:color="auto" w:fill="auto"/>
            <w:noWrap/>
            <w:hideMark/>
          </w:tcPr>
          <w:p w14:paraId="706A5D73"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79</w:t>
            </w:r>
          </w:p>
        </w:tc>
        <w:tc>
          <w:tcPr>
            <w:tcW w:w="6347" w:type="dxa"/>
            <w:tcBorders>
              <w:top w:val="nil"/>
              <w:left w:val="nil"/>
              <w:bottom w:val="nil"/>
              <w:right w:val="nil"/>
            </w:tcBorders>
            <w:shd w:val="clear" w:color="auto" w:fill="auto"/>
            <w:noWrap/>
            <w:hideMark/>
          </w:tcPr>
          <w:p w14:paraId="3B8FF1F3"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 Yeni Quiñones </w:t>
            </w:r>
          </w:p>
        </w:tc>
      </w:tr>
      <w:tr w:rsidR="003738B9" w:rsidRPr="00420548" w14:paraId="141D5A83" w14:textId="77777777" w:rsidTr="001B371F">
        <w:trPr>
          <w:trHeight w:val="300"/>
        </w:trPr>
        <w:tc>
          <w:tcPr>
            <w:tcW w:w="1180" w:type="dxa"/>
            <w:tcBorders>
              <w:top w:val="nil"/>
              <w:left w:val="nil"/>
              <w:bottom w:val="nil"/>
              <w:right w:val="nil"/>
            </w:tcBorders>
            <w:shd w:val="clear" w:color="auto" w:fill="auto"/>
            <w:noWrap/>
            <w:hideMark/>
          </w:tcPr>
          <w:p w14:paraId="22009498"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8</w:t>
            </w:r>
          </w:p>
        </w:tc>
        <w:tc>
          <w:tcPr>
            <w:tcW w:w="695" w:type="dxa"/>
            <w:tcBorders>
              <w:top w:val="nil"/>
              <w:left w:val="nil"/>
              <w:bottom w:val="nil"/>
              <w:right w:val="nil"/>
            </w:tcBorders>
            <w:shd w:val="clear" w:color="auto" w:fill="auto"/>
            <w:noWrap/>
            <w:hideMark/>
          </w:tcPr>
          <w:p w14:paraId="0B5142E5"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81</w:t>
            </w:r>
          </w:p>
        </w:tc>
        <w:tc>
          <w:tcPr>
            <w:tcW w:w="6347" w:type="dxa"/>
            <w:tcBorders>
              <w:top w:val="nil"/>
              <w:left w:val="nil"/>
              <w:bottom w:val="nil"/>
              <w:right w:val="nil"/>
            </w:tcBorders>
            <w:shd w:val="clear" w:color="auto" w:fill="auto"/>
            <w:noWrap/>
            <w:hideMark/>
          </w:tcPr>
          <w:p w14:paraId="477FFD18"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la Esperanza </w:t>
            </w:r>
          </w:p>
        </w:tc>
      </w:tr>
      <w:tr w:rsidR="003738B9" w:rsidRPr="00420548" w14:paraId="20B6D048" w14:textId="77777777" w:rsidTr="001B371F">
        <w:trPr>
          <w:trHeight w:val="300"/>
        </w:trPr>
        <w:tc>
          <w:tcPr>
            <w:tcW w:w="1180" w:type="dxa"/>
            <w:tcBorders>
              <w:top w:val="nil"/>
              <w:left w:val="nil"/>
              <w:bottom w:val="nil"/>
              <w:right w:val="nil"/>
            </w:tcBorders>
            <w:shd w:val="clear" w:color="auto" w:fill="auto"/>
            <w:noWrap/>
            <w:hideMark/>
          </w:tcPr>
          <w:p w14:paraId="4526106E"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9</w:t>
            </w:r>
          </w:p>
        </w:tc>
        <w:tc>
          <w:tcPr>
            <w:tcW w:w="695" w:type="dxa"/>
            <w:tcBorders>
              <w:top w:val="nil"/>
              <w:left w:val="nil"/>
              <w:bottom w:val="nil"/>
              <w:right w:val="nil"/>
            </w:tcBorders>
            <w:shd w:val="clear" w:color="auto" w:fill="auto"/>
            <w:noWrap/>
            <w:hideMark/>
          </w:tcPr>
          <w:p w14:paraId="605138AE"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83</w:t>
            </w:r>
          </w:p>
        </w:tc>
        <w:tc>
          <w:tcPr>
            <w:tcW w:w="6347" w:type="dxa"/>
            <w:tcBorders>
              <w:top w:val="nil"/>
              <w:left w:val="nil"/>
              <w:bottom w:val="nil"/>
              <w:right w:val="nil"/>
            </w:tcBorders>
            <w:shd w:val="clear" w:color="auto" w:fill="auto"/>
            <w:noWrap/>
            <w:hideMark/>
          </w:tcPr>
          <w:p w14:paraId="26F85A8E"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Comunidad Macayuca (aprox 125 personas) </w:t>
            </w:r>
          </w:p>
        </w:tc>
      </w:tr>
      <w:tr w:rsidR="003738B9" w:rsidRPr="00420548" w14:paraId="2A647031" w14:textId="77777777" w:rsidTr="001B371F">
        <w:trPr>
          <w:trHeight w:val="300"/>
        </w:trPr>
        <w:tc>
          <w:tcPr>
            <w:tcW w:w="1180" w:type="dxa"/>
            <w:tcBorders>
              <w:top w:val="nil"/>
              <w:left w:val="nil"/>
              <w:bottom w:val="nil"/>
              <w:right w:val="nil"/>
            </w:tcBorders>
            <w:shd w:val="clear" w:color="auto" w:fill="auto"/>
            <w:noWrap/>
            <w:hideMark/>
          </w:tcPr>
          <w:p w14:paraId="206113B4"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10</w:t>
            </w:r>
          </w:p>
        </w:tc>
        <w:tc>
          <w:tcPr>
            <w:tcW w:w="695" w:type="dxa"/>
            <w:tcBorders>
              <w:top w:val="nil"/>
              <w:left w:val="nil"/>
              <w:bottom w:val="nil"/>
              <w:right w:val="nil"/>
            </w:tcBorders>
            <w:shd w:val="clear" w:color="auto" w:fill="auto"/>
            <w:noWrap/>
            <w:hideMark/>
          </w:tcPr>
          <w:p w14:paraId="473DA70C"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99</w:t>
            </w:r>
          </w:p>
        </w:tc>
        <w:tc>
          <w:tcPr>
            <w:tcW w:w="6347" w:type="dxa"/>
            <w:tcBorders>
              <w:top w:val="nil"/>
              <w:left w:val="nil"/>
              <w:bottom w:val="nil"/>
              <w:right w:val="nil"/>
            </w:tcBorders>
            <w:shd w:val="clear" w:color="auto" w:fill="auto"/>
            <w:noWrap/>
            <w:hideMark/>
          </w:tcPr>
          <w:p w14:paraId="233E5C37"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Comunidad Ceima San Pablo (aprox 85 personas) </w:t>
            </w:r>
          </w:p>
        </w:tc>
      </w:tr>
      <w:tr w:rsidR="003738B9" w:rsidRPr="00420548" w14:paraId="7811009D" w14:textId="77777777" w:rsidTr="001B371F">
        <w:trPr>
          <w:trHeight w:val="300"/>
        </w:trPr>
        <w:tc>
          <w:tcPr>
            <w:tcW w:w="1180" w:type="dxa"/>
            <w:tcBorders>
              <w:top w:val="nil"/>
              <w:left w:val="nil"/>
              <w:bottom w:val="nil"/>
              <w:right w:val="nil"/>
            </w:tcBorders>
            <w:shd w:val="clear" w:color="auto" w:fill="auto"/>
            <w:noWrap/>
            <w:hideMark/>
          </w:tcPr>
          <w:p w14:paraId="6A30C2D8"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11</w:t>
            </w:r>
          </w:p>
        </w:tc>
        <w:tc>
          <w:tcPr>
            <w:tcW w:w="695" w:type="dxa"/>
            <w:tcBorders>
              <w:top w:val="nil"/>
              <w:left w:val="nil"/>
              <w:bottom w:val="nil"/>
              <w:right w:val="nil"/>
            </w:tcBorders>
            <w:shd w:val="clear" w:color="auto" w:fill="auto"/>
            <w:noWrap/>
            <w:hideMark/>
          </w:tcPr>
          <w:p w14:paraId="6BAFB767"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104</w:t>
            </w:r>
          </w:p>
        </w:tc>
        <w:tc>
          <w:tcPr>
            <w:tcW w:w="6347" w:type="dxa"/>
            <w:tcBorders>
              <w:top w:val="nil"/>
              <w:left w:val="nil"/>
              <w:bottom w:val="nil"/>
              <w:right w:val="nil"/>
            </w:tcBorders>
            <w:shd w:val="clear" w:color="auto" w:fill="auto"/>
            <w:noWrap/>
            <w:hideMark/>
          </w:tcPr>
          <w:p w14:paraId="4F1BC994"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Granja Departamental </w:t>
            </w:r>
          </w:p>
        </w:tc>
      </w:tr>
      <w:tr w:rsidR="003738B9" w:rsidRPr="00420548" w14:paraId="23382EFC" w14:textId="77777777" w:rsidTr="001B371F">
        <w:trPr>
          <w:trHeight w:val="300"/>
        </w:trPr>
        <w:tc>
          <w:tcPr>
            <w:tcW w:w="1180" w:type="dxa"/>
            <w:tcBorders>
              <w:top w:val="nil"/>
              <w:left w:val="nil"/>
              <w:bottom w:val="nil"/>
              <w:right w:val="nil"/>
            </w:tcBorders>
            <w:shd w:val="clear" w:color="auto" w:fill="auto"/>
            <w:noWrap/>
            <w:hideMark/>
          </w:tcPr>
          <w:p w14:paraId="3F517CAC"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12</w:t>
            </w:r>
          </w:p>
        </w:tc>
        <w:tc>
          <w:tcPr>
            <w:tcW w:w="695" w:type="dxa"/>
            <w:tcBorders>
              <w:top w:val="nil"/>
              <w:left w:val="nil"/>
              <w:bottom w:val="nil"/>
              <w:right w:val="nil"/>
            </w:tcBorders>
            <w:shd w:val="clear" w:color="auto" w:fill="auto"/>
            <w:noWrap/>
            <w:hideMark/>
          </w:tcPr>
          <w:p w14:paraId="3428B338"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107</w:t>
            </w:r>
          </w:p>
        </w:tc>
        <w:tc>
          <w:tcPr>
            <w:tcW w:w="6347" w:type="dxa"/>
            <w:tcBorders>
              <w:top w:val="nil"/>
              <w:left w:val="nil"/>
              <w:bottom w:val="nil"/>
              <w:right w:val="nil"/>
            </w:tcBorders>
            <w:shd w:val="clear" w:color="auto" w:fill="auto"/>
            <w:noWrap/>
            <w:hideMark/>
          </w:tcPr>
          <w:p w14:paraId="187031EE"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 Guadencio Braga </w:t>
            </w:r>
          </w:p>
        </w:tc>
      </w:tr>
      <w:tr w:rsidR="003738B9" w:rsidRPr="00420548" w14:paraId="36635AB6" w14:textId="77777777" w:rsidTr="001B371F">
        <w:trPr>
          <w:trHeight w:val="300"/>
        </w:trPr>
        <w:tc>
          <w:tcPr>
            <w:tcW w:w="1180" w:type="dxa"/>
            <w:tcBorders>
              <w:top w:val="nil"/>
              <w:left w:val="nil"/>
              <w:bottom w:val="nil"/>
              <w:right w:val="nil"/>
            </w:tcBorders>
            <w:shd w:val="clear" w:color="auto" w:fill="auto"/>
            <w:noWrap/>
            <w:hideMark/>
          </w:tcPr>
          <w:p w14:paraId="3D6F43E0"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13</w:t>
            </w:r>
          </w:p>
        </w:tc>
        <w:tc>
          <w:tcPr>
            <w:tcW w:w="695" w:type="dxa"/>
            <w:tcBorders>
              <w:top w:val="nil"/>
              <w:left w:val="nil"/>
              <w:bottom w:val="nil"/>
              <w:right w:val="nil"/>
            </w:tcBorders>
            <w:shd w:val="clear" w:color="auto" w:fill="auto"/>
            <w:noWrap/>
            <w:hideMark/>
          </w:tcPr>
          <w:p w14:paraId="708BC968"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109</w:t>
            </w:r>
          </w:p>
        </w:tc>
        <w:tc>
          <w:tcPr>
            <w:tcW w:w="6347" w:type="dxa"/>
            <w:tcBorders>
              <w:top w:val="nil"/>
              <w:left w:val="nil"/>
              <w:bottom w:val="nil"/>
              <w:right w:val="nil"/>
            </w:tcBorders>
            <w:shd w:val="clear" w:color="auto" w:fill="auto"/>
            <w:noWrap/>
            <w:hideMark/>
          </w:tcPr>
          <w:p w14:paraId="3DBA7D3D"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Anival </w:t>
            </w:r>
          </w:p>
        </w:tc>
      </w:tr>
      <w:tr w:rsidR="003738B9" w:rsidRPr="00420548" w14:paraId="26E26D2F" w14:textId="77777777" w:rsidTr="001B371F">
        <w:trPr>
          <w:trHeight w:val="300"/>
        </w:trPr>
        <w:tc>
          <w:tcPr>
            <w:tcW w:w="1180" w:type="dxa"/>
            <w:tcBorders>
              <w:top w:val="nil"/>
              <w:left w:val="nil"/>
              <w:bottom w:val="nil"/>
              <w:right w:val="nil"/>
            </w:tcBorders>
            <w:shd w:val="clear" w:color="auto" w:fill="auto"/>
            <w:noWrap/>
            <w:hideMark/>
          </w:tcPr>
          <w:p w14:paraId="1C9BD1E2"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14</w:t>
            </w:r>
          </w:p>
        </w:tc>
        <w:tc>
          <w:tcPr>
            <w:tcW w:w="695" w:type="dxa"/>
            <w:tcBorders>
              <w:top w:val="nil"/>
              <w:left w:val="nil"/>
              <w:bottom w:val="nil"/>
              <w:right w:val="nil"/>
            </w:tcBorders>
            <w:shd w:val="clear" w:color="auto" w:fill="auto"/>
            <w:noWrap/>
            <w:hideMark/>
          </w:tcPr>
          <w:p w14:paraId="20CF95CF"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110</w:t>
            </w:r>
          </w:p>
        </w:tc>
        <w:tc>
          <w:tcPr>
            <w:tcW w:w="6347" w:type="dxa"/>
            <w:tcBorders>
              <w:top w:val="nil"/>
              <w:left w:val="nil"/>
              <w:bottom w:val="nil"/>
              <w:right w:val="nil"/>
            </w:tcBorders>
            <w:shd w:val="clear" w:color="auto" w:fill="auto"/>
            <w:noWrap/>
            <w:hideMark/>
          </w:tcPr>
          <w:p w14:paraId="56B2DD58"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 Jesús Hica </w:t>
            </w:r>
          </w:p>
        </w:tc>
      </w:tr>
      <w:tr w:rsidR="003738B9" w:rsidRPr="00420548" w14:paraId="34F35495" w14:textId="77777777" w:rsidTr="001B371F">
        <w:trPr>
          <w:trHeight w:val="300"/>
        </w:trPr>
        <w:tc>
          <w:tcPr>
            <w:tcW w:w="1180" w:type="dxa"/>
            <w:tcBorders>
              <w:top w:val="nil"/>
              <w:left w:val="nil"/>
              <w:bottom w:val="nil"/>
              <w:right w:val="nil"/>
            </w:tcBorders>
            <w:shd w:val="clear" w:color="auto" w:fill="auto"/>
            <w:noWrap/>
            <w:hideMark/>
          </w:tcPr>
          <w:p w14:paraId="57837359"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15</w:t>
            </w:r>
          </w:p>
        </w:tc>
        <w:tc>
          <w:tcPr>
            <w:tcW w:w="695" w:type="dxa"/>
            <w:tcBorders>
              <w:top w:val="nil"/>
              <w:left w:val="nil"/>
              <w:bottom w:val="nil"/>
              <w:right w:val="nil"/>
            </w:tcBorders>
            <w:shd w:val="clear" w:color="auto" w:fill="auto"/>
            <w:noWrap/>
            <w:hideMark/>
          </w:tcPr>
          <w:p w14:paraId="68ECFDEA"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111</w:t>
            </w:r>
          </w:p>
        </w:tc>
        <w:tc>
          <w:tcPr>
            <w:tcW w:w="6347" w:type="dxa"/>
            <w:tcBorders>
              <w:top w:val="nil"/>
              <w:left w:val="nil"/>
              <w:bottom w:val="nil"/>
              <w:right w:val="nil"/>
            </w:tcBorders>
            <w:shd w:val="clear" w:color="auto" w:fill="auto"/>
            <w:noWrap/>
            <w:hideMark/>
          </w:tcPr>
          <w:p w14:paraId="66D5D904"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del Mono Nieto </w:t>
            </w:r>
          </w:p>
        </w:tc>
      </w:tr>
      <w:tr w:rsidR="003738B9" w:rsidRPr="00420548" w14:paraId="32F55951" w14:textId="77777777" w:rsidTr="001B371F">
        <w:trPr>
          <w:trHeight w:val="300"/>
        </w:trPr>
        <w:tc>
          <w:tcPr>
            <w:tcW w:w="1180" w:type="dxa"/>
            <w:tcBorders>
              <w:top w:val="nil"/>
              <w:left w:val="nil"/>
              <w:bottom w:val="nil"/>
              <w:right w:val="nil"/>
            </w:tcBorders>
            <w:shd w:val="clear" w:color="auto" w:fill="auto"/>
            <w:noWrap/>
            <w:hideMark/>
          </w:tcPr>
          <w:p w14:paraId="7600A1B5"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16</w:t>
            </w:r>
          </w:p>
        </w:tc>
        <w:tc>
          <w:tcPr>
            <w:tcW w:w="695" w:type="dxa"/>
            <w:tcBorders>
              <w:top w:val="nil"/>
              <w:left w:val="nil"/>
              <w:bottom w:val="nil"/>
              <w:right w:val="nil"/>
            </w:tcBorders>
            <w:shd w:val="clear" w:color="auto" w:fill="auto"/>
            <w:noWrap/>
            <w:hideMark/>
          </w:tcPr>
          <w:p w14:paraId="114884D5"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114</w:t>
            </w:r>
          </w:p>
        </w:tc>
        <w:tc>
          <w:tcPr>
            <w:tcW w:w="6347" w:type="dxa"/>
            <w:tcBorders>
              <w:top w:val="nil"/>
              <w:left w:val="nil"/>
              <w:bottom w:val="nil"/>
              <w:right w:val="nil"/>
            </w:tcBorders>
            <w:shd w:val="clear" w:color="auto" w:fill="auto"/>
            <w:noWrap/>
            <w:hideMark/>
          </w:tcPr>
          <w:p w14:paraId="261C9E65"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 Jesús Chica </w:t>
            </w:r>
          </w:p>
        </w:tc>
      </w:tr>
      <w:tr w:rsidR="003738B9" w:rsidRPr="00420548" w14:paraId="1B06FD58" w14:textId="77777777" w:rsidTr="001B371F">
        <w:trPr>
          <w:trHeight w:val="300"/>
        </w:trPr>
        <w:tc>
          <w:tcPr>
            <w:tcW w:w="1180" w:type="dxa"/>
            <w:tcBorders>
              <w:top w:val="nil"/>
              <w:left w:val="nil"/>
              <w:bottom w:val="nil"/>
              <w:right w:val="nil"/>
            </w:tcBorders>
            <w:shd w:val="clear" w:color="auto" w:fill="auto"/>
            <w:noWrap/>
            <w:hideMark/>
          </w:tcPr>
          <w:p w14:paraId="09703CFD"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17</w:t>
            </w:r>
          </w:p>
        </w:tc>
        <w:tc>
          <w:tcPr>
            <w:tcW w:w="695" w:type="dxa"/>
            <w:tcBorders>
              <w:top w:val="nil"/>
              <w:left w:val="nil"/>
              <w:bottom w:val="nil"/>
              <w:right w:val="nil"/>
            </w:tcBorders>
            <w:shd w:val="clear" w:color="auto" w:fill="auto"/>
            <w:noWrap/>
            <w:hideMark/>
          </w:tcPr>
          <w:p w14:paraId="31E0711B"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117</w:t>
            </w:r>
          </w:p>
        </w:tc>
        <w:tc>
          <w:tcPr>
            <w:tcW w:w="6347" w:type="dxa"/>
            <w:tcBorders>
              <w:top w:val="nil"/>
              <w:left w:val="nil"/>
              <w:bottom w:val="nil"/>
              <w:right w:val="nil"/>
            </w:tcBorders>
            <w:shd w:val="clear" w:color="auto" w:fill="auto"/>
            <w:noWrap/>
            <w:hideMark/>
          </w:tcPr>
          <w:p w14:paraId="0A5FDF52"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Derivación doble sirve a Comunidad Villa Pinzón y la finca del progenitor del Exgobernador Roberto Jaramillo </w:t>
            </w:r>
          </w:p>
        </w:tc>
      </w:tr>
      <w:tr w:rsidR="003738B9" w:rsidRPr="00420548" w14:paraId="0A2BD2A4" w14:textId="77777777" w:rsidTr="001B371F">
        <w:trPr>
          <w:trHeight w:val="300"/>
        </w:trPr>
        <w:tc>
          <w:tcPr>
            <w:tcW w:w="1180" w:type="dxa"/>
            <w:tcBorders>
              <w:top w:val="nil"/>
              <w:left w:val="nil"/>
              <w:bottom w:val="nil"/>
              <w:right w:val="nil"/>
            </w:tcBorders>
            <w:shd w:val="clear" w:color="auto" w:fill="auto"/>
            <w:noWrap/>
            <w:hideMark/>
          </w:tcPr>
          <w:p w14:paraId="7631E76A"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18</w:t>
            </w:r>
          </w:p>
        </w:tc>
        <w:tc>
          <w:tcPr>
            <w:tcW w:w="695" w:type="dxa"/>
            <w:tcBorders>
              <w:top w:val="nil"/>
              <w:left w:val="nil"/>
              <w:bottom w:val="nil"/>
              <w:right w:val="nil"/>
            </w:tcBorders>
            <w:shd w:val="clear" w:color="auto" w:fill="auto"/>
            <w:noWrap/>
            <w:hideMark/>
          </w:tcPr>
          <w:p w14:paraId="7387D487"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119</w:t>
            </w:r>
          </w:p>
        </w:tc>
        <w:tc>
          <w:tcPr>
            <w:tcW w:w="6347" w:type="dxa"/>
            <w:tcBorders>
              <w:top w:val="nil"/>
              <w:left w:val="nil"/>
              <w:bottom w:val="nil"/>
              <w:right w:val="nil"/>
            </w:tcBorders>
            <w:shd w:val="clear" w:color="auto" w:fill="auto"/>
            <w:noWrap/>
            <w:hideMark/>
          </w:tcPr>
          <w:p w14:paraId="3CF1252C"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 los Cras </w:t>
            </w:r>
          </w:p>
        </w:tc>
      </w:tr>
      <w:tr w:rsidR="003738B9" w:rsidRPr="00420548" w14:paraId="0A95AA43" w14:textId="77777777" w:rsidTr="001B371F">
        <w:trPr>
          <w:trHeight w:val="300"/>
        </w:trPr>
        <w:tc>
          <w:tcPr>
            <w:tcW w:w="1180" w:type="dxa"/>
            <w:tcBorders>
              <w:top w:val="nil"/>
              <w:left w:val="nil"/>
              <w:bottom w:val="nil"/>
              <w:right w:val="nil"/>
            </w:tcBorders>
            <w:shd w:val="clear" w:color="auto" w:fill="auto"/>
            <w:noWrap/>
            <w:hideMark/>
          </w:tcPr>
          <w:p w14:paraId="4E3CA642"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19</w:t>
            </w:r>
          </w:p>
        </w:tc>
        <w:tc>
          <w:tcPr>
            <w:tcW w:w="695" w:type="dxa"/>
            <w:tcBorders>
              <w:top w:val="nil"/>
              <w:left w:val="nil"/>
              <w:bottom w:val="nil"/>
              <w:right w:val="nil"/>
            </w:tcBorders>
            <w:shd w:val="clear" w:color="auto" w:fill="auto"/>
            <w:noWrap/>
            <w:hideMark/>
          </w:tcPr>
          <w:p w14:paraId="07C3132A"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122</w:t>
            </w:r>
          </w:p>
        </w:tc>
        <w:tc>
          <w:tcPr>
            <w:tcW w:w="6347" w:type="dxa"/>
            <w:tcBorders>
              <w:top w:val="nil"/>
              <w:left w:val="nil"/>
              <w:bottom w:val="nil"/>
              <w:right w:val="nil"/>
            </w:tcBorders>
            <w:shd w:val="clear" w:color="auto" w:fill="auto"/>
            <w:noWrap/>
            <w:hideMark/>
          </w:tcPr>
          <w:p w14:paraId="61C2D5EC"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Finca de Don Luis </w:t>
            </w:r>
          </w:p>
        </w:tc>
      </w:tr>
      <w:tr w:rsidR="003738B9" w:rsidRPr="00420548" w14:paraId="34FF8ECB" w14:textId="77777777" w:rsidTr="001B371F">
        <w:trPr>
          <w:trHeight w:val="300"/>
        </w:trPr>
        <w:tc>
          <w:tcPr>
            <w:tcW w:w="1180" w:type="dxa"/>
            <w:tcBorders>
              <w:top w:val="nil"/>
              <w:left w:val="nil"/>
              <w:bottom w:val="nil"/>
              <w:right w:val="nil"/>
            </w:tcBorders>
            <w:shd w:val="clear" w:color="auto" w:fill="auto"/>
            <w:noWrap/>
            <w:hideMark/>
          </w:tcPr>
          <w:p w14:paraId="2AB1728E"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20</w:t>
            </w:r>
          </w:p>
        </w:tc>
        <w:tc>
          <w:tcPr>
            <w:tcW w:w="695" w:type="dxa"/>
            <w:tcBorders>
              <w:top w:val="nil"/>
              <w:left w:val="nil"/>
              <w:bottom w:val="nil"/>
              <w:right w:val="nil"/>
            </w:tcBorders>
            <w:shd w:val="clear" w:color="auto" w:fill="auto"/>
            <w:noWrap/>
            <w:hideMark/>
          </w:tcPr>
          <w:p w14:paraId="74847D7C" w14:textId="77777777" w:rsidR="003738B9" w:rsidRPr="00420548" w:rsidRDefault="003738B9" w:rsidP="009E7133">
            <w:pPr>
              <w:jc w:val="center"/>
              <w:rPr>
                <w:rFonts w:ascii="Bookman Old Style" w:hAnsi="Bookman Old Style"/>
                <w:i/>
                <w:iCs/>
                <w:color w:val="000000"/>
                <w:sz w:val="20"/>
                <w:szCs w:val="20"/>
              </w:rPr>
            </w:pPr>
            <w:r w:rsidRPr="00420548">
              <w:rPr>
                <w:rFonts w:ascii="Bookman Old Style" w:hAnsi="Bookman Old Style"/>
                <w:i/>
                <w:iCs/>
                <w:color w:val="000000"/>
                <w:sz w:val="20"/>
                <w:szCs w:val="20"/>
              </w:rPr>
              <w:t>130</w:t>
            </w:r>
          </w:p>
        </w:tc>
        <w:tc>
          <w:tcPr>
            <w:tcW w:w="6347" w:type="dxa"/>
            <w:tcBorders>
              <w:top w:val="nil"/>
              <w:left w:val="nil"/>
              <w:bottom w:val="nil"/>
              <w:right w:val="nil"/>
            </w:tcBorders>
            <w:shd w:val="clear" w:color="auto" w:fill="auto"/>
            <w:noWrap/>
            <w:hideMark/>
          </w:tcPr>
          <w:p w14:paraId="19CEFE54" w14:textId="77777777" w:rsidR="003738B9" w:rsidRPr="00420548" w:rsidRDefault="003738B9" w:rsidP="00420548">
            <w:pPr>
              <w:jc w:val="both"/>
              <w:rPr>
                <w:rFonts w:ascii="Bookman Old Style" w:hAnsi="Bookman Old Style"/>
                <w:i/>
                <w:iCs/>
                <w:color w:val="000000"/>
                <w:sz w:val="20"/>
                <w:szCs w:val="20"/>
              </w:rPr>
            </w:pPr>
            <w:r w:rsidRPr="00420548">
              <w:rPr>
                <w:rFonts w:ascii="Bookman Old Style" w:hAnsi="Bookman Old Style"/>
                <w:i/>
                <w:iCs/>
                <w:color w:val="000000"/>
                <w:sz w:val="20"/>
                <w:szCs w:val="20"/>
              </w:rPr>
              <w:t xml:space="preserve">Comunidad Yararaca </w:t>
            </w:r>
          </w:p>
        </w:tc>
      </w:tr>
    </w:tbl>
    <w:p w14:paraId="5F747FC1" w14:textId="77777777" w:rsidR="004C1175" w:rsidRDefault="004C1175" w:rsidP="004C1175">
      <w:pPr>
        <w:ind w:left="709"/>
        <w:contextualSpacing/>
        <w:jc w:val="both"/>
        <w:rPr>
          <w:rFonts w:ascii="Bookman Old Style" w:hAnsi="Bookman Old Style" w:cs="Arial"/>
          <w:i/>
          <w:iCs/>
          <w:sz w:val="20"/>
          <w:szCs w:val="20"/>
        </w:rPr>
      </w:pPr>
    </w:p>
    <w:p w14:paraId="65D50A4F" w14:textId="5167B646" w:rsidR="00E3338F" w:rsidRPr="00F839B8" w:rsidRDefault="00F203B4" w:rsidP="0027455C">
      <w:pPr>
        <w:ind w:left="567"/>
        <w:contextualSpacing/>
        <w:jc w:val="both"/>
        <w:rPr>
          <w:rFonts w:ascii="Bookman Old Style" w:hAnsi="Bookman Old Style" w:cs="Arial"/>
          <w:i/>
          <w:iCs/>
          <w:sz w:val="20"/>
          <w:szCs w:val="20"/>
        </w:rPr>
      </w:pPr>
      <w:r w:rsidRPr="00F203B4">
        <w:rPr>
          <w:rFonts w:ascii="Bookman Old Style" w:hAnsi="Bookman Old Style" w:cs="Arial"/>
          <w:i/>
          <w:iCs/>
          <w:sz w:val="20"/>
          <w:szCs w:val="20"/>
        </w:rPr>
        <w:t>Se adjunta para mayor claridad de la Comisión evidencia fotográfica de las derivaciones que presenta la mencionada línea y se hace notar que dichas derivaciones fueron realizadas profesionalmente y conllevan poste de cemento de 12 mts, transformador, cruceta, aisladores, cañuela y cables de alta, lo que las hace por lo menos si no consentidas muy difíciles de desconocer.</w:t>
      </w:r>
      <w:r w:rsidR="00E12D8A">
        <w:rPr>
          <w:rFonts w:ascii="Bookman Old Style" w:hAnsi="Bookman Old Style" w:cs="Arial"/>
          <w:i/>
          <w:iCs/>
          <w:sz w:val="20"/>
          <w:szCs w:val="20"/>
        </w:rPr>
        <w:t xml:space="preserve"> (…)”</w:t>
      </w:r>
    </w:p>
    <w:p w14:paraId="32DC59CF" w14:textId="77777777" w:rsidR="00345AEF" w:rsidRDefault="00345AEF" w:rsidP="00E57F55">
      <w:pPr>
        <w:ind w:left="284"/>
        <w:contextualSpacing/>
        <w:jc w:val="both"/>
        <w:rPr>
          <w:rFonts w:ascii="Bookman Old Style" w:hAnsi="Bookman Old Style" w:cs="Arial"/>
        </w:rPr>
      </w:pPr>
    </w:p>
    <w:p w14:paraId="7E9BCEA6" w14:textId="6CCEFA40" w:rsidR="00345AEF" w:rsidRDefault="002D2A4F" w:rsidP="00E57F55">
      <w:pPr>
        <w:ind w:left="284"/>
        <w:contextualSpacing/>
        <w:jc w:val="both"/>
        <w:rPr>
          <w:rFonts w:ascii="Bookman Old Style" w:hAnsi="Bookman Old Style" w:cs="Arial"/>
        </w:rPr>
      </w:pPr>
      <w:r>
        <w:rPr>
          <w:rFonts w:ascii="Bookman Old Style" w:hAnsi="Bookman Old Style" w:cs="Arial"/>
        </w:rPr>
        <w:t>Da</w:t>
      </w:r>
      <w:r w:rsidR="0088746D">
        <w:rPr>
          <w:rFonts w:ascii="Bookman Old Style" w:hAnsi="Bookman Old Style" w:cs="Arial"/>
        </w:rPr>
        <w:t>das las respuesta</w:t>
      </w:r>
      <w:r w:rsidR="0063280E">
        <w:rPr>
          <w:rFonts w:ascii="Bookman Old Style" w:hAnsi="Bookman Old Style" w:cs="Arial"/>
        </w:rPr>
        <w:t>s</w:t>
      </w:r>
      <w:r w:rsidR="0088746D">
        <w:rPr>
          <w:rFonts w:ascii="Bookman Old Style" w:hAnsi="Bookman Old Style" w:cs="Arial"/>
        </w:rPr>
        <w:t xml:space="preserve"> al anterior Auto de pruebas y los comentarios remitidos por DUE, la CREG </w:t>
      </w:r>
      <w:r w:rsidR="0088746D" w:rsidRPr="0ECC7FE6">
        <w:rPr>
          <w:rFonts w:ascii="Bookman Old Style" w:hAnsi="Bookman Old Style" w:cs="Arial"/>
        </w:rPr>
        <w:t>expidió un</w:t>
      </w:r>
      <w:r w:rsidR="0063280E">
        <w:rPr>
          <w:rFonts w:ascii="Bookman Old Style" w:hAnsi="Bookman Old Style" w:cs="Arial"/>
        </w:rPr>
        <w:t xml:space="preserve"> nuevo Auto de pruebas con radicado</w:t>
      </w:r>
      <w:r w:rsidR="00CF5BA6">
        <w:rPr>
          <w:rFonts w:ascii="Bookman Old Style" w:hAnsi="Bookman Old Style" w:cs="Arial"/>
        </w:rPr>
        <w:t xml:space="preserve"> </w:t>
      </w:r>
      <w:r w:rsidR="0063280E">
        <w:rPr>
          <w:rFonts w:ascii="Bookman Old Style" w:hAnsi="Bookman Old Style" w:cs="Arial"/>
        </w:rPr>
        <w:t xml:space="preserve">I-2020-001936, en </w:t>
      </w:r>
      <w:r w:rsidR="0063280E" w:rsidRPr="0ECC7FE6">
        <w:rPr>
          <w:rFonts w:ascii="Bookman Old Style" w:hAnsi="Bookman Old Style" w:cs="Arial"/>
        </w:rPr>
        <w:t>el</w:t>
      </w:r>
      <w:r w:rsidR="0063280E">
        <w:rPr>
          <w:rFonts w:ascii="Bookman Old Style" w:hAnsi="Bookman Old Style" w:cs="Arial"/>
        </w:rPr>
        <w:t xml:space="preserve"> que se requiere nuevamente a GENSA y </w:t>
      </w:r>
      <w:r w:rsidR="0063280E" w:rsidRPr="0ECC7FE6">
        <w:rPr>
          <w:rFonts w:ascii="Bookman Old Style" w:hAnsi="Bookman Old Style" w:cs="Arial"/>
        </w:rPr>
        <w:t xml:space="preserve">a </w:t>
      </w:r>
      <w:r w:rsidR="0063280E">
        <w:rPr>
          <w:rFonts w:ascii="Bookman Old Style" w:hAnsi="Bookman Old Style" w:cs="Arial"/>
        </w:rPr>
        <w:t>la Gobernación del Vaupés en los siguientes términos:</w:t>
      </w:r>
    </w:p>
    <w:p w14:paraId="020AFE11" w14:textId="77777777" w:rsidR="0063280E" w:rsidRDefault="0063280E" w:rsidP="00E57F55">
      <w:pPr>
        <w:ind w:left="284"/>
        <w:contextualSpacing/>
        <w:jc w:val="both"/>
        <w:rPr>
          <w:rFonts w:ascii="Bookman Old Style" w:hAnsi="Bookman Old Style" w:cs="Arial"/>
        </w:rPr>
      </w:pPr>
    </w:p>
    <w:p w14:paraId="40CB3D70" w14:textId="77777777" w:rsidR="006E2A38" w:rsidRPr="003F768A" w:rsidRDefault="006E2A38" w:rsidP="0027455C">
      <w:pPr>
        <w:ind w:left="567"/>
        <w:contextualSpacing/>
        <w:jc w:val="both"/>
        <w:rPr>
          <w:rFonts w:ascii="Bookman Old Style" w:hAnsi="Bookman Old Style" w:cs="Arial"/>
        </w:rPr>
      </w:pPr>
      <w:r w:rsidRPr="0ECC7FE6">
        <w:rPr>
          <w:rFonts w:ascii="Bookman Old Style" w:hAnsi="Bookman Old Style" w:cs="Arial"/>
        </w:rPr>
        <w:t>A GENSA:</w:t>
      </w:r>
    </w:p>
    <w:p w14:paraId="5000D425" w14:textId="77777777" w:rsidR="006E2A38" w:rsidRDefault="006E2A38" w:rsidP="0027455C">
      <w:pPr>
        <w:ind w:left="567"/>
        <w:contextualSpacing/>
        <w:jc w:val="both"/>
        <w:rPr>
          <w:rFonts w:ascii="Bookman Old Style" w:hAnsi="Bookman Old Style" w:cs="Arial"/>
          <w:i/>
          <w:iCs/>
          <w:sz w:val="20"/>
          <w:szCs w:val="20"/>
        </w:rPr>
      </w:pPr>
    </w:p>
    <w:p w14:paraId="1A541A16" w14:textId="38A5DF5A" w:rsidR="00346E05" w:rsidRDefault="006E2A38" w:rsidP="0027455C">
      <w:pPr>
        <w:ind w:left="567"/>
        <w:contextualSpacing/>
        <w:jc w:val="both"/>
        <w:rPr>
          <w:rFonts w:ascii="Bookman Old Style" w:hAnsi="Bookman Old Style" w:cs="Arial"/>
          <w:i/>
          <w:iCs/>
          <w:sz w:val="20"/>
          <w:szCs w:val="20"/>
        </w:rPr>
      </w:pPr>
      <w:r>
        <w:rPr>
          <w:rFonts w:ascii="Bookman Old Style" w:hAnsi="Bookman Old Style" w:cs="Arial"/>
          <w:i/>
          <w:iCs/>
          <w:sz w:val="20"/>
          <w:szCs w:val="20"/>
        </w:rPr>
        <w:t>“(…)</w:t>
      </w:r>
      <w:r w:rsidRPr="00355214">
        <w:rPr>
          <w:rFonts w:ascii="Bookman Old Style" w:hAnsi="Bookman Old Style" w:cs="Arial"/>
          <w:i/>
          <w:iCs/>
          <w:sz w:val="20"/>
          <w:szCs w:val="20"/>
        </w:rPr>
        <w:t xml:space="preserve"> </w:t>
      </w:r>
      <w:r w:rsidR="00346E05">
        <w:rPr>
          <w:rFonts w:ascii="Calibri" w:eastAsia="Bookman Old Style" w:hAnsi="Calibri" w:cs="Bookman Old Style"/>
          <w:i/>
          <w:iCs/>
          <w:sz w:val="20"/>
          <w:szCs w:val="20"/>
        </w:rPr>
        <w:t>•</w:t>
      </w:r>
      <w:r w:rsidR="00346E05">
        <w:rPr>
          <w:rFonts w:ascii="Bookman Old Style" w:eastAsia="Bookman Old Style" w:hAnsi="Bookman Old Style" w:cs="Bookman Old Style"/>
          <w:i/>
          <w:iCs/>
          <w:sz w:val="20"/>
          <w:szCs w:val="20"/>
        </w:rPr>
        <w:t xml:space="preserve"> </w:t>
      </w:r>
      <w:r w:rsidR="00346E05" w:rsidRPr="00346E05">
        <w:rPr>
          <w:rFonts w:ascii="Bookman Old Style" w:hAnsi="Bookman Old Style" w:cs="Arial"/>
          <w:i/>
          <w:iCs/>
          <w:sz w:val="20"/>
          <w:szCs w:val="20"/>
        </w:rPr>
        <w:t>En su comunicación de radicado CREG E-2020-001520, da respuesta al auto</w:t>
      </w:r>
      <w:r w:rsidR="00346E05">
        <w:rPr>
          <w:rFonts w:ascii="Bookman Old Style" w:hAnsi="Bookman Old Style" w:cs="Arial"/>
          <w:i/>
          <w:iCs/>
          <w:sz w:val="20"/>
          <w:szCs w:val="20"/>
        </w:rPr>
        <w:t xml:space="preserve"> </w:t>
      </w:r>
      <w:r w:rsidR="00346E05" w:rsidRPr="00346E05">
        <w:rPr>
          <w:rFonts w:ascii="Bookman Old Style" w:hAnsi="Bookman Old Style" w:cs="Arial"/>
          <w:i/>
          <w:iCs/>
          <w:sz w:val="20"/>
          <w:szCs w:val="20"/>
        </w:rPr>
        <w:t>de pruebas de radicado CREG I-2020-000792, adjuntando un diagrama</w:t>
      </w:r>
      <w:r w:rsidR="00346E05">
        <w:rPr>
          <w:rFonts w:ascii="Bookman Old Style" w:hAnsi="Bookman Old Style" w:cs="Arial"/>
          <w:i/>
          <w:iCs/>
          <w:sz w:val="20"/>
          <w:szCs w:val="20"/>
        </w:rPr>
        <w:t xml:space="preserve"> </w:t>
      </w:r>
      <w:r w:rsidR="00346E05" w:rsidRPr="00346E05">
        <w:rPr>
          <w:rFonts w:ascii="Bookman Old Style" w:hAnsi="Bookman Old Style" w:cs="Arial"/>
          <w:i/>
          <w:iCs/>
          <w:sz w:val="20"/>
          <w:szCs w:val="20"/>
        </w:rPr>
        <w:t>unifilar del sistema de generación de Mitú, indicando todas sus conexiones y</w:t>
      </w:r>
      <w:r w:rsidR="00346E05">
        <w:rPr>
          <w:rFonts w:ascii="Bookman Old Style" w:hAnsi="Bookman Old Style" w:cs="Arial"/>
          <w:i/>
          <w:iCs/>
          <w:sz w:val="20"/>
          <w:szCs w:val="20"/>
        </w:rPr>
        <w:t xml:space="preserve"> </w:t>
      </w:r>
      <w:r w:rsidR="00346E05" w:rsidRPr="00346E05">
        <w:rPr>
          <w:rFonts w:ascii="Bookman Old Style" w:hAnsi="Bookman Old Style" w:cs="Arial"/>
          <w:i/>
          <w:iCs/>
          <w:sz w:val="20"/>
          <w:szCs w:val="20"/>
        </w:rPr>
        <w:t>derivaciones. Al respecto, le reiteramos que en el auto de pruebas referido</w:t>
      </w:r>
      <w:r w:rsidR="00FD380C">
        <w:rPr>
          <w:rFonts w:ascii="Bookman Old Style" w:hAnsi="Bookman Old Style" w:cs="Arial"/>
          <w:i/>
          <w:iCs/>
          <w:sz w:val="20"/>
          <w:szCs w:val="20"/>
        </w:rPr>
        <w:t xml:space="preserve"> </w:t>
      </w:r>
      <w:r w:rsidR="00346E05" w:rsidRPr="00346E05">
        <w:rPr>
          <w:rFonts w:ascii="Bookman Old Style" w:hAnsi="Bookman Old Style" w:cs="Arial"/>
          <w:i/>
          <w:iCs/>
          <w:sz w:val="20"/>
          <w:szCs w:val="20"/>
        </w:rPr>
        <w:t>se solicitó específicamente que el diagrama unifilar correspondiera al activo</w:t>
      </w:r>
      <w:r w:rsidR="00FD380C">
        <w:rPr>
          <w:rFonts w:ascii="Bookman Old Style" w:hAnsi="Bookman Old Style" w:cs="Arial"/>
          <w:i/>
          <w:iCs/>
          <w:sz w:val="20"/>
          <w:szCs w:val="20"/>
        </w:rPr>
        <w:t xml:space="preserve"> </w:t>
      </w:r>
      <w:r w:rsidR="00346E05" w:rsidRPr="00346E05">
        <w:rPr>
          <w:rFonts w:ascii="Bookman Old Style" w:hAnsi="Bookman Old Style" w:cs="Arial"/>
          <w:i/>
          <w:iCs/>
          <w:sz w:val="20"/>
          <w:szCs w:val="20"/>
        </w:rPr>
        <w:t xml:space="preserve">denominado por ustedes </w:t>
      </w:r>
      <w:r w:rsidR="00FD380C">
        <w:rPr>
          <w:rFonts w:ascii="Bookman Old Style" w:eastAsia="Bookman Old Style" w:hAnsi="Bookman Old Style" w:cs="Bookman Old Style"/>
          <w:i/>
          <w:iCs/>
          <w:sz w:val="20"/>
          <w:szCs w:val="20"/>
        </w:rPr>
        <w:t>‘</w:t>
      </w:r>
      <w:r w:rsidR="00346E05" w:rsidRPr="00346E05">
        <w:rPr>
          <w:rFonts w:ascii="Bookman Old Style" w:hAnsi="Bookman Old Style" w:cs="Arial"/>
          <w:i/>
          <w:iCs/>
          <w:sz w:val="20"/>
          <w:szCs w:val="20"/>
        </w:rPr>
        <w:t>Línea de Transmisión de la MCH Mitú a la</w:t>
      </w:r>
      <w:r w:rsidR="00FD380C">
        <w:rPr>
          <w:rFonts w:ascii="Bookman Old Style" w:hAnsi="Bookman Old Style" w:cs="Arial"/>
          <w:i/>
          <w:iCs/>
          <w:sz w:val="20"/>
          <w:szCs w:val="20"/>
        </w:rPr>
        <w:t xml:space="preserve"> Subestación Eléctrica Mitú’</w:t>
      </w:r>
      <w:r w:rsidR="00346E05" w:rsidRPr="00346E05">
        <w:rPr>
          <w:rFonts w:ascii="Bookman Old Style" w:hAnsi="Bookman Old Style" w:cs="Arial"/>
          <w:i/>
          <w:iCs/>
          <w:sz w:val="20"/>
          <w:szCs w:val="20"/>
        </w:rPr>
        <w:t>, descrito en el numeral 3) de la cláusula séptima</w:t>
      </w:r>
      <w:r w:rsidR="00FD380C">
        <w:rPr>
          <w:rFonts w:ascii="Bookman Old Style" w:hAnsi="Bookman Old Style" w:cs="Arial"/>
          <w:i/>
          <w:iCs/>
          <w:sz w:val="20"/>
          <w:szCs w:val="20"/>
        </w:rPr>
        <w:t xml:space="preserve"> </w:t>
      </w:r>
      <w:r w:rsidR="00346E05" w:rsidRPr="00346E05">
        <w:rPr>
          <w:rFonts w:ascii="Bookman Old Style" w:hAnsi="Bookman Old Style" w:cs="Arial"/>
          <w:i/>
          <w:iCs/>
          <w:sz w:val="20"/>
          <w:szCs w:val="20"/>
        </w:rPr>
        <w:t>del Contrato Especial No. GGC-209</w:t>
      </w:r>
      <w:r w:rsidR="00346D78">
        <w:rPr>
          <w:rFonts w:ascii="Bookman Old Style" w:eastAsia="Bookman Old Style" w:hAnsi="Bookman Old Style" w:cs="Bookman Old Style"/>
          <w:i/>
          <w:iCs/>
          <w:sz w:val="20"/>
          <w:szCs w:val="20"/>
        </w:rPr>
        <w:t>-</w:t>
      </w:r>
      <w:r w:rsidR="00346E05" w:rsidRPr="00346E05">
        <w:rPr>
          <w:rFonts w:ascii="Bookman Old Style" w:hAnsi="Bookman Old Style" w:cs="Arial"/>
          <w:i/>
          <w:iCs/>
          <w:sz w:val="20"/>
          <w:szCs w:val="20"/>
        </w:rPr>
        <w:t>2013, suscrito entre el Ministerio de</w:t>
      </w:r>
      <w:r w:rsidR="00346D78">
        <w:rPr>
          <w:rFonts w:ascii="Bookman Old Style" w:hAnsi="Bookman Old Style" w:cs="Arial"/>
          <w:i/>
          <w:iCs/>
          <w:sz w:val="20"/>
          <w:szCs w:val="20"/>
        </w:rPr>
        <w:t xml:space="preserve"> </w:t>
      </w:r>
      <w:r w:rsidR="00346E05" w:rsidRPr="00346E05">
        <w:rPr>
          <w:rFonts w:ascii="Bookman Old Style" w:hAnsi="Bookman Old Style" w:cs="Arial"/>
          <w:i/>
          <w:iCs/>
          <w:sz w:val="20"/>
          <w:szCs w:val="20"/>
        </w:rPr>
        <w:t>Minas y Energía y GENSA S.A. E.S.P., y no de todo el sistema.</w:t>
      </w:r>
    </w:p>
    <w:p w14:paraId="2D2D7041" w14:textId="77777777" w:rsidR="00346D78" w:rsidRPr="00346E05" w:rsidRDefault="00346D78" w:rsidP="0027455C">
      <w:pPr>
        <w:ind w:left="567"/>
        <w:contextualSpacing/>
        <w:jc w:val="both"/>
        <w:rPr>
          <w:rFonts w:ascii="Bookman Old Style" w:hAnsi="Bookman Old Style" w:cs="Arial"/>
          <w:i/>
          <w:iCs/>
          <w:sz w:val="20"/>
          <w:szCs w:val="20"/>
        </w:rPr>
      </w:pPr>
    </w:p>
    <w:p w14:paraId="58222BCF" w14:textId="29BB1DF0" w:rsidR="00346E05" w:rsidRDefault="00346E05" w:rsidP="0027455C">
      <w:pPr>
        <w:ind w:left="567"/>
        <w:contextualSpacing/>
        <w:jc w:val="both"/>
        <w:rPr>
          <w:rFonts w:ascii="Bookman Old Style" w:hAnsi="Bookman Old Style" w:cs="Arial"/>
          <w:i/>
          <w:iCs/>
          <w:sz w:val="20"/>
          <w:szCs w:val="20"/>
        </w:rPr>
      </w:pPr>
      <w:r w:rsidRPr="00346E05">
        <w:rPr>
          <w:rFonts w:ascii="Bookman Old Style" w:hAnsi="Bookman Old Style" w:cs="Arial"/>
          <w:i/>
          <w:iCs/>
          <w:sz w:val="20"/>
          <w:szCs w:val="20"/>
        </w:rPr>
        <w:t>Por lo anterior, sírvase allegar el diagrama unifilar correspondiente al activo</w:t>
      </w:r>
      <w:r w:rsidR="006735EC">
        <w:rPr>
          <w:rFonts w:ascii="Bookman Old Style" w:hAnsi="Bookman Old Style" w:cs="Arial"/>
          <w:i/>
          <w:iCs/>
          <w:sz w:val="20"/>
          <w:szCs w:val="20"/>
        </w:rPr>
        <w:t xml:space="preserve"> </w:t>
      </w:r>
      <w:r w:rsidR="00346D78">
        <w:rPr>
          <w:rFonts w:ascii="Bookman Old Style" w:eastAsia="Bookman Old Style" w:hAnsi="Bookman Old Style" w:cs="Bookman Old Style"/>
          <w:i/>
          <w:iCs/>
          <w:sz w:val="20"/>
          <w:szCs w:val="20"/>
        </w:rPr>
        <w:t>‘</w:t>
      </w:r>
      <w:r w:rsidR="00346D78" w:rsidRPr="00346E05">
        <w:rPr>
          <w:rFonts w:ascii="Bookman Old Style" w:hAnsi="Bookman Old Style" w:cs="Arial"/>
          <w:i/>
          <w:iCs/>
          <w:sz w:val="20"/>
          <w:szCs w:val="20"/>
        </w:rPr>
        <w:t>Línea de Transmisión de la MCH Mitú a la</w:t>
      </w:r>
      <w:r w:rsidR="00346D78">
        <w:rPr>
          <w:rFonts w:ascii="Bookman Old Style" w:hAnsi="Bookman Old Style" w:cs="Arial"/>
          <w:i/>
          <w:iCs/>
          <w:sz w:val="20"/>
          <w:szCs w:val="20"/>
        </w:rPr>
        <w:t xml:space="preserve"> Subestación Eléctrica Mitú’ </w:t>
      </w:r>
      <w:r w:rsidRPr="00346E05">
        <w:rPr>
          <w:rFonts w:ascii="Bookman Old Style" w:hAnsi="Bookman Old Style" w:cs="Arial"/>
          <w:i/>
          <w:iCs/>
          <w:sz w:val="20"/>
          <w:szCs w:val="20"/>
        </w:rPr>
        <w:t>y sus</w:t>
      </w:r>
      <w:r w:rsidR="006735EC">
        <w:rPr>
          <w:rFonts w:ascii="Bookman Old Style" w:hAnsi="Bookman Old Style" w:cs="Arial"/>
          <w:i/>
          <w:iCs/>
          <w:sz w:val="20"/>
          <w:szCs w:val="20"/>
        </w:rPr>
        <w:t xml:space="preserve"> </w:t>
      </w:r>
      <w:r w:rsidRPr="00346E05">
        <w:rPr>
          <w:rFonts w:ascii="Bookman Old Style" w:hAnsi="Bookman Old Style" w:cs="Arial"/>
          <w:i/>
          <w:iCs/>
          <w:sz w:val="20"/>
          <w:szCs w:val="20"/>
        </w:rPr>
        <w:t>derivaciones.</w:t>
      </w:r>
    </w:p>
    <w:p w14:paraId="46450EAA" w14:textId="77777777" w:rsidR="006735EC" w:rsidRPr="00346E05" w:rsidRDefault="006735EC" w:rsidP="0027455C">
      <w:pPr>
        <w:ind w:left="567"/>
        <w:contextualSpacing/>
        <w:jc w:val="both"/>
        <w:rPr>
          <w:rFonts w:ascii="Bookman Old Style" w:hAnsi="Bookman Old Style" w:cs="Arial"/>
          <w:i/>
          <w:iCs/>
          <w:sz w:val="20"/>
          <w:szCs w:val="20"/>
        </w:rPr>
      </w:pPr>
    </w:p>
    <w:p w14:paraId="13766FBC" w14:textId="5B180C03" w:rsidR="00346E05" w:rsidRDefault="006735EC" w:rsidP="0027455C">
      <w:pPr>
        <w:ind w:left="567"/>
        <w:contextualSpacing/>
        <w:jc w:val="both"/>
        <w:rPr>
          <w:rFonts w:ascii="Bookman Old Style" w:hAnsi="Bookman Old Style" w:cs="Arial"/>
          <w:i/>
          <w:iCs/>
          <w:sz w:val="20"/>
          <w:szCs w:val="20"/>
        </w:rPr>
      </w:pPr>
      <w:r>
        <w:rPr>
          <w:rFonts w:ascii="Calibri" w:eastAsia="Bookman Old Style" w:hAnsi="Calibri" w:cs="Bookman Old Style"/>
          <w:i/>
          <w:iCs/>
          <w:sz w:val="20"/>
          <w:szCs w:val="20"/>
        </w:rPr>
        <w:t>•</w:t>
      </w:r>
      <w:r>
        <w:rPr>
          <w:rFonts w:ascii="Bookman Old Style" w:eastAsia="Bookman Old Style" w:hAnsi="Bookman Old Style" w:cs="Bookman Old Style"/>
          <w:i/>
          <w:iCs/>
          <w:sz w:val="20"/>
          <w:szCs w:val="20"/>
        </w:rPr>
        <w:t xml:space="preserve"> </w:t>
      </w:r>
      <w:r w:rsidR="00346E05" w:rsidRPr="00346E05">
        <w:rPr>
          <w:rFonts w:ascii="Bookman Old Style" w:hAnsi="Bookman Old Style" w:cs="Arial"/>
          <w:i/>
          <w:iCs/>
          <w:sz w:val="20"/>
          <w:szCs w:val="20"/>
        </w:rPr>
        <w:t>Adicionalmente, sírvase pronunciarse sobre la comunicación remitida a esta</w:t>
      </w:r>
      <w:r>
        <w:rPr>
          <w:rFonts w:ascii="Bookman Old Style" w:hAnsi="Bookman Old Style" w:cs="Arial"/>
          <w:i/>
          <w:iCs/>
          <w:sz w:val="20"/>
          <w:szCs w:val="20"/>
        </w:rPr>
        <w:t xml:space="preserve"> </w:t>
      </w:r>
      <w:r w:rsidR="00346E05" w:rsidRPr="00346E05">
        <w:rPr>
          <w:rFonts w:ascii="Bookman Old Style" w:hAnsi="Bookman Old Style" w:cs="Arial"/>
          <w:i/>
          <w:iCs/>
          <w:sz w:val="20"/>
          <w:szCs w:val="20"/>
        </w:rPr>
        <w:t>Comisión con el radicado CREG E-2020-001587, y de la cual se le está</w:t>
      </w:r>
      <w:r>
        <w:rPr>
          <w:rFonts w:ascii="Bookman Old Style" w:hAnsi="Bookman Old Style" w:cs="Arial"/>
          <w:i/>
          <w:iCs/>
          <w:sz w:val="20"/>
          <w:szCs w:val="20"/>
        </w:rPr>
        <w:t xml:space="preserve"> </w:t>
      </w:r>
      <w:r w:rsidR="00346E05" w:rsidRPr="00346E05">
        <w:rPr>
          <w:rFonts w:ascii="Bookman Old Style" w:hAnsi="Bookman Old Style" w:cs="Arial"/>
          <w:i/>
          <w:iCs/>
          <w:sz w:val="20"/>
          <w:szCs w:val="20"/>
        </w:rPr>
        <w:t>dando traslado, en la cual Due Capital and Services documenta derivaciones</w:t>
      </w:r>
      <w:r>
        <w:rPr>
          <w:rFonts w:ascii="Bookman Old Style" w:hAnsi="Bookman Old Style" w:cs="Arial"/>
          <w:i/>
          <w:iCs/>
          <w:sz w:val="20"/>
          <w:szCs w:val="20"/>
        </w:rPr>
        <w:t xml:space="preserve"> </w:t>
      </w:r>
      <w:r w:rsidR="00346E05" w:rsidRPr="00346E05">
        <w:rPr>
          <w:rFonts w:ascii="Bookman Old Style" w:hAnsi="Bookman Old Style" w:cs="Arial"/>
          <w:i/>
          <w:iCs/>
          <w:sz w:val="20"/>
          <w:szCs w:val="20"/>
        </w:rPr>
        <w:t xml:space="preserve">desde el activo </w:t>
      </w:r>
      <w:r>
        <w:rPr>
          <w:rFonts w:ascii="Bookman Old Style" w:eastAsia="Bookman Old Style" w:hAnsi="Bookman Old Style" w:cs="Bookman Old Style"/>
          <w:i/>
          <w:iCs/>
          <w:sz w:val="20"/>
          <w:szCs w:val="20"/>
        </w:rPr>
        <w:t>‘</w:t>
      </w:r>
      <w:r w:rsidRPr="00346E05">
        <w:rPr>
          <w:rFonts w:ascii="Bookman Old Style" w:hAnsi="Bookman Old Style" w:cs="Arial"/>
          <w:i/>
          <w:iCs/>
          <w:sz w:val="20"/>
          <w:szCs w:val="20"/>
        </w:rPr>
        <w:t>Línea de Transmisión de la MCH Mitú a la</w:t>
      </w:r>
      <w:r>
        <w:rPr>
          <w:rFonts w:ascii="Bookman Old Style" w:hAnsi="Bookman Old Style" w:cs="Arial"/>
          <w:i/>
          <w:iCs/>
          <w:sz w:val="20"/>
          <w:szCs w:val="20"/>
        </w:rPr>
        <w:t xml:space="preserve"> Subestación Eléctrica Mitú’</w:t>
      </w:r>
      <w:r w:rsidR="00346E05" w:rsidRPr="00346E05">
        <w:rPr>
          <w:rFonts w:ascii="Bookman Old Style" w:hAnsi="Bookman Old Style" w:cs="Arial"/>
          <w:i/>
          <w:iCs/>
          <w:sz w:val="20"/>
          <w:szCs w:val="20"/>
        </w:rPr>
        <w:t>, las cuales no se detallan en la información por usted remitida.</w:t>
      </w:r>
    </w:p>
    <w:p w14:paraId="75444B8F" w14:textId="77777777" w:rsidR="003B214F" w:rsidRPr="00346E05" w:rsidRDefault="003B214F" w:rsidP="0027455C">
      <w:pPr>
        <w:ind w:left="567"/>
        <w:contextualSpacing/>
        <w:jc w:val="both"/>
        <w:rPr>
          <w:rFonts w:ascii="Bookman Old Style" w:hAnsi="Bookman Old Style" w:cs="Arial"/>
          <w:i/>
          <w:iCs/>
          <w:sz w:val="20"/>
          <w:szCs w:val="20"/>
        </w:rPr>
      </w:pPr>
    </w:p>
    <w:p w14:paraId="5471DBF5" w14:textId="36DA35E8" w:rsidR="00346E05" w:rsidRDefault="003B214F" w:rsidP="0027455C">
      <w:pPr>
        <w:ind w:left="567"/>
        <w:contextualSpacing/>
        <w:jc w:val="both"/>
        <w:rPr>
          <w:rFonts w:ascii="Bookman Old Style" w:hAnsi="Bookman Old Style" w:cs="Arial"/>
          <w:i/>
          <w:iCs/>
          <w:sz w:val="20"/>
          <w:szCs w:val="20"/>
        </w:rPr>
      </w:pPr>
      <w:r>
        <w:rPr>
          <w:rFonts w:ascii="Calibri" w:eastAsia="Bookman Old Style" w:hAnsi="Calibri" w:cs="Bookman Old Style"/>
          <w:i/>
          <w:iCs/>
          <w:sz w:val="20"/>
          <w:szCs w:val="20"/>
        </w:rPr>
        <w:t>•</w:t>
      </w:r>
      <w:r>
        <w:rPr>
          <w:rFonts w:ascii="Bookman Old Style" w:eastAsia="Bookman Old Style" w:hAnsi="Bookman Old Style" w:cs="Bookman Old Style"/>
          <w:i/>
          <w:iCs/>
          <w:sz w:val="20"/>
          <w:szCs w:val="20"/>
        </w:rPr>
        <w:t xml:space="preserve"> </w:t>
      </w:r>
      <w:r w:rsidR="00346E05" w:rsidRPr="00346E05">
        <w:rPr>
          <w:rFonts w:ascii="Bookman Old Style" w:hAnsi="Bookman Old Style" w:cs="Arial"/>
          <w:i/>
          <w:iCs/>
          <w:sz w:val="20"/>
          <w:szCs w:val="20"/>
        </w:rPr>
        <w:t>Considerando que en su respuesta manifiesta que no tiene suscrito ningún</w:t>
      </w:r>
      <w:r>
        <w:rPr>
          <w:rFonts w:ascii="Bookman Old Style" w:hAnsi="Bookman Old Style" w:cs="Arial"/>
          <w:i/>
          <w:iCs/>
          <w:sz w:val="20"/>
          <w:szCs w:val="20"/>
        </w:rPr>
        <w:t xml:space="preserve"> </w:t>
      </w:r>
      <w:r w:rsidR="00346E05" w:rsidRPr="00346E05">
        <w:rPr>
          <w:rFonts w:ascii="Bookman Old Style" w:hAnsi="Bookman Old Style" w:cs="Arial"/>
          <w:i/>
          <w:iCs/>
          <w:sz w:val="20"/>
          <w:szCs w:val="20"/>
        </w:rPr>
        <w:t>tipo de acuerdo con la Gobernación del Vaupés para el uso compartido de la</w:t>
      </w:r>
      <w:r>
        <w:rPr>
          <w:rFonts w:ascii="Bookman Old Style" w:hAnsi="Bookman Old Style" w:cs="Arial"/>
          <w:i/>
          <w:iCs/>
          <w:sz w:val="20"/>
          <w:szCs w:val="20"/>
        </w:rPr>
        <w:t xml:space="preserve"> </w:t>
      </w:r>
      <w:r w:rsidR="00346E05" w:rsidRPr="00346E05">
        <w:rPr>
          <w:rFonts w:ascii="Bookman Old Style" w:hAnsi="Bookman Old Style" w:cs="Arial"/>
          <w:i/>
          <w:iCs/>
          <w:sz w:val="20"/>
          <w:szCs w:val="20"/>
        </w:rPr>
        <w:t>infraestructura operada por GENSA S.A., que dicha gobernación desarrolla</w:t>
      </w:r>
      <w:r>
        <w:rPr>
          <w:rFonts w:ascii="Bookman Old Style" w:hAnsi="Bookman Old Style" w:cs="Arial"/>
          <w:i/>
          <w:iCs/>
          <w:sz w:val="20"/>
          <w:szCs w:val="20"/>
        </w:rPr>
        <w:t xml:space="preserve"> </w:t>
      </w:r>
      <w:r w:rsidR="00346E05" w:rsidRPr="00346E05">
        <w:rPr>
          <w:rFonts w:ascii="Bookman Old Style" w:hAnsi="Bookman Old Style" w:cs="Arial"/>
          <w:i/>
          <w:iCs/>
          <w:sz w:val="20"/>
          <w:szCs w:val="20"/>
        </w:rPr>
        <w:t>las actividades de distribución y comercialización de energía eléctrica en el</w:t>
      </w:r>
      <w:r w:rsidR="002B3F2F">
        <w:rPr>
          <w:rFonts w:ascii="Bookman Old Style" w:hAnsi="Bookman Old Style" w:cs="Arial"/>
          <w:i/>
          <w:iCs/>
          <w:sz w:val="20"/>
          <w:szCs w:val="20"/>
        </w:rPr>
        <w:t xml:space="preserve"> </w:t>
      </w:r>
      <w:r w:rsidR="00346E05" w:rsidRPr="00346E05">
        <w:rPr>
          <w:rFonts w:ascii="Bookman Old Style" w:hAnsi="Bookman Old Style" w:cs="Arial"/>
          <w:i/>
          <w:iCs/>
          <w:sz w:val="20"/>
          <w:szCs w:val="20"/>
        </w:rPr>
        <w:t>municipio de Mitú, según lo informado a esta Comisión por la</w:t>
      </w:r>
      <w:r w:rsidR="002B3F2F">
        <w:rPr>
          <w:rFonts w:ascii="Bookman Old Style" w:hAnsi="Bookman Old Style" w:cs="Arial"/>
          <w:i/>
          <w:iCs/>
          <w:sz w:val="20"/>
          <w:szCs w:val="20"/>
        </w:rPr>
        <w:t xml:space="preserve"> </w:t>
      </w:r>
      <w:r w:rsidR="00346E05" w:rsidRPr="00346E05">
        <w:rPr>
          <w:rFonts w:ascii="Bookman Old Style" w:hAnsi="Bookman Old Style" w:cs="Arial"/>
          <w:i/>
          <w:iCs/>
          <w:sz w:val="20"/>
          <w:szCs w:val="20"/>
        </w:rPr>
        <w:t>Superintendencia de Servicios Públicos Domiciliarios, y que Due Capital</w:t>
      </w:r>
      <w:r w:rsidR="002B3F2F">
        <w:rPr>
          <w:rFonts w:ascii="Bookman Old Style" w:hAnsi="Bookman Old Style" w:cs="Arial"/>
          <w:i/>
          <w:iCs/>
          <w:sz w:val="20"/>
          <w:szCs w:val="20"/>
        </w:rPr>
        <w:t xml:space="preserve"> </w:t>
      </w:r>
      <w:r w:rsidR="00346E05" w:rsidRPr="00346E05">
        <w:rPr>
          <w:rFonts w:ascii="Bookman Old Style" w:hAnsi="Bookman Old Style" w:cs="Arial"/>
          <w:i/>
          <w:iCs/>
          <w:sz w:val="20"/>
          <w:szCs w:val="20"/>
        </w:rPr>
        <w:t xml:space="preserve">documenta derivaciones del activo </w:t>
      </w:r>
      <w:r w:rsidR="002B3F2F">
        <w:rPr>
          <w:rFonts w:ascii="Bookman Old Style" w:eastAsia="Bookman Old Style" w:hAnsi="Bookman Old Style" w:cs="Bookman Old Style"/>
          <w:i/>
          <w:iCs/>
          <w:sz w:val="20"/>
          <w:szCs w:val="20"/>
        </w:rPr>
        <w:t>‘</w:t>
      </w:r>
      <w:r w:rsidR="002B3F2F" w:rsidRPr="00346E05">
        <w:rPr>
          <w:rFonts w:ascii="Bookman Old Style" w:hAnsi="Bookman Old Style" w:cs="Arial"/>
          <w:i/>
          <w:iCs/>
          <w:sz w:val="20"/>
          <w:szCs w:val="20"/>
        </w:rPr>
        <w:t>Línea de Transmisión de la MCH Mitú a la</w:t>
      </w:r>
      <w:r w:rsidR="002B3F2F">
        <w:rPr>
          <w:rFonts w:ascii="Bookman Old Style" w:hAnsi="Bookman Old Style" w:cs="Arial"/>
          <w:i/>
          <w:iCs/>
          <w:sz w:val="20"/>
          <w:szCs w:val="20"/>
        </w:rPr>
        <w:t xml:space="preserve"> Subestación Eléctrica Mitú’</w:t>
      </w:r>
      <w:r w:rsidR="00346E05" w:rsidRPr="00346E05">
        <w:rPr>
          <w:rFonts w:ascii="Bookman Old Style" w:hAnsi="Bookman Old Style" w:cs="Arial"/>
          <w:i/>
          <w:iCs/>
          <w:sz w:val="20"/>
          <w:szCs w:val="20"/>
        </w:rPr>
        <w:t>, de las cuales entendemos que se atienden</w:t>
      </w:r>
      <w:r w:rsidR="00946A14">
        <w:rPr>
          <w:rFonts w:ascii="Bookman Old Style" w:hAnsi="Bookman Old Style" w:cs="Arial"/>
          <w:i/>
          <w:iCs/>
          <w:sz w:val="20"/>
          <w:szCs w:val="20"/>
        </w:rPr>
        <w:t xml:space="preserve"> </w:t>
      </w:r>
      <w:r w:rsidR="00346E05" w:rsidRPr="00346E05">
        <w:rPr>
          <w:rFonts w:ascii="Bookman Old Style" w:hAnsi="Bookman Old Style" w:cs="Arial"/>
          <w:i/>
          <w:iCs/>
          <w:sz w:val="20"/>
          <w:szCs w:val="20"/>
        </w:rPr>
        <w:t>usuarios, le solicitamos que nos indique el tipo de mecanismos utilizados o</w:t>
      </w:r>
      <w:r w:rsidR="00946A14">
        <w:rPr>
          <w:rFonts w:ascii="Bookman Old Style" w:hAnsi="Bookman Old Style" w:cs="Arial"/>
          <w:i/>
          <w:iCs/>
          <w:sz w:val="20"/>
          <w:szCs w:val="20"/>
        </w:rPr>
        <w:t xml:space="preserve"> </w:t>
      </w:r>
      <w:r w:rsidR="00346E05" w:rsidRPr="00346E05">
        <w:rPr>
          <w:rFonts w:ascii="Bookman Old Style" w:hAnsi="Bookman Old Style" w:cs="Arial"/>
          <w:i/>
          <w:iCs/>
          <w:sz w:val="20"/>
          <w:szCs w:val="20"/>
        </w:rPr>
        <w:t>acuerdos suscritos con la Gobernación del Vaupés para la instalación,</w:t>
      </w:r>
      <w:r w:rsidR="00946A14">
        <w:rPr>
          <w:rFonts w:ascii="Bookman Old Style" w:hAnsi="Bookman Old Style" w:cs="Arial"/>
          <w:i/>
          <w:iCs/>
          <w:sz w:val="20"/>
          <w:szCs w:val="20"/>
        </w:rPr>
        <w:t xml:space="preserve"> </w:t>
      </w:r>
      <w:r w:rsidR="00346E05" w:rsidRPr="00346E05">
        <w:rPr>
          <w:rFonts w:ascii="Bookman Old Style" w:hAnsi="Bookman Old Style" w:cs="Arial"/>
          <w:i/>
          <w:iCs/>
          <w:sz w:val="20"/>
          <w:szCs w:val="20"/>
        </w:rPr>
        <w:t>operación y mantenimiento de dichas derivaciones.</w:t>
      </w:r>
    </w:p>
    <w:p w14:paraId="41CDBF5E" w14:textId="77777777" w:rsidR="00946A14" w:rsidRPr="00346E05" w:rsidRDefault="00946A14" w:rsidP="0027455C">
      <w:pPr>
        <w:ind w:left="567"/>
        <w:contextualSpacing/>
        <w:jc w:val="both"/>
        <w:rPr>
          <w:rFonts w:ascii="Bookman Old Style" w:hAnsi="Bookman Old Style" w:cs="Arial"/>
          <w:i/>
          <w:iCs/>
          <w:sz w:val="20"/>
          <w:szCs w:val="20"/>
        </w:rPr>
      </w:pPr>
    </w:p>
    <w:p w14:paraId="14BFB48F" w14:textId="34096197" w:rsidR="006E2A38" w:rsidRDefault="00346E05" w:rsidP="0027455C">
      <w:pPr>
        <w:ind w:left="567"/>
        <w:contextualSpacing/>
        <w:jc w:val="both"/>
        <w:rPr>
          <w:rFonts w:ascii="Bookman Old Style" w:hAnsi="Bookman Old Style" w:cs="Arial"/>
          <w:i/>
          <w:iCs/>
          <w:sz w:val="20"/>
          <w:szCs w:val="20"/>
        </w:rPr>
      </w:pPr>
      <w:r w:rsidRPr="00346E05">
        <w:rPr>
          <w:rFonts w:ascii="Bookman Old Style" w:hAnsi="Bookman Old Style" w:cs="Arial"/>
          <w:i/>
          <w:iCs/>
          <w:sz w:val="20"/>
          <w:szCs w:val="20"/>
        </w:rPr>
        <w:t>Sírvase remitir la documentación en la que se evidencien las condiciones, en</w:t>
      </w:r>
      <w:r w:rsidR="00946A14">
        <w:rPr>
          <w:rFonts w:ascii="Bookman Old Style" w:hAnsi="Bookman Old Style" w:cs="Arial"/>
          <w:i/>
          <w:iCs/>
          <w:sz w:val="20"/>
          <w:szCs w:val="20"/>
        </w:rPr>
        <w:t xml:space="preserve"> </w:t>
      </w:r>
      <w:r w:rsidRPr="00346E05">
        <w:rPr>
          <w:rFonts w:ascii="Bookman Old Style" w:hAnsi="Bookman Old Style" w:cs="Arial"/>
          <w:i/>
          <w:iCs/>
          <w:sz w:val="20"/>
          <w:szCs w:val="20"/>
        </w:rPr>
        <w:t>caso de existir algún tipo de acuerdo.</w:t>
      </w:r>
      <w:r w:rsidR="00946A14">
        <w:rPr>
          <w:rFonts w:ascii="Bookman Old Style" w:hAnsi="Bookman Old Style" w:cs="Arial"/>
          <w:i/>
          <w:iCs/>
          <w:sz w:val="20"/>
          <w:szCs w:val="20"/>
        </w:rPr>
        <w:t xml:space="preserve"> </w:t>
      </w:r>
      <w:r w:rsidR="006E2A38">
        <w:rPr>
          <w:rFonts w:ascii="Bookman Old Style" w:hAnsi="Bookman Old Style" w:cs="Arial"/>
          <w:i/>
          <w:iCs/>
          <w:sz w:val="20"/>
          <w:szCs w:val="20"/>
        </w:rPr>
        <w:t>(…)”</w:t>
      </w:r>
    </w:p>
    <w:p w14:paraId="197E885A" w14:textId="77777777" w:rsidR="006E2A38" w:rsidRDefault="006E2A38" w:rsidP="0027455C">
      <w:pPr>
        <w:ind w:left="567"/>
        <w:contextualSpacing/>
        <w:jc w:val="both"/>
        <w:rPr>
          <w:rFonts w:ascii="Bookman Old Style" w:hAnsi="Bookman Old Style" w:cs="Arial"/>
          <w:i/>
          <w:iCs/>
          <w:sz w:val="20"/>
          <w:szCs w:val="20"/>
        </w:rPr>
      </w:pPr>
    </w:p>
    <w:p w14:paraId="2641933A" w14:textId="77777777" w:rsidR="006E2A38" w:rsidRDefault="006E2A38" w:rsidP="0027455C">
      <w:pPr>
        <w:ind w:left="567"/>
        <w:contextualSpacing/>
        <w:jc w:val="both"/>
        <w:rPr>
          <w:rFonts w:ascii="Bookman Old Style" w:hAnsi="Bookman Old Style" w:cs="Arial"/>
        </w:rPr>
      </w:pPr>
      <w:r w:rsidRPr="0ECC7FE6">
        <w:rPr>
          <w:rFonts w:ascii="Bookman Old Style" w:hAnsi="Bookman Old Style" w:cs="Arial"/>
        </w:rPr>
        <w:t>A la Gobernación del Vaupés:</w:t>
      </w:r>
    </w:p>
    <w:p w14:paraId="3CB9EA31" w14:textId="77777777" w:rsidR="006E2A38" w:rsidRDefault="006E2A38" w:rsidP="0027455C">
      <w:pPr>
        <w:ind w:left="567"/>
        <w:contextualSpacing/>
        <w:jc w:val="both"/>
        <w:rPr>
          <w:rFonts w:ascii="Bookman Old Style" w:hAnsi="Bookman Old Style" w:cs="Arial"/>
          <w:sz w:val="20"/>
          <w:szCs w:val="20"/>
        </w:rPr>
      </w:pPr>
    </w:p>
    <w:p w14:paraId="435A36A3" w14:textId="313A888A" w:rsidR="006E2A38" w:rsidRPr="00930282" w:rsidRDefault="006E2A38" w:rsidP="0027455C">
      <w:pPr>
        <w:ind w:left="567"/>
        <w:contextualSpacing/>
        <w:jc w:val="both"/>
        <w:rPr>
          <w:rFonts w:ascii="Bookman Old Style" w:hAnsi="Bookman Old Style" w:cs="Arial"/>
          <w:i/>
          <w:iCs/>
          <w:sz w:val="20"/>
          <w:szCs w:val="20"/>
        </w:rPr>
      </w:pPr>
      <w:r w:rsidRPr="00930282">
        <w:rPr>
          <w:rFonts w:ascii="Bookman Old Style" w:hAnsi="Bookman Old Style" w:cs="Arial"/>
          <w:i/>
          <w:iCs/>
          <w:sz w:val="20"/>
          <w:szCs w:val="20"/>
        </w:rPr>
        <w:t xml:space="preserve">“(…) </w:t>
      </w:r>
      <w:r w:rsidR="00B92050" w:rsidRPr="00B92050">
        <w:rPr>
          <w:rFonts w:ascii="Bookman Old Style" w:hAnsi="Bookman Old Style" w:cs="Arial"/>
          <w:i/>
          <w:iCs/>
          <w:sz w:val="20"/>
          <w:szCs w:val="20"/>
        </w:rPr>
        <w:t>Considerando que, mediante radicado CREG E-2020-001640, se dio respuesta al</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Auto de Pruebas I-2020-000792, en el cual se solicitó el diagrama unifilar de las</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redes de distribución del municipio de Mitú, indicando que la Gobernación del</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Vaupés no tenía competencia para contestar dicho auto, y que mediante radicado</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CREG E-2019-008936, del cual le remitimos copia, la Superintendencia de Servicios</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Públicos Domiciliarios informó a esta Comisión que la Gobernación del Vaupés es</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el distribuidor y comercializador de energía eléctrica en el municipio de Mitú, le</w:t>
      </w:r>
      <w:r w:rsidR="00B92050">
        <w:rPr>
          <w:rFonts w:ascii="Bookman Old Style" w:hAnsi="Bookman Old Style" w:cs="Arial"/>
          <w:i/>
          <w:iCs/>
          <w:sz w:val="20"/>
          <w:szCs w:val="20"/>
        </w:rPr>
        <w:t xml:space="preserve"> </w:t>
      </w:r>
      <w:r w:rsidR="00B92050" w:rsidRPr="00B92050">
        <w:rPr>
          <w:rFonts w:ascii="Bookman Old Style" w:hAnsi="Bookman Old Style" w:cs="Arial"/>
          <w:i/>
          <w:iCs/>
          <w:sz w:val="20"/>
          <w:szCs w:val="20"/>
        </w:rPr>
        <w:t>solicitamos se sirva remitir el diagrama unifilar de la(s) red(es) de distribución que</w:t>
      </w:r>
      <w:r w:rsidR="00CF7F23">
        <w:rPr>
          <w:rFonts w:ascii="Bookman Old Style" w:hAnsi="Bookman Old Style" w:cs="Arial"/>
          <w:i/>
          <w:iCs/>
          <w:sz w:val="20"/>
          <w:szCs w:val="20"/>
        </w:rPr>
        <w:t xml:space="preserve"> </w:t>
      </w:r>
      <w:r w:rsidR="00B92050" w:rsidRPr="00B92050">
        <w:rPr>
          <w:rFonts w:ascii="Bookman Old Style" w:hAnsi="Bookman Old Style" w:cs="Arial"/>
          <w:i/>
          <w:iCs/>
          <w:sz w:val="20"/>
          <w:szCs w:val="20"/>
        </w:rPr>
        <w:t>opere la Gobernación del Vaupés en el Municipio de Mitú, en especial el diagrama</w:t>
      </w:r>
      <w:r w:rsidR="00CF7F23">
        <w:rPr>
          <w:rFonts w:ascii="Bookman Old Style" w:hAnsi="Bookman Old Style" w:cs="Arial"/>
          <w:i/>
          <w:iCs/>
          <w:sz w:val="20"/>
          <w:szCs w:val="20"/>
        </w:rPr>
        <w:t xml:space="preserve"> </w:t>
      </w:r>
      <w:r w:rsidR="00B92050" w:rsidRPr="00B92050">
        <w:rPr>
          <w:rFonts w:ascii="Bookman Old Style" w:hAnsi="Bookman Old Style" w:cs="Arial"/>
          <w:i/>
          <w:iCs/>
          <w:sz w:val="20"/>
          <w:szCs w:val="20"/>
        </w:rPr>
        <w:t>unifilar de aquellas redes que se alimenten de la línea de 34.5 Kv que se encuentra</w:t>
      </w:r>
      <w:r w:rsidR="00CF7F23">
        <w:rPr>
          <w:rFonts w:ascii="Bookman Old Style" w:hAnsi="Bookman Old Style" w:cs="Arial"/>
          <w:i/>
          <w:iCs/>
          <w:sz w:val="20"/>
          <w:szCs w:val="20"/>
        </w:rPr>
        <w:t xml:space="preserve"> </w:t>
      </w:r>
      <w:r w:rsidR="00B92050" w:rsidRPr="00B92050">
        <w:rPr>
          <w:rFonts w:ascii="Bookman Old Style" w:hAnsi="Bookman Old Style" w:cs="Arial"/>
          <w:i/>
          <w:iCs/>
          <w:sz w:val="20"/>
          <w:szCs w:val="20"/>
        </w:rPr>
        <w:t>sobre las torres de energía desde la central hidroeléctrica, ubicada en la comunidad</w:t>
      </w:r>
      <w:r w:rsidR="00CF7F23">
        <w:rPr>
          <w:rFonts w:ascii="Bookman Old Style" w:hAnsi="Bookman Old Style" w:cs="Arial"/>
          <w:i/>
          <w:iCs/>
          <w:sz w:val="20"/>
          <w:szCs w:val="20"/>
        </w:rPr>
        <w:t xml:space="preserve"> </w:t>
      </w:r>
      <w:r w:rsidR="00B92050" w:rsidRPr="00B92050">
        <w:rPr>
          <w:rFonts w:ascii="Bookman Old Style" w:hAnsi="Bookman Old Style" w:cs="Arial"/>
          <w:i/>
          <w:iCs/>
          <w:sz w:val="20"/>
          <w:szCs w:val="20"/>
        </w:rPr>
        <w:t>de Santa Cruz, hasta la central Diésel del Municipio de Mitú, en el que se muestre:</w:t>
      </w:r>
      <w:r w:rsidR="00CF7F23">
        <w:rPr>
          <w:rFonts w:ascii="Bookman Old Style" w:hAnsi="Bookman Old Style" w:cs="Arial"/>
          <w:i/>
          <w:iCs/>
          <w:sz w:val="20"/>
          <w:szCs w:val="20"/>
        </w:rPr>
        <w:t xml:space="preserve"> </w:t>
      </w:r>
      <w:r w:rsidR="00B92050" w:rsidRPr="00B92050">
        <w:rPr>
          <w:rFonts w:ascii="Bookman Old Style" w:hAnsi="Bookman Old Style" w:cs="Arial"/>
          <w:i/>
          <w:iCs/>
          <w:sz w:val="20"/>
          <w:szCs w:val="20"/>
        </w:rPr>
        <w:t>la operación actual de este(os) activo(s), los niveles de tensión en los que operan,</w:t>
      </w:r>
      <w:r w:rsidR="00947784">
        <w:rPr>
          <w:rFonts w:ascii="Bookman Old Style" w:hAnsi="Bookman Old Style" w:cs="Arial"/>
          <w:i/>
          <w:iCs/>
          <w:sz w:val="20"/>
          <w:szCs w:val="20"/>
        </w:rPr>
        <w:t xml:space="preserve"> </w:t>
      </w:r>
      <w:r w:rsidR="00B92050" w:rsidRPr="00B92050">
        <w:rPr>
          <w:rFonts w:ascii="Bookman Old Style" w:hAnsi="Bookman Old Style" w:cs="Arial"/>
          <w:i/>
          <w:iCs/>
          <w:sz w:val="20"/>
          <w:szCs w:val="20"/>
        </w:rPr>
        <w:t>los puntos de la línea de 34,5 kV de los que se derivan, y los usuarios servidos.</w:t>
      </w:r>
      <w:r w:rsidR="00947784">
        <w:rPr>
          <w:rFonts w:ascii="Bookman Old Style" w:hAnsi="Bookman Old Style" w:cs="Arial"/>
          <w:i/>
          <w:iCs/>
          <w:sz w:val="20"/>
          <w:szCs w:val="20"/>
        </w:rPr>
        <w:t xml:space="preserve"> </w:t>
      </w:r>
      <w:r>
        <w:rPr>
          <w:rFonts w:ascii="Bookman Old Style" w:hAnsi="Bookman Old Style" w:cs="Arial"/>
          <w:i/>
          <w:iCs/>
          <w:sz w:val="20"/>
          <w:szCs w:val="20"/>
        </w:rPr>
        <w:t>(…)”</w:t>
      </w:r>
    </w:p>
    <w:p w14:paraId="6AA2E10C" w14:textId="77777777" w:rsidR="0035122F" w:rsidRDefault="0035122F" w:rsidP="00E57F55">
      <w:pPr>
        <w:ind w:left="284"/>
        <w:contextualSpacing/>
        <w:jc w:val="both"/>
        <w:rPr>
          <w:rFonts w:ascii="Bookman Old Style" w:hAnsi="Bookman Old Style" w:cs="Arial"/>
        </w:rPr>
      </w:pPr>
    </w:p>
    <w:p w14:paraId="46ECEA7F" w14:textId="025BEABA" w:rsidR="009F240D" w:rsidRDefault="009F240D" w:rsidP="00E57F55">
      <w:pPr>
        <w:ind w:left="284"/>
        <w:contextualSpacing/>
        <w:jc w:val="both"/>
        <w:rPr>
          <w:rFonts w:ascii="Bookman Old Style" w:hAnsi="Bookman Old Style" w:cs="Arial"/>
        </w:rPr>
      </w:pPr>
      <w:r>
        <w:rPr>
          <w:rFonts w:ascii="Bookman Old Style" w:hAnsi="Bookman Old Style" w:cs="Arial"/>
        </w:rPr>
        <w:t xml:space="preserve">En respuesta al Auto de pruebas se recibieron comunicaciones con </w:t>
      </w:r>
      <w:r w:rsidRPr="0086458B">
        <w:rPr>
          <w:rFonts w:ascii="Bookman Old Style" w:hAnsi="Bookman Old Style" w:cs="Arial"/>
        </w:rPr>
        <w:t>radicado</w:t>
      </w:r>
      <w:r w:rsidR="0027455C">
        <w:rPr>
          <w:rFonts w:ascii="Bookman Old Style" w:hAnsi="Bookman Old Style" w:cs="Arial"/>
        </w:rPr>
        <w:t>s</w:t>
      </w:r>
      <w:r w:rsidRPr="0086458B">
        <w:rPr>
          <w:rFonts w:ascii="Bookman Old Style" w:hAnsi="Bookman Old Style" w:cs="Arial"/>
        </w:rPr>
        <w:t xml:space="preserve"> CREG E-2020-003389</w:t>
      </w:r>
      <w:r>
        <w:rPr>
          <w:rFonts w:ascii="Bookman Old Style" w:hAnsi="Bookman Old Style" w:cs="Arial"/>
        </w:rPr>
        <w:t xml:space="preserve"> y </w:t>
      </w:r>
      <w:r w:rsidRPr="0086458B">
        <w:rPr>
          <w:rFonts w:ascii="Bookman Old Style" w:hAnsi="Bookman Old Style" w:cs="Arial"/>
        </w:rPr>
        <w:t>E-2020-003484</w:t>
      </w:r>
      <w:r w:rsidR="00F22672">
        <w:rPr>
          <w:rFonts w:ascii="Bookman Old Style" w:hAnsi="Bookman Old Style" w:cs="Arial"/>
        </w:rPr>
        <w:t>, de GENSA y la Gobernación, respectivamente. En su respuesta</w:t>
      </w:r>
      <w:r w:rsidR="0027455C">
        <w:rPr>
          <w:rFonts w:ascii="Bookman Old Style" w:hAnsi="Bookman Old Style" w:cs="Arial"/>
        </w:rPr>
        <w:t>,</w:t>
      </w:r>
      <w:r w:rsidR="00F22672">
        <w:rPr>
          <w:rFonts w:ascii="Bookman Old Style" w:hAnsi="Bookman Old Style" w:cs="Arial"/>
        </w:rPr>
        <w:t xml:space="preserve"> GENSA informa:</w:t>
      </w:r>
    </w:p>
    <w:p w14:paraId="33955BB7" w14:textId="77777777" w:rsidR="00921D7B" w:rsidRPr="0086458B" w:rsidRDefault="00921D7B" w:rsidP="00E57F55">
      <w:pPr>
        <w:ind w:left="284"/>
        <w:contextualSpacing/>
        <w:jc w:val="both"/>
        <w:rPr>
          <w:rFonts w:ascii="Bookman Old Style" w:hAnsi="Bookman Old Style" w:cs="Arial"/>
        </w:rPr>
      </w:pPr>
    </w:p>
    <w:p w14:paraId="1286B7F7" w14:textId="3BBB1154" w:rsidR="00F22672" w:rsidRDefault="00AE4C9C" w:rsidP="0027455C">
      <w:pPr>
        <w:ind w:left="567"/>
        <w:contextualSpacing/>
        <w:jc w:val="both"/>
        <w:rPr>
          <w:rFonts w:ascii="Bookman Old Style" w:hAnsi="Bookman Old Style" w:cs="Arial"/>
          <w:bCs/>
          <w:i/>
          <w:iCs/>
          <w:sz w:val="20"/>
          <w:szCs w:val="20"/>
        </w:rPr>
      </w:pPr>
      <w:r w:rsidRPr="00921D7B">
        <w:rPr>
          <w:rFonts w:ascii="Bookman Old Style" w:hAnsi="Bookman Old Style" w:cs="Arial"/>
          <w:bCs/>
          <w:i/>
          <w:iCs/>
          <w:sz w:val="20"/>
          <w:szCs w:val="20"/>
        </w:rPr>
        <w:t>“</w:t>
      </w:r>
      <w:r w:rsidR="00F22672">
        <w:rPr>
          <w:rFonts w:ascii="Bookman Old Style" w:hAnsi="Bookman Old Style" w:cs="Arial"/>
          <w:bCs/>
          <w:i/>
          <w:iCs/>
          <w:sz w:val="20"/>
          <w:szCs w:val="20"/>
        </w:rPr>
        <w:t xml:space="preserve">(…) </w:t>
      </w:r>
      <w:r w:rsidR="00363632" w:rsidRPr="00363632">
        <w:rPr>
          <w:rFonts w:ascii="Bookman Old Style" w:hAnsi="Bookman Old Style" w:cs="Arial"/>
          <w:bCs/>
          <w:i/>
          <w:iCs/>
          <w:sz w:val="20"/>
          <w:szCs w:val="20"/>
        </w:rPr>
        <w:t>1. SOBRE EL DIAGRAMA UNIFILAR</w:t>
      </w:r>
      <w:r w:rsidR="00363632">
        <w:rPr>
          <w:rFonts w:ascii="Bookman Old Style" w:hAnsi="Bookman Old Style" w:cs="Arial"/>
          <w:bCs/>
          <w:i/>
          <w:iCs/>
          <w:sz w:val="20"/>
          <w:szCs w:val="20"/>
        </w:rPr>
        <w:t xml:space="preserve"> (…)</w:t>
      </w:r>
    </w:p>
    <w:p w14:paraId="66E1506A" w14:textId="77777777" w:rsidR="00F22672" w:rsidRDefault="00F22672" w:rsidP="0027455C">
      <w:pPr>
        <w:ind w:left="567"/>
        <w:contextualSpacing/>
        <w:jc w:val="both"/>
        <w:rPr>
          <w:rFonts w:ascii="Bookman Old Style" w:hAnsi="Bookman Old Style" w:cs="Arial"/>
          <w:bCs/>
          <w:i/>
          <w:iCs/>
          <w:sz w:val="20"/>
          <w:szCs w:val="20"/>
        </w:rPr>
      </w:pPr>
    </w:p>
    <w:p w14:paraId="3441EFAB" w14:textId="217922C8" w:rsidR="00C8771C" w:rsidRDefault="00C8771C" w:rsidP="0027455C">
      <w:pPr>
        <w:ind w:left="567"/>
        <w:contextualSpacing/>
        <w:jc w:val="both"/>
        <w:rPr>
          <w:rFonts w:ascii="Bookman Old Style" w:hAnsi="Bookman Old Style" w:cs="Arial"/>
          <w:bCs/>
          <w:i/>
          <w:iCs/>
          <w:sz w:val="20"/>
          <w:szCs w:val="20"/>
        </w:rPr>
      </w:pPr>
      <w:r w:rsidRPr="00C8771C">
        <w:rPr>
          <w:rFonts w:ascii="Bookman Old Style" w:hAnsi="Bookman Old Style" w:cs="Arial"/>
          <w:bCs/>
          <w:i/>
          <w:iCs/>
          <w:sz w:val="20"/>
          <w:szCs w:val="20"/>
        </w:rPr>
        <w:t>Por otro lado, se advirtió por parte de CREG que en el diagrama aportado por GENSA no se evidencian derivaciones de la línea de interconexión, lo cual es cierto, sin embargo, se aclara que tal situación tiene que ver con que GENSA se limita a entregar información con relación a la infraestructura que tiene a su cargo en virtud del Contrato Especial·GGC-209-2013 que ha suscrito con el Ministerio de Minas y Energía y, por tanto, dado que los dos (2) transformadores que se constituyen en derivaciones de la línea no hacen parte del inventario entregado a esta empresa, los mismos no se tenían incorporados en los diagramas entregados, ni deben incluirse en ellos, en tanto la empresa no ejerce control alguno en relación con los citados activos.</w:t>
      </w:r>
    </w:p>
    <w:p w14:paraId="49845F92" w14:textId="77777777" w:rsidR="00C8771C" w:rsidRPr="00C8771C" w:rsidRDefault="00C8771C" w:rsidP="0027455C">
      <w:pPr>
        <w:ind w:left="567"/>
        <w:contextualSpacing/>
        <w:jc w:val="both"/>
        <w:rPr>
          <w:rFonts w:ascii="Bookman Old Style" w:hAnsi="Bookman Old Style" w:cs="Arial"/>
          <w:bCs/>
          <w:i/>
          <w:iCs/>
          <w:sz w:val="20"/>
          <w:szCs w:val="20"/>
        </w:rPr>
      </w:pPr>
    </w:p>
    <w:p w14:paraId="0C86292A" w14:textId="17D5B270" w:rsidR="00F22672" w:rsidRDefault="00C8771C" w:rsidP="0027455C">
      <w:pPr>
        <w:ind w:left="567"/>
        <w:contextualSpacing/>
        <w:jc w:val="both"/>
        <w:rPr>
          <w:rFonts w:ascii="Bookman Old Style" w:hAnsi="Bookman Old Style" w:cs="Arial"/>
          <w:bCs/>
          <w:i/>
          <w:iCs/>
          <w:sz w:val="20"/>
          <w:szCs w:val="20"/>
        </w:rPr>
      </w:pPr>
      <w:r w:rsidRPr="00C8771C">
        <w:rPr>
          <w:rFonts w:ascii="Bookman Old Style" w:hAnsi="Bookman Old Style" w:cs="Arial"/>
          <w:bCs/>
          <w:i/>
          <w:iCs/>
          <w:sz w:val="20"/>
          <w:szCs w:val="20"/>
        </w:rPr>
        <w:t>No obstante lo anterior, y con el propósito de coadyuvar en el proceso que viene adelantando la Comisión, entregamos, en documento anexo, un diagrama de la línea de interconexión que incorpora información técnica de los dos (2) transformadores en mención. Valga indicar que esta. información fue recogida mediante trabajo de campo de nuestro personal, y que la misma se recopiló con el único propósito de dar respuesta al Auto de Pruebas emitido por la CREG, sin perjuicio de que se insista en que tales transformadores no hacen parte del inventario de activos a cargo de GENSA, por lo que la información referida a ellos que se entrega, es simplemente la que puede evidenciarse tras una observación ocular de los activos</w:t>
      </w:r>
      <w:r w:rsidR="00FE3667">
        <w:rPr>
          <w:rFonts w:ascii="Bookman Old Style" w:hAnsi="Bookman Old Style" w:cs="Arial"/>
          <w:bCs/>
          <w:i/>
          <w:iCs/>
          <w:sz w:val="20"/>
          <w:szCs w:val="20"/>
        </w:rPr>
        <w:t>. (…)</w:t>
      </w:r>
    </w:p>
    <w:p w14:paraId="20D68EBD" w14:textId="77777777" w:rsidR="00FE3667" w:rsidRDefault="00FE3667" w:rsidP="0027455C">
      <w:pPr>
        <w:ind w:left="567"/>
        <w:contextualSpacing/>
        <w:jc w:val="both"/>
        <w:rPr>
          <w:rFonts w:ascii="Bookman Old Style" w:hAnsi="Bookman Old Style" w:cs="Arial"/>
          <w:bCs/>
          <w:i/>
          <w:iCs/>
          <w:sz w:val="20"/>
          <w:szCs w:val="20"/>
        </w:rPr>
      </w:pPr>
    </w:p>
    <w:p w14:paraId="347016A0" w14:textId="53A434FD" w:rsidR="00FE3667" w:rsidRDefault="00FE3667" w:rsidP="0027455C">
      <w:pPr>
        <w:ind w:left="567"/>
        <w:contextualSpacing/>
        <w:jc w:val="both"/>
        <w:rPr>
          <w:rFonts w:ascii="Bookman Old Style" w:hAnsi="Bookman Old Style" w:cs="Arial"/>
          <w:bCs/>
          <w:i/>
          <w:iCs/>
          <w:sz w:val="20"/>
          <w:szCs w:val="20"/>
        </w:rPr>
      </w:pPr>
      <w:r w:rsidRPr="00FE3667">
        <w:rPr>
          <w:rFonts w:ascii="Bookman Old Style" w:hAnsi="Bookman Old Style" w:cs="Arial"/>
          <w:bCs/>
          <w:i/>
          <w:iCs/>
          <w:sz w:val="20"/>
          <w:szCs w:val="20"/>
        </w:rPr>
        <w:t>2. SOBRE EL COMUNICADO DE DUE CAPITAL AND SERVICES</w:t>
      </w:r>
    </w:p>
    <w:p w14:paraId="3C052D78" w14:textId="77777777" w:rsidR="00F22672" w:rsidRDefault="00F22672" w:rsidP="0027455C">
      <w:pPr>
        <w:ind w:left="567"/>
        <w:contextualSpacing/>
        <w:jc w:val="both"/>
        <w:rPr>
          <w:rFonts w:ascii="Bookman Old Style" w:hAnsi="Bookman Old Style" w:cs="Arial"/>
          <w:bCs/>
          <w:i/>
          <w:iCs/>
          <w:sz w:val="20"/>
          <w:szCs w:val="20"/>
        </w:rPr>
      </w:pPr>
    </w:p>
    <w:p w14:paraId="3BE813DD" w14:textId="74575E10" w:rsidR="00FE3667" w:rsidRDefault="00FE3667" w:rsidP="0027455C">
      <w:pPr>
        <w:ind w:left="567"/>
        <w:contextualSpacing/>
        <w:jc w:val="both"/>
        <w:rPr>
          <w:rFonts w:ascii="Bookman Old Style" w:hAnsi="Bookman Old Style" w:cs="Arial"/>
          <w:bCs/>
          <w:i/>
          <w:iCs/>
          <w:sz w:val="20"/>
          <w:szCs w:val="20"/>
        </w:rPr>
      </w:pPr>
      <w:r>
        <w:rPr>
          <w:rFonts w:ascii="Bookman Old Style" w:hAnsi="Bookman Old Style" w:cs="Arial"/>
          <w:bCs/>
          <w:i/>
          <w:iCs/>
          <w:sz w:val="20"/>
          <w:szCs w:val="20"/>
        </w:rPr>
        <w:t>2.1. CLARIDADES SOBRE EL ROL DE GENSA</w:t>
      </w:r>
    </w:p>
    <w:p w14:paraId="0CD3BA09" w14:textId="77777777" w:rsidR="00F22672" w:rsidRDefault="00F22672" w:rsidP="0027455C">
      <w:pPr>
        <w:ind w:left="567"/>
        <w:contextualSpacing/>
        <w:jc w:val="both"/>
        <w:rPr>
          <w:rFonts w:ascii="Bookman Old Style" w:hAnsi="Bookman Old Style" w:cs="Arial"/>
          <w:bCs/>
          <w:i/>
          <w:iCs/>
          <w:sz w:val="20"/>
          <w:szCs w:val="20"/>
        </w:rPr>
      </w:pPr>
    </w:p>
    <w:p w14:paraId="2F6102A0" w14:textId="5E040A0D" w:rsidR="00F22672" w:rsidRDefault="00175E0A" w:rsidP="0027455C">
      <w:pPr>
        <w:ind w:left="567"/>
        <w:contextualSpacing/>
        <w:jc w:val="both"/>
        <w:rPr>
          <w:rFonts w:ascii="Bookman Old Style" w:hAnsi="Bookman Old Style" w:cs="Arial"/>
          <w:bCs/>
          <w:i/>
          <w:iCs/>
          <w:sz w:val="20"/>
          <w:szCs w:val="20"/>
        </w:rPr>
      </w:pPr>
      <w:r w:rsidRPr="00175E0A">
        <w:rPr>
          <w:rFonts w:ascii="Bookman Old Style" w:hAnsi="Bookman Old Style" w:cs="Arial"/>
          <w:bCs/>
          <w:i/>
          <w:iCs/>
          <w:sz w:val="20"/>
          <w:szCs w:val="20"/>
        </w:rPr>
        <w:t>Como elemento importante para conceptuar sobre el comunicado de la firma DUE CAPITAL AN</w:t>
      </w:r>
      <w:r w:rsidR="0086116A">
        <w:rPr>
          <w:rFonts w:ascii="Bookman Old Style" w:hAnsi="Bookman Old Style" w:cs="Arial"/>
          <w:bCs/>
          <w:i/>
          <w:iCs/>
          <w:sz w:val="20"/>
          <w:szCs w:val="20"/>
        </w:rPr>
        <w:t>D</w:t>
      </w:r>
      <w:r w:rsidRPr="00175E0A">
        <w:rPr>
          <w:rFonts w:ascii="Bookman Old Style" w:hAnsi="Bookman Old Style" w:cs="Arial"/>
          <w:bCs/>
          <w:i/>
          <w:iCs/>
          <w:sz w:val="20"/>
          <w:szCs w:val="20"/>
        </w:rPr>
        <w:t xml:space="preserve"> SERVICES, GENSA informa que su rol en Mitú se circunscribe al cumplimiento del Contrato Especial GGC-209-2013 celebrado con el Ministerio de Minas y Energía mediante el cual se le otorgó a la sociedad el uso y goce de los activos de generación del municipio de Mitú, los cuales se constituyen por la PCH Mitú, la subestación Mitú, la línea de interconexión y la central térmica del mismo municipio. En consecuencia, GENSA</w:t>
      </w:r>
      <w:r w:rsidR="00ED5D31">
        <w:rPr>
          <w:rFonts w:ascii="Bookman Old Style" w:hAnsi="Bookman Old Style" w:cs="Arial"/>
          <w:bCs/>
          <w:i/>
          <w:iCs/>
          <w:sz w:val="20"/>
          <w:szCs w:val="20"/>
        </w:rPr>
        <w:t xml:space="preserve"> </w:t>
      </w:r>
      <w:r w:rsidR="00ED5D31" w:rsidRPr="00ED5D31">
        <w:rPr>
          <w:rFonts w:ascii="Bookman Old Style" w:hAnsi="Bookman Old Style" w:cs="Arial"/>
          <w:bCs/>
          <w:i/>
          <w:iCs/>
          <w:sz w:val="20"/>
          <w:szCs w:val="20"/>
        </w:rPr>
        <w:t>exclusivamente presta el servicio de generación de energía eléctrica en el mencionado Municipio.</w:t>
      </w:r>
      <w:r w:rsidR="00ED5D31">
        <w:rPr>
          <w:rFonts w:ascii="Bookman Old Style" w:hAnsi="Bookman Old Style" w:cs="Arial"/>
          <w:bCs/>
          <w:i/>
          <w:iCs/>
          <w:sz w:val="20"/>
          <w:szCs w:val="20"/>
        </w:rPr>
        <w:t xml:space="preserve"> (…)</w:t>
      </w:r>
    </w:p>
    <w:p w14:paraId="1CFB7FCC" w14:textId="77777777" w:rsidR="0086116A" w:rsidRDefault="0086116A" w:rsidP="0027455C">
      <w:pPr>
        <w:ind w:left="567"/>
        <w:contextualSpacing/>
        <w:jc w:val="both"/>
        <w:rPr>
          <w:rFonts w:ascii="Bookman Old Style" w:hAnsi="Bookman Old Style" w:cs="Arial"/>
          <w:bCs/>
          <w:i/>
          <w:iCs/>
          <w:sz w:val="20"/>
          <w:szCs w:val="20"/>
        </w:rPr>
      </w:pPr>
    </w:p>
    <w:p w14:paraId="1A52C056" w14:textId="48569A4E" w:rsidR="0086116A" w:rsidRPr="0086116A" w:rsidRDefault="0086116A" w:rsidP="0027455C">
      <w:pPr>
        <w:ind w:left="567"/>
        <w:contextualSpacing/>
        <w:jc w:val="both"/>
        <w:rPr>
          <w:rFonts w:ascii="Bookman Old Style" w:hAnsi="Bookman Old Style" w:cs="Arial"/>
          <w:bCs/>
          <w:i/>
          <w:iCs/>
          <w:sz w:val="20"/>
          <w:szCs w:val="20"/>
        </w:rPr>
      </w:pPr>
      <w:r w:rsidRPr="0086116A">
        <w:rPr>
          <w:rFonts w:ascii="Bookman Old Style" w:hAnsi="Bookman Old Style" w:cs="Arial"/>
          <w:bCs/>
          <w:i/>
          <w:iCs/>
          <w:sz w:val="20"/>
          <w:szCs w:val="20"/>
        </w:rPr>
        <w:t xml:space="preserve">Es importante evidenciar que, dentro de los elementos entregados a GENSA, no se relacionan los dos transformadores descritos por </w:t>
      </w:r>
      <w:r>
        <w:rPr>
          <w:rFonts w:ascii="Bookman Old Style" w:hAnsi="Bookman Old Style" w:cs="Arial"/>
          <w:bCs/>
          <w:i/>
          <w:iCs/>
          <w:sz w:val="20"/>
          <w:szCs w:val="20"/>
        </w:rPr>
        <w:t>D</w:t>
      </w:r>
      <w:r w:rsidRPr="0086116A">
        <w:rPr>
          <w:rFonts w:ascii="Bookman Old Style" w:hAnsi="Bookman Old Style" w:cs="Arial"/>
          <w:bCs/>
          <w:i/>
          <w:iCs/>
          <w:sz w:val="20"/>
          <w:szCs w:val="20"/>
        </w:rPr>
        <w:t>UE CAPITAL AN</w:t>
      </w:r>
      <w:r w:rsidR="00F02C2E">
        <w:rPr>
          <w:rFonts w:ascii="Bookman Old Style" w:hAnsi="Bookman Old Style" w:cs="Arial"/>
          <w:bCs/>
          <w:i/>
          <w:iCs/>
          <w:sz w:val="20"/>
          <w:szCs w:val="20"/>
        </w:rPr>
        <w:t>D</w:t>
      </w:r>
      <w:r w:rsidRPr="0086116A">
        <w:rPr>
          <w:rFonts w:ascii="Bookman Old Style" w:hAnsi="Bookman Old Style" w:cs="Arial"/>
          <w:bCs/>
          <w:i/>
          <w:iCs/>
          <w:sz w:val="20"/>
          <w:szCs w:val="20"/>
        </w:rPr>
        <w:t xml:space="preserve"> SERVICES que hacen parte de las dos (2) derivaciones de la línea de interconexión que se reconoce existen</w:t>
      </w:r>
      <w:r w:rsidR="000D16EF">
        <w:rPr>
          <w:rFonts w:ascii="Bookman Old Style" w:hAnsi="Bookman Old Style" w:cs="Arial"/>
          <w:bCs/>
          <w:i/>
          <w:iCs/>
          <w:sz w:val="20"/>
          <w:szCs w:val="20"/>
        </w:rPr>
        <w:t>. (…)</w:t>
      </w:r>
    </w:p>
    <w:p w14:paraId="67DCA7A1" w14:textId="77777777" w:rsidR="00F02C2E" w:rsidRDefault="00F02C2E" w:rsidP="0027455C">
      <w:pPr>
        <w:ind w:left="567"/>
        <w:contextualSpacing/>
        <w:jc w:val="both"/>
        <w:rPr>
          <w:rFonts w:ascii="Bookman Old Style" w:hAnsi="Bookman Old Style" w:cs="Arial"/>
          <w:bCs/>
          <w:i/>
          <w:iCs/>
          <w:sz w:val="20"/>
          <w:szCs w:val="20"/>
        </w:rPr>
      </w:pPr>
    </w:p>
    <w:p w14:paraId="17A61965" w14:textId="5CC1ED4D" w:rsidR="0086116A" w:rsidRDefault="0086116A" w:rsidP="0027455C">
      <w:pPr>
        <w:ind w:left="567"/>
        <w:contextualSpacing/>
        <w:jc w:val="both"/>
        <w:rPr>
          <w:rFonts w:ascii="Bookman Old Style" w:hAnsi="Bookman Old Style" w:cs="Arial"/>
          <w:bCs/>
          <w:i/>
          <w:iCs/>
          <w:sz w:val="20"/>
          <w:szCs w:val="20"/>
        </w:rPr>
      </w:pPr>
      <w:r w:rsidRPr="0086116A">
        <w:rPr>
          <w:rFonts w:ascii="Bookman Old Style" w:hAnsi="Bookman Old Style" w:cs="Arial"/>
          <w:bCs/>
          <w:i/>
          <w:iCs/>
          <w:sz w:val="20"/>
          <w:szCs w:val="20"/>
        </w:rPr>
        <w:t>2.2. COMENTARIOS SOBRE LA LÍNEA DE INTERCONEXIÓN.</w:t>
      </w:r>
      <w:r w:rsidR="00B270E0">
        <w:rPr>
          <w:rFonts w:ascii="Bookman Old Style" w:hAnsi="Bookman Old Style" w:cs="Arial"/>
          <w:bCs/>
          <w:i/>
          <w:iCs/>
          <w:sz w:val="20"/>
          <w:szCs w:val="20"/>
        </w:rPr>
        <w:t xml:space="preserve"> (…)</w:t>
      </w:r>
    </w:p>
    <w:p w14:paraId="649738F7" w14:textId="77777777" w:rsidR="00B270E0" w:rsidRDefault="00B270E0" w:rsidP="0027455C">
      <w:pPr>
        <w:ind w:left="567"/>
        <w:contextualSpacing/>
        <w:jc w:val="both"/>
        <w:rPr>
          <w:rFonts w:ascii="Bookman Old Style" w:hAnsi="Bookman Old Style" w:cs="Arial"/>
          <w:bCs/>
          <w:i/>
          <w:iCs/>
          <w:sz w:val="20"/>
          <w:szCs w:val="20"/>
        </w:rPr>
      </w:pPr>
    </w:p>
    <w:p w14:paraId="43EDD0F1" w14:textId="337D7717" w:rsidR="00355282" w:rsidRDefault="009F2F16" w:rsidP="0027455C">
      <w:pPr>
        <w:ind w:left="567"/>
        <w:contextualSpacing/>
        <w:jc w:val="both"/>
        <w:rPr>
          <w:rFonts w:ascii="Bookman Old Style" w:hAnsi="Bookman Old Style" w:cs="Arial"/>
          <w:bCs/>
          <w:i/>
          <w:iCs/>
          <w:sz w:val="20"/>
          <w:szCs w:val="20"/>
        </w:rPr>
      </w:pPr>
      <w:r>
        <w:rPr>
          <w:rFonts w:ascii="Bookman Old Style" w:hAnsi="Bookman Old Style" w:cs="Arial"/>
          <w:bCs/>
          <w:i/>
          <w:iCs/>
          <w:sz w:val="20"/>
          <w:szCs w:val="20"/>
        </w:rPr>
        <w:t xml:space="preserve">Al respecto, </w:t>
      </w:r>
      <w:r w:rsidR="00B270E0" w:rsidRPr="00B270E0">
        <w:rPr>
          <w:rFonts w:ascii="Bookman Old Style" w:hAnsi="Bookman Old Style" w:cs="Arial"/>
          <w:bCs/>
          <w:i/>
          <w:iCs/>
          <w:sz w:val="20"/>
          <w:szCs w:val="20"/>
        </w:rPr>
        <w:t>queremos ser enfáticos en que esos activos, como se mencionó en el numeral anterior, fueron entregados por el Ministerio de Minas y Energía a GENSA como activos de generación del Municipio de Mitú. Adicional a ello, en nuestra consideración, dichos activos son de generación pues los mismos</w:t>
      </w:r>
      <w:r w:rsidR="00355282">
        <w:rPr>
          <w:rFonts w:ascii="Bookman Old Style" w:hAnsi="Bookman Old Style" w:cs="Arial"/>
          <w:bCs/>
          <w:i/>
          <w:iCs/>
          <w:sz w:val="20"/>
          <w:szCs w:val="20"/>
        </w:rPr>
        <w:t xml:space="preserve"> </w:t>
      </w:r>
      <w:r w:rsidR="00355282" w:rsidRPr="00355282">
        <w:rPr>
          <w:rFonts w:ascii="Bookman Old Style" w:hAnsi="Bookman Old Style" w:cs="Arial"/>
          <w:bCs/>
          <w:i/>
          <w:iCs/>
          <w:sz w:val="20"/>
          <w:szCs w:val="20"/>
        </w:rPr>
        <w:t>fueron construidos para interconectar un centro de generación, la PCH, con la barra de generación situada e</w:t>
      </w:r>
      <w:r w:rsidR="004923DA">
        <w:rPr>
          <w:rFonts w:ascii="Bookman Old Style" w:hAnsi="Bookman Old Style" w:cs="Arial"/>
          <w:bCs/>
          <w:i/>
          <w:iCs/>
          <w:sz w:val="20"/>
          <w:szCs w:val="20"/>
        </w:rPr>
        <w:t>n</w:t>
      </w:r>
      <w:r w:rsidR="00355282" w:rsidRPr="00355282">
        <w:rPr>
          <w:rFonts w:ascii="Bookman Old Style" w:hAnsi="Bookman Old Style" w:cs="Arial"/>
          <w:bCs/>
          <w:i/>
          <w:iCs/>
          <w:sz w:val="20"/>
          <w:szCs w:val="20"/>
        </w:rPr>
        <w:t xml:space="preserve"> la subestación ubicada en la central térmica del municipio de Mitú, sitio donde inicia el Sistema de Distribución de Mitú como tal, en la medida que también confluyen la frontera comercial y los equipos de telemedida del CNM operados por el IPSE.</w:t>
      </w:r>
    </w:p>
    <w:p w14:paraId="31CAE4AA" w14:textId="77777777" w:rsidR="000F192E" w:rsidRPr="00355282" w:rsidRDefault="000F192E" w:rsidP="0027455C">
      <w:pPr>
        <w:ind w:left="567"/>
        <w:contextualSpacing/>
        <w:jc w:val="both"/>
        <w:rPr>
          <w:rFonts w:ascii="Bookman Old Style" w:hAnsi="Bookman Old Style" w:cs="Arial"/>
          <w:bCs/>
          <w:i/>
          <w:iCs/>
          <w:sz w:val="20"/>
          <w:szCs w:val="20"/>
        </w:rPr>
      </w:pPr>
    </w:p>
    <w:p w14:paraId="4BFE1E3E" w14:textId="6F466D8B" w:rsidR="00B270E0" w:rsidRDefault="00355282" w:rsidP="0027455C">
      <w:pPr>
        <w:ind w:left="567"/>
        <w:contextualSpacing/>
        <w:jc w:val="both"/>
        <w:rPr>
          <w:rFonts w:ascii="Bookman Old Style" w:hAnsi="Bookman Old Style" w:cs="Arial"/>
          <w:bCs/>
          <w:i/>
          <w:iCs/>
          <w:sz w:val="20"/>
          <w:szCs w:val="20"/>
        </w:rPr>
      </w:pPr>
      <w:r w:rsidRPr="00355282">
        <w:rPr>
          <w:rFonts w:ascii="Bookman Old Style" w:hAnsi="Bookman Old Style" w:cs="Arial"/>
          <w:bCs/>
          <w:i/>
          <w:iCs/>
          <w:sz w:val="20"/>
          <w:szCs w:val="20"/>
        </w:rPr>
        <w:t>Bajo ese entendido, GENSA, administra, opera y mantiene dichos activos como generador de energía eléctrica, y no como distribuidor y/o comercializador.</w:t>
      </w:r>
      <w:r w:rsidR="000F192E">
        <w:rPr>
          <w:rFonts w:ascii="Bookman Old Style" w:hAnsi="Bookman Old Style" w:cs="Arial"/>
          <w:bCs/>
          <w:i/>
          <w:iCs/>
          <w:sz w:val="20"/>
          <w:szCs w:val="20"/>
        </w:rPr>
        <w:t xml:space="preserve"> (…)</w:t>
      </w:r>
    </w:p>
    <w:p w14:paraId="2ABCC8A4" w14:textId="77777777" w:rsidR="000F192E" w:rsidRDefault="000F192E" w:rsidP="0027455C">
      <w:pPr>
        <w:ind w:left="567"/>
        <w:contextualSpacing/>
        <w:jc w:val="both"/>
        <w:rPr>
          <w:rFonts w:ascii="Bookman Old Style" w:hAnsi="Bookman Old Style" w:cs="Arial"/>
          <w:bCs/>
          <w:i/>
          <w:iCs/>
          <w:sz w:val="20"/>
          <w:szCs w:val="20"/>
        </w:rPr>
      </w:pPr>
    </w:p>
    <w:p w14:paraId="272430D4" w14:textId="720580D2" w:rsidR="000F192E" w:rsidRDefault="007E7E31" w:rsidP="0027455C">
      <w:pPr>
        <w:ind w:left="567"/>
        <w:contextualSpacing/>
        <w:jc w:val="both"/>
        <w:rPr>
          <w:rFonts w:ascii="Bookman Old Style" w:hAnsi="Bookman Old Style" w:cs="Arial"/>
          <w:bCs/>
          <w:i/>
          <w:iCs/>
          <w:sz w:val="20"/>
          <w:szCs w:val="20"/>
        </w:rPr>
      </w:pPr>
      <w:r w:rsidRPr="007E7E31">
        <w:rPr>
          <w:rFonts w:ascii="Bookman Old Style" w:hAnsi="Bookman Old Style" w:cs="Arial"/>
          <w:bCs/>
          <w:i/>
          <w:iCs/>
          <w:sz w:val="20"/>
          <w:szCs w:val="20"/>
        </w:rPr>
        <w:t>En ese sentido, queremos aclarar que GENSA no se opone a la estructuración y desarrollo de ningún proyecto de generación en las Zonas No Interconectadas en que esta produce energía, sino que, dentro del desarrollo de sus actividades, no es de su competencia atender la solicitud que en el caso en concreto se ha</w:t>
      </w:r>
      <w:r w:rsidR="00562B60">
        <w:rPr>
          <w:rFonts w:ascii="Bookman Old Style" w:hAnsi="Bookman Old Style" w:cs="Arial"/>
          <w:bCs/>
          <w:i/>
          <w:iCs/>
          <w:sz w:val="20"/>
          <w:szCs w:val="20"/>
        </w:rPr>
        <w:t xml:space="preserve"> </w:t>
      </w:r>
      <w:r w:rsidR="00562B60" w:rsidRPr="00562B60">
        <w:rPr>
          <w:rFonts w:ascii="Bookman Old Style" w:hAnsi="Bookman Old Style" w:cs="Arial"/>
          <w:bCs/>
          <w:i/>
          <w:iCs/>
          <w:sz w:val="20"/>
          <w:szCs w:val="20"/>
        </w:rPr>
        <w:t>presentado, máxime cuando nunca ha atendido una solicitud de este tipo, ni tiene experiencia previa para atender una aprobación como la solicitada.</w:t>
      </w:r>
      <w:r w:rsidR="00AB674E">
        <w:rPr>
          <w:rFonts w:ascii="Bookman Old Style" w:hAnsi="Bookman Old Style" w:cs="Arial"/>
          <w:bCs/>
          <w:i/>
          <w:iCs/>
          <w:sz w:val="20"/>
          <w:szCs w:val="20"/>
        </w:rPr>
        <w:t xml:space="preserve"> (…)</w:t>
      </w:r>
    </w:p>
    <w:p w14:paraId="3EA00D5E" w14:textId="77777777" w:rsidR="00F22672" w:rsidRDefault="00F22672" w:rsidP="0027455C">
      <w:pPr>
        <w:ind w:left="567"/>
        <w:contextualSpacing/>
        <w:jc w:val="both"/>
        <w:rPr>
          <w:rFonts w:ascii="Bookman Old Style" w:hAnsi="Bookman Old Style" w:cs="Arial"/>
          <w:bCs/>
          <w:i/>
          <w:iCs/>
          <w:sz w:val="20"/>
          <w:szCs w:val="20"/>
        </w:rPr>
      </w:pPr>
    </w:p>
    <w:p w14:paraId="11810210" w14:textId="552A6635" w:rsidR="00CD4B83" w:rsidRDefault="00CD4B83" w:rsidP="0027455C">
      <w:pPr>
        <w:ind w:left="567"/>
        <w:contextualSpacing/>
        <w:jc w:val="both"/>
        <w:rPr>
          <w:rFonts w:ascii="Bookman Old Style" w:hAnsi="Bookman Old Style" w:cs="Arial"/>
          <w:bCs/>
          <w:i/>
          <w:iCs/>
          <w:sz w:val="20"/>
          <w:szCs w:val="20"/>
        </w:rPr>
      </w:pPr>
      <w:r w:rsidRPr="00CD4B83">
        <w:rPr>
          <w:rFonts w:ascii="Bookman Old Style" w:hAnsi="Bookman Old Style" w:cs="Arial"/>
          <w:bCs/>
          <w:i/>
          <w:iCs/>
          <w:sz w:val="20"/>
          <w:szCs w:val="20"/>
        </w:rPr>
        <w:t>2.3. COMENTARIOS SOBRE LAS DERIVACIONES DE LA LÍNEA DE INTERCONEXIÓN</w:t>
      </w:r>
    </w:p>
    <w:p w14:paraId="4E2CF5D2" w14:textId="77777777" w:rsidR="00CD4B83" w:rsidRPr="00CD4B83" w:rsidRDefault="00CD4B83" w:rsidP="0027455C">
      <w:pPr>
        <w:ind w:left="567"/>
        <w:contextualSpacing/>
        <w:jc w:val="both"/>
        <w:rPr>
          <w:rFonts w:ascii="Bookman Old Style" w:hAnsi="Bookman Old Style" w:cs="Arial"/>
          <w:bCs/>
          <w:i/>
          <w:iCs/>
          <w:sz w:val="20"/>
          <w:szCs w:val="20"/>
        </w:rPr>
      </w:pPr>
    </w:p>
    <w:p w14:paraId="1D38E354" w14:textId="77777777" w:rsidR="00CD4B83" w:rsidRPr="00CD4B83" w:rsidRDefault="00CD4B83" w:rsidP="0027455C">
      <w:pPr>
        <w:ind w:left="567"/>
        <w:contextualSpacing/>
        <w:jc w:val="both"/>
        <w:rPr>
          <w:rFonts w:ascii="Bookman Old Style" w:hAnsi="Bookman Old Style" w:cs="Arial"/>
          <w:bCs/>
          <w:i/>
          <w:iCs/>
          <w:sz w:val="20"/>
          <w:szCs w:val="20"/>
        </w:rPr>
      </w:pPr>
      <w:r w:rsidRPr="00CD4B83">
        <w:rPr>
          <w:rFonts w:ascii="Bookman Old Style" w:hAnsi="Bookman Old Style" w:cs="Arial"/>
          <w:bCs/>
          <w:i/>
          <w:iCs/>
          <w:sz w:val="20"/>
          <w:szCs w:val="20"/>
        </w:rPr>
        <w:t xml:space="preserve">Para sustentar el argumento de que la línea de interconexión existente entre la PCH Mitú y la barra de generación existente en la central térmica, se constituye en un activo de distribución, la firma DUE CAPITAL AND SERVICES entrega un inventario de 20 puntos de los que, según sus conclusiones, son derivaciones de la mencionada línea, con las cuales se atienden usuarios finales. </w:t>
      </w:r>
    </w:p>
    <w:p w14:paraId="1F4B6540" w14:textId="77777777" w:rsidR="00BD7665" w:rsidRDefault="00BD7665" w:rsidP="0027455C">
      <w:pPr>
        <w:ind w:left="567"/>
        <w:contextualSpacing/>
        <w:jc w:val="both"/>
        <w:rPr>
          <w:rFonts w:ascii="Bookman Old Style" w:hAnsi="Bookman Old Style" w:cs="Arial"/>
          <w:bCs/>
          <w:i/>
          <w:iCs/>
          <w:sz w:val="20"/>
          <w:szCs w:val="20"/>
        </w:rPr>
      </w:pPr>
    </w:p>
    <w:p w14:paraId="2A75CAE2" w14:textId="6AC8C7D4" w:rsidR="00CD4B83" w:rsidRDefault="00CD4B83" w:rsidP="0027455C">
      <w:pPr>
        <w:ind w:left="567"/>
        <w:contextualSpacing/>
        <w:jc w:val="both"/>
        <w:rPr>
          <w:rFonts w:ascii="Bookman Old Style" w:hAnsi="Bookman Old Style" w:cs="Arial"/>
          <w:bCs/>
          <w:i/>
          <w:iCs/>
          <w:sz w:val="20"/>
          <w:szCs w:val="20"/>
        </w:rPr>
      </w:pPr>
      <w:r w:rsidRPr="00CD4B83">
        <w:rPr>
          <w:rFonts w:ascii="Bookman Old Style" w:hAnsi="Bookman Old Style" w:cs="Arial"/>
          <w:bCs/>
          <w:i/>
          <w:iCs/>
          <w:sz w:val="20"/>
          <w:szCs w:val="20"/>
        </w:rPr>
        <w:t xml:space="preserve">Sobre este particular GENSA aclara que lo correspondiente a los puntos 1 y 2 esto es, el transformador de Santa Cruz y el transformador de </w:t>
      </w:r>
      <w:r w:rsidR="001509DB">
        <w:rPr>
          <w:rFonts w:ascii="Bookman Old Style" w:hAnsi="Bookman Old Style" w:cs="Arial"/>
          <w:bCs/>
          <w:i/>
          <w:iCs/>
          <w:sz w:val="20"/>
          <w:szCs w:val="20"/>
        </w:rPr>
        <w:t>‘</w:t>
      </w:r>
      <w:r w:rsidRPr="00CD4B83">
        <w:rPr>
          <w:rFonts w:ascii="Bookman Old Style" w:hAnsi="Bookman Old Style" w:cs="Arial"/>
          <w:bCs/>
          <w:i/>
          <w:iCs/>
          <w:sz w:val="20"/>
          <w:szCs w:val="20"/>
        </w:rPr>
        <w:t>Puente Lata</w:t>
      </w:r>
      <w:r w:rsidR="001509DB">
        <w:rPr>
          <w:rFonts w:ascii="Bookman Old Style" w:hAnsi="Bookman Old Style" w:cs="Arial"/>
          <w:bCs/>
          <w:i/>
          <w:iCs/>
          <w:sz w:val="20"/>
          <w:szCs w:val="20"/>
        </w:rPr>
        <w:t>’</w:t>
      </w:r>
      <w:r w:rsidRPr="00CD4B83">
        <w:rPr>
          <w:rFonts w:ascii="Bookman Old Style" w:hAnsi="Bookman Old Style" w:cs="Arial"/>
          <w:bCs/>
          <w:i/>
          <w:iCs/>
          <w:sz w:val="20"/>
          <w:szCs w:val="20"/>
        </w:rPr>
        <w:t xml:space="preserve"> se alimentan directamente desde la línea a 34.5 kV, sin embargo ninguno de estos dos transformadores fue entregado a GENSA para su administración, operación y mantenimiento, pues como ya se indicó en el numeral 2.1., los elementos sobre los que se le otorgó a esta sociedad el uso y goce corresponden exclusivamente a aquellos activos necesarios para la interconexión de la PCH Mitú hasta la barra de generación ubicada en la central térmica del municipio.</w:t>
      </w:r>
    </w:p>
    <w:p w14:paraId="2B8201F4" w14:textId="77777777" w:rsidR="00A27194" w:rsidRPr="00CD4B83" w:rsidRDefault="00A27194" w:rsidP="0027455C">
      <w:pPr>
        <w:ind w:left="567"/>
        <w:contextualSpacing/>
        <w:jc w:val="both"/>
        <w:rPr>
          <w:rFonts w:ascii="Bookman Old Style" w:hAnsi="Bookman Old Style" w:cs="Arial"/>
          <w:bCs/>
          <w:i/>
          <w:iCs/>
          <w:sz w:val="20"/>
          <w:szCs w:val="20"/>
        </w:rPr>
      </w:pPr>
    </w:p>
    <w:p w14:paraId="39C5D509" w14:textId="77CB4E79" w:rsidR="000D16EF" w:rsidRDefault="00CD4B83" w:rsidP="0027455C">
      <w:pPr>
        <w:ind w:left="567"/>
        <w:contextualSpacing/>
        <w:jc w:val="both"/>
        <w:rPr>
          <w:rFonts w:ascii="Bookman Old Style" w:hAnsi="Bookman Old Style" w:cs="Arial"/>
          <w:bCs/>
          <w:i/>
          <w:iCs/>
          <w:sz w:val="20"/>
          <w:szCs w:val="20"/>
        </w:rPr>
      </w:pPr>
      <w:r w:rsidRPr="00CD4B83">
        <w:rPr>
          <w:rFonts w:ascii="Bookman Old Style" w:hAnsi="Bookman Old Style" w:cs="Arial"/>
          <w:bCs/>
          <w:i/>
          <w:iCs/>
          <w:sz w:val="20"/>
          <w:szCs w:val="20"/>
        </w:rPr>
        <w:t>De igual forma, se informa que en esas derivaciones no se encuentra ningún tipo de medición, frontera comercial y/o barra de generación. Se desconoce la forma en que se atienden usuarios finales con los activos de la derivación, así como las condiciones en que se realizó originalmente su conexión.</w:t>
      </w:r>
      <w:r w:rsidR="002B7647">
        <w:rPr>
          <w:rFonts w:ascii="Bookman Old Style" w:hAnsi="Bookman Old Style" w:cs="Arial"/>
          <w:bCs/>
          <w:i/>
          <w:iCs/>
          <w:sz w:val="20"/>
          <w:szCs w:val="20"/>
        </w:rPr>
        <w:t xml:space="preserve"> (…)</w:t>
      </w:r>
    </w:p>
    <w:p w14:paraId="6ECCA165" w14:textId="77777777" w:rsidR="002B7647" w:rsidRDefault="002B7647" w:rsidP="0027455C">
      <w:pPr>
        <w:ind w:left="567"/>
        <w:contextualSpacing/>
        <w:jc w:val="both"/>
        <w:rPr>
          <w:rFonts w:ascii="Bookman Old Style" w:hAnsi="Bookman Old Style" w:cs="Arial"/>
          <w:bCs/>
          <w:i/>
          <w:iCs/>
          <w:sz w:val="20"/>
          <w:szCs w:val="20"/>
        </w:rPr>
      </w:pPr>
    </w:p>
    <w:p w14:paraId="4DE1B537" w14:textId="6AA99812" w:rsidR="002B7647" w:rsidRDefault="002B7647" w:rsidP="0027455C">
      <w:pPr>
        <w:ind w:left="567"/>
        <w:contextualSpacing/>
        <w:jc w:val="both"/>
        <w:rPr>
          <w:rFonts w:ascii="Bookman Old Style" w:hAnsi="Bookman Old Style" w:cs="Arial"/>
          <w:bCs/>
          <w:i/>
          <w:iCs/>
          <w:sz w:val="20"/>
          <w:szCs w:val="20"/>
        </w:rPr>
      </w:pPr>
      <w:r>
        <w:rPr>
          <w:rFonts w:ascii="Bookman Old Style" w:hAnsi="Bookman Old Style" w:cs="Arial"/>
          <w:bCs/>
          <w:i/>
          <w:iCs/>
          <w:sz w:val="20"/>
          <w:szCs w:val="20"/>
        </w:rPr>
        <w:t xml:space="preserve">3. MECANISMOS O ACUERDOS </w:t>
      </w:r>
      <w:r w:rsidR="005D74DE">
        <w:rPr>
          <w:rFonts w:ascii="Bookman Old Style" w:hAnsi="Bookman Old Style" w:cs="Arial"/>
          <w:bCs/>
          <w:i/>
          <w:iCs/>
          <w:sz w:val="20"/>
          <w:szCs w:val="20"/>
        </w:rPr>
        <w:t>PARA LA AOM DE LAS DERIVACIONES</w:t>
      </w:r>
    </w:p>
    <w:p w14:paraId="6A50BCD8" w14:textId="77777777" w:rsidR="002B7647" w:rsidRDefault="002B7647" w:rsidP="0027455C">
      <w:pPr>
        <w:ind w:left="567"/>
        <w:contextualSpacing/>
        <w:jc w:val="both"/>
        <w:rPr>
          <w:rFonts w:ascii="Bookman Old Style" w:hAnsi="Bookman Old Style" w:cs="Arial"/>
          <w:bCs/>
          <w:i/>
          <w:iCs/>
          <w:sz w:val="20"/>
          <w:szCs w:val="20"/>
        </w:rPr>
      </w:pPr>
    </w:p>
    <w:p w14:paraId="79210C5B" w14:textId="46B43A7F" w:rsidR="00C92739" w:rsidRDefault="00C92739" w:rsidP="0027455C">
      <w:pPr>
        <w:ind w:left="567"/>
        <w:contextualSpacing/>
        <w:jc w:val="both"/>
        <w:rPr>
          <w:rFonts w:ascii="Bookman Old Style" w:hAnsi="Bookman Old Style" w:cs="Arial"/>
          <w:bCs/>
          <w:i/>
          <w:iCs/>
          <w:sz w:val="20"/>
          <w:szCs w:val="20"/>
        </w:rPr>
      </w:pPr>
      <w:r w:rsidRPr="00C92739">
        <w:rPr>
          <w:rFonts w:ascii="Bookman Old Style" w:hAnsi="Bookman Old Style" w:cs="Arial"/>
          <w:bCs/>
          <w:i/>
          <w:iCs/>
          <w:sz w:val="20"/>
          <w:szCs w:val="20"/>
        </w:rPr>
        <w:t>En este punto, ya debe estar claro que de los veinte (20) puntos descritos por DUE CAPITAL AN</w:t>
      </w:r>
      <w:r w:rsidR="00D91258">
        <w:rPr>
          <w:rFonts w:ascii="Bookman Old Style" w:hAnsi="Bookman Old Style" w:cs="Arial"/>
          <w:bCs/>
          <w:i/>
          <w:iCs/>
          <w:sz w:val="20"/>
          <w:szCs w:val="20"/>
        </w:rPr>
        <w:t>D</w:t>
      </w:r>
      <w:r w:rsidRPr="00C92739">
        <w:rPr>
          <w:rFonts w:ascii="Bookman Old Style" w:hAnsi="Bookman Old Style" w:cs="Arial"/>
          <w:bCs/>
          <w:i/>
          <w:iCs/>
          <w:sz w:val="20"/>
          <w:szCs w:val="20"/>
        </w:rPr>
        <w:t xml:space="preserve"> SERVICES, dos (2) corresponden a derivaciones de la línea a 34.5 K, y los dieciocho (18) puntos restantes, referenciados por DUE CAPITAL AN</w:t>
      </w:r>
      <w:r w:rsidR="00041314">
        <w:rPr>
          <w:rFonts w:ascii="Bookman Old Style" w:hAnsi="Bookman Old Style" w:cs="Arial"/>
          <w:bCs/>
          <w:i/>
          <w:iCs/>
          <w:sz w:val="20"/>
          <w:szCs w:val="20"/>
        </w:rPr>
        <w:t>D</w:t>
      </w:r>
      <w:r w:rsidRPr="00C92739">
        <w:rPr>
          <w:rFonts w:ascii="Bookman Old Style" w:hAnsi="Bookman Old Style" w:cs="Arial"/>
          <w:bCs/>
          <w:i/>
          <w:iCs/>
          <w:sz w:val="20"/>
          <w:szCs w:val="20"/>
        </w:rPr>
        <w:t xml:space="preserve"> SERVICES como </w:t>
      </w:r>
      <w:r w:rsidR="00041314">
        <w:rPr>
          <w:rFonts w:ascii="Bookman Old Style" w:hAnsi="Bookman Old Style" w:cs="Arial"/>
          <w:bCs/>
          <w:i/>
          <w:iCs/>
          <w:sz w:val="20"/>
          <w:szCs w:val="20"/>
        </w:rPr>
        <w:t>‘</w:t>
      </w:r>
      <w:r w:rsidRPr="00C92739">
        <w:rPr>
          <w:rFonts w:ascii="Bookman Old Style" w:hAnsi="Bookman Old Style" w:cs="Arial"/>
          <w:bCs/>
          <w:i/>
          <w:iCs/>
          <w:sz w:val="20"/>
          <w:szCs w:val="20"/>
        </w:rPr>
        <w:t>Derivaciones de la línea de interconexión</w:t>
      </w:r>
      <w:r w:rsidR="00041314">
        <w:rPr>
          <w:rFonts w:ascii="Bookman Old Style" w:hAnsi="Bookman Old Style" w:cs="Arial"/>
          <w:bCs/>
          <w:i/>
          <w:iCs/>
          <w:sz w:val="20"/>
          <w:szCs w:val="20"/>
        </w:rPr>
        <w:t>’</w:t>
      </w:r>
      <w:r w:rsidRPr="00C92739">
        <w:rPr>
          <w:rFonts w:ascii="Bookman Old Style" w:hAnsi="Bookman Old Style" w:cs="Arial"/>
          <w:bCs/>
          <w:i/>
          <w:iCs/>
          <w:sz w:val="20"/>
          <w:szCs w:val="20"/>
        </w:rPr>
        <w:t>, se reitera nuevamente, que todos hacen parte del circuito de distribución Yararaka, el cual sale desde la barra de generación ubicada en la central térmica del municipio de Mitú, barra que se constituye en la frontera comercial con el Distribuidor, y por tanto, es función de esta última entidad realizar el AOM de la infraestructura asociada a dichos 18 puntos.</w:t>
      </w:r>
    </w:p>
    <w:p w14:paraId="0863FC4D" w14:textId="77777777" w:rsidR="008910EB" w:rsidRPr="00C92739" w:rsidRDefault="008910EB" w:rsidP="0027455C">
      <w:pPr>
        <w:ind w:left="567"/>
        <w:contextualSpacing/>
        <w:jc w:val="both"/>
        <w:rPr>
          <w:rFonts w:ascii="Bookman Old Style" w:hAnsi="Bookman Old Style" w:cs="Arial"/>
          <w:bCs/>
          <w:i/>
          <w:iCs/>
          <w:sz w:val="20"/>
          <w:szCs w:val="20"/>
        </w:rPr>
      </w:pPr>
    </w:p>
    <w:p w14:paraId="03E3ED82" w14:textId="7ED2BAFC" w:rsidR="00C92739" w:rsidRDefault="00C92739" w:rsidP="0027455C">
      <w:pPr>
        <w:ind w:left="567"/>
        <w:contextualSpacing/>
        <w:jc w:val="both"/>
        <w:rPr>
          <w:rFonts w:ascii="Bookman Old Style" w:hAnsi="Bookman Old Style" w:cs="Arial"/>
          <w:bCs/>
          <w:i/>
          <w:iCs/>
          <w:sz w:val="20"/>
          <w:szCs w:val="20"/>
        </w:rPr>
      </w:pPr>
      <w:r w:rsidRPr="00C92739">
        <w:rPr>
          <w:rFonts w:ascii="Bookman Old Style" w:hAnsi="Bookman Old Style" w:cs="Arial"/>
          <w:bCs/>
          <w:i/>
          <w:iCs/>
          <w:sz w:val="20"/>
          <w:szCs w:val="20"/>
        </w:rPr>
        <w:t>En cuanto a los 2 puntos que son derivaciones, debemos reiterar que los activos asociados a estos no le fueron entregados a GENSA en el Contrato Especial GGC-209-2013, ni mediante ningún otro acuerdo posterior, y por tanto, no ha sido requerido por parte de la empresa celebrar ningún tipo de acuerdo con terceros para realizar el AOM de tales activos.</w:t>
      </w:r>
    </w:p>
    <w:p w14:paraId="5CC24C18" w14:textId="77777777" w:rsidR="007543D5" w:rsidRPr="00C92739" w:rsidRDefault="007543D5" w:rsidP="0027455C">
      <w:pPr>
        <w:ind w:left="567"/>
        <w:contextualSpacing/>
        <w:jc w:val="both"/>
        <w:rPr>
          <w:rFonts w:ascii="Bookman Old Style" w:hAnsi="Bookman Old Style" w:cs="Arial"/>
          <w:bCs/>
          <w:i/>
          <w:iCs/>
          <w:sz w:val="20"/>
          <w:szCs w:val="20"/>
        </w:rPr>
      </w:pPr>
    </w:p>
    <w:p w14:paraId="6174BB6D" w14:textId="5A1B3DCF" w:rsidR="000D16EF" w:rsidRDefault="00C92739" w:rsidP="0027455C">
      <w:pPr>
        <w:ind w:left="567"/>
        <w:contextualSpacing/>
        <w:jc w:val="both"/>
        <w:rPr>
          <w:rFonts w:ascii="Bookman Old Style" w:hAnsi="Bookman Old Style" w:cs="Arial"/>
          <w:bCs/>
          <w:i/>
          <w:iCs/>
          <w:sz w:val="20"/>
          <w:szCs w:val="20"/>
        </w:rPr>
      </w:pPr>
      <w:r w:rsidRPr="00C92739">
        <w:rPr>
          <w:rFonts w:ascii="Bookman Old Style" w:hAnsi="Bookman Old Style" w:cs="Arial"/>
          <w:bCs/>
          <w:i/>
          <w:iCs/>
          <w:sz w:val="20"/>
          <w:szCs w:val="20"/>
        </w:rPr>
        <w:t>Finalmente, se indica que GENSA no tiene las competencias para asignar quien realizará el AOM de los activos asociados a los 2 puntos que son derivaciones, pues respecto de los mismos esta empresa no ejerce derechos reales, tales como su propiedad, su uso y/o su goce.</w:t>
      </w:r>
    </w:p>
    <w:p w14:paraId="054FD35C" w14:textId="31B4EB83" w:rsidR="000D16EF" w:rsidRDefault="000D16EF" w:rsidP="0027455C">
      <w:pPr>
        <w:ind w:left="567"/>
        <w:contextualSpacing/>
        <w:jc w:val="both"/>
        <w:rPr>
          <w:rFonts w:ascii="Bookman Old Style" w:hAnsi="Bookman Old Style" w:cs="Arial"/>
          <w:bCs/>
          <w:i/>
          <w:iCs/>
          <w:sz w:val="20"/>
          <w:szCs w:val="20"/>
        </w:rPr>
      </w:pPr>
    </w:p>
    <w:p w14:paraId="4F160A90" w14:textId="31B4EB83" w:rsidR="004301BD" w:rsidRDefault="004301BD" w:rsidP="0027455C">
      <w:pPr>
        <w:ind w:left="567"/>
        <w:contextualSpacing/>
        <w:jc w:val="both"/>
        <w:rPr>
          <w:rFonts w:ascii="Bookman Old Style" w:hAnsi="Bookman Old Style" w:cs="Arial"/>
          <w:bCs/>
          <w:i/>
          <w:iCs/>
          <w:sz w:val="20"/>
          <w:szCs w:val="20"/>
        </w:rPr>
      </w:pPr>
      <w:r w:rsidRPr="004301BD">
        <w:rPr>
          <w:rFonts w:ascii="Bookman Old Style" w:hAnsi="Bookman Old Style" w:cs="Arial"/>
          <w:bCs/>
          <w:i/>
          <w:iCs/>
          <w:sz w:val="20"/>
          <w:szCs w:val="20"/>
        </w:rPr>
        <w:t>4. CONCLUSIONES</w:t>
      </w:r>
    </w:p>
    <w:p w14:paraId="6C96E73D" w14:textId="31B4EB83" w:rsidR="004301BD" w:rsidRPr="004301BD" w:rsidRDefault="004301BD" w:rsidP="0027455C">
      <w:pPr>
        <w:ind w:left="567"/>
        <w:contextualSpacing/>
        <w:jc w:val="both"/>
        <w:rPr>
          <w:rFonts w:ascii="Bookman Old Style" w:hAnsi="Bookman Old Style" w:cs="Arial"/>
          <w:bCs/>
          <w:i/>
          <w:iCs/>
          <w:sz w:val="20"/>
          <w:szCs w:val="20"/>
        </w:rPr>
      </w:pPr>
    </w:p>
    <w:p w14:paraId="7C767B0B" w14:textId="7FB1F87E" w:rsidR="00F22672" w:rsidRDefault="004301BD" w:rsidP="0027455C">
      <w:pPr>
        <w:ind w:left="567"/>
        <w:contextualSpacing/>
        <w:jc w:val="both"/>
        <w:rPr>
          <w:rFonts w:ascii="Bookman Old Style" w:hAnsi="Bookman Old Style" w:cs="Arial"/>
          <w:bCs/>
          <w:i/>
          <w:iCs/>
          <w:sz w:val="20"/>
          <w:szCs w:val="20"/>
        </w:rPr>
      </w:pPr>
      <w:r w:rsidRPr="004301BD">
        <w:rPr>
          <w:rFonts w:ascii="Bookman Old Style" w:hAnsi="Bookman Old Style" w:cs="Arial"/>
          <w:bCs/>
          <w:i/>
          <w:iCs/>
          <w:sz w:val="20"/>
          <w:szCs w:val="20"/>
        </w:rPr>
        <w:t>Se considera importante asentar con claridad la pos</w:t>
      </w:r>
      <w:r w:rsidR="00691292">
        <w:rPr>
          <w:rFonts w:ascii="Bookman Old Style" w:hAnsi="Bookman Old Style" w:cs="Arial"/>
          <w:bCs/>
          <w:i/>
          <w:iCs/>
          <w:sz w:val="20"/>
          <w:szCs w:val="20"/>
        </w:rPr>
        <w:t>i</w:t>
      </w:r>
      <w:r w:rsidRPr="004301BD">
        <w:rPr>
          <w:rFonts w:ascii="Bookman Old Style" w:hAnsi="Bookman Old Style" w:cs="Arial"/>
          <w:bCs/>
          <w:i/>
          <w:iCs/>
          <w:sz w:val="20"/>
          <w:szCs w:val="20"/>
        </w:rPr>
        <w:t>c</w:t>
      </w:r>
      <w:r w:rsidR="00691292">
        <w:rPr>
          <w:rFonts w:ascii="Bookman Old Style" w:hAnsi="Bookman Old Style" w:cs="Arial"/>
          <w:bCs/>
          <w:i/>
          <w:iCs/>
          <w:sz w:val="20"/>
          <w:szCs w:val="20"/>
        </w:rPr>
        <w:t>i</w:t>
      </w:r>
      <w:r w:rsidR="00ED48D4">
        <w:rPr>
          <w:rFonts w:ascii="Bookman Old Style" w:hAnsi="Bookman Old Style" w:cs="Arial"/>
          <w:bCs/>
          <w:i/>
          <w:iCs/>
          <w:sz w:val="20"/>
          <w:szCs w:val="20"/>
        </w:rPr>
        <w:t>ó</w:t>
      </w:r>
      <w:r w:rsidRPr="004301BD">
        <w:rPr>
          <w:rFonts w:ascii="Bookman Old Style" w:hAnsi="Bookman Old Style" w:cs="Arial"/>
          <w:bCs/>
          <w:i/>
          <w:iCs/>
          <w:sz w:val="20"/>
          <w:szCs w:val="20"/>
        </w:rPr>
        <w:t>n de GENSA con relación a la conexión del proyecto solar de 7.6 MWh promovido por la firma DUE CAPITAL AN</w:t>
      </w:r>
      <w:r w:rsidR="00184C2E">
        <w:rPr>
          <w:rFonts w:ascii="Bookman Old Style" w:hAnsi="Bookman Old Style" w:cs="Arial"/>
          <w:bCs/>
          <w:i/>
          <w:iCs/>
          <w:sz w:val="20"/>
          <w:szCs w:val="20"/>
        </w:rPr>
        <w:t>D</w:t>
      </w:r>
      <w:r w:rsidRPr="004301BD">
        <w:rPr>
          <w:rFonts w:ascii="Bookman Old Style" w:hAnsi="Bookman Old Style" w:cs="Arial"/>
          <w:bCs/>
          <w:i/>
          <w:iCs/>
          <w:sz w:val="20"/>
          <w:szCs w:val="20"/>
        </w:rPr>
        <w:t xml:space="preserve"> SERVICES así:</w:t>
      </w:r>
    </w:p>
    <w:p w14:paraId="124ADE01" w14:textId="77777777" w:rsidR="00F22672" w:rsidRDefault="00F22672" w:rsidP="0027455C">
      <w:pPr>
        <w:ind w:left="567"/>
        <w:contextualSpacing/>
        <w:jc w:val="both"/>
        <w:rPr>
          <w:rFonts w:ascii="Bookman Old Style" w:hAnsi="Bookman Old Style" w:cs="Arial"/>
          <w:bCs/>
          <w:i/>
          <w:iCs/>
          <w:sz w:val="20"/>
          <w:szCs w:val="20"/>
        </w:rPr>
      </w:pPr>
    </w:p>
    <w:p w14:paraId="50C2F9CA" w14:textId="3D5E510E" w:rsidR="00BD2B6F" w:rsidRPr="00921D7B" w:rsidRDefault="005E509B" w:rsidP="0027455C">
      <w:pPr>
        <w:ind w:left="567"/>
        <w:contextualSpacing/>
        <w:jc w:val="both"/>
        <w:rPr>
          <w:rFonts w:ascii="Bookman Old Style" w:hAnsi="Bookman Old Style" w:cs="Arial"/>
          <w:bCs/>
          <w:i/>
          <w:iCs/>
          <w:sz w:val="20"/>
          <w:szCs w:val="20"/>
        </w:rPr>
      </w:pPr>
      <w:r>
        <w:rPr>
          <w:rFonts w:ascii="Calibri" w:eastAsia="Bookman Old Style" w:hAnsi="Calibri" w:cs="Bookman Old Style"/>
          <w:i/>
          <w:iCs/>
          <w:sz w:val="20"/>
          <w:szCs w:val="20"/>
        </w:rPr>
        <w:t>•</w:t>
      </w:r>
      <w:r>
        <w:rPr>
          <w:rFonts w:ascii="Bookman Old Style" w:eastAsia="Bookman Old Style" w:hAnsi="Bookman Old Style" w:cs="Bookman Old Style"/>
          <w:i/>
          <w:iCs/>
          <w:sz w:val="20"/>
          <w:szCs w:val="20"/>
        </w:rPr>
        <w:t xml:space="preserve"> </w:t>
      </w:r>
      <w:r w:rsidR="00BD2B6F" w:rsidRPr="00921D7B">
        <w:rPr>
          <w:rFonts w:ascii="Bookman Old Style" w:hAnsi="Bookman Old Style" w:cs="Arial"/>
          <w:bCs/>
          <w:i/>
          <w:iCs/>
          <w:sz w:val="20"/>
          <w:szCs w:val="20"/>
        </w:rPr>
        <w:t xml:space="preserve">GENSA considera no ser competente ante la ley y la regulación para autorizar o no la conexión del proyecto. Como ya se ha dicho, la labor de GENSA se circunscribe al uso y goce de los activos de generación entregados por el Ministerio de Minas y </w:t>
      </w:r>
      <w:r w:rsidR="00CB6514">
        <w:rPr>
          <w:rFonts w:ascii="Bookman Old Style" w:hAnsi="Bookman Old Style" w:cs="Arial"/>
          <w:bCs/>
          <w:i/>
          <w:iCs/>
          <w:sz w:val="20"/>
          <w:szCs w:val="20"/>
        </w:rPr>
        <w:t>E</w:t>
      </w:r>
      <w:r w:rsidR="00BD2B6F" w:rsidRPr="00921D7B">
        <w:rPr>
          <w:rFonts w:ascii="Bookman Old Style" w:hAnsi="Bookman Old Style" w:cs="Arial"/>
          <w:bCs/>
          <w:i/>
          <w:iCs/>
          <w:sz w:val="20"/>
          <w:szCs w:val="20"/>
        </w:rPr>
        <w:t>nergía con el Contrato Especial GGC-209-201</w:t>
      </w:r>
      <w:r w:rsidR="00C21B89" w:rsidRPr="00921D7B">
        <w:rPr>
          <w:rFonts w:ascii="Bookman Old Style" w:hAnsi="Bookman Old Style" w:cs="Arial"/>
          <w:bCs/>
          <w:i/>
          <w:iCs/>
          <w:sz w:val="20"/>
          <w:szCs w:val="20"/>
        </w:rPr>
        <w:t>3</w:t>
      </w:r>
      <w:r w:rsidR="00BD2B6F" w:rsidRPr="00921D7B">
        <w:rPr>
          <w:rFonts w:ascii="Bookman Old Style" w:hAnsi="Bookman Old Style" w:cs="Arial"/>
          <w:bCs/>
          <w:i/>
          <w:iCs/>
          <w:sz w:val="20"/>
          <w:szCs w:val="20"/>
        </w:rPr>
        <w:t>. Según la normativa para ZNI, las únicas partes de un potencial contrato de conexión son el Distribuidor de la zona y el Generador Distribuido que requiere la conexión.</w:t>
      </w:r>
    </w:p>
    <w:p w14:paraId="2A2E26B8" w14:textId="77777777" w:rsidR="00921D7B" w:rsidRPr="00921D7B" w:rsidRDefault="00921D7B" w:rsidP="0027455C">
      <w:pPr>
        <w:ind w:left="567"/>
        <w:contextualSpacing/>
        <w:jc w:val="both"/>
        <w:rPr>
          <w:rFonts w:ascii="Bookman Old Style" w:hAnsi="Bookman Old Style" w:cs="Arial"/>
          <w:bCs/>
          <w:i/>
          <w:iCs/>
          <w:sz w:val="20"/>
          <w:szCs w:val="20"/>
        </w:rPr>
      </w:pPr>
    </w:p>
    <w:p w14:paraId="05719BC9" w14:textId="1D0FC050" w:rsidR="00BD2B6F" w:rsidRPr="00921D7B" w:rsidRDefault="00636096" w:rsidP="0027455C">
      <w:pPr>
        <w:ind w:left="567"/>
        <w:contextualSpacing/>
        <w:jc w:val="both"/>
        <w:rPr>
          <w:rFonts w:ascii="Bookman Old Style" w:hAnsi="Bookman Old Style" w:cs="Arial"/>
          <w:bCs/>
          <w:i/>
          <w:iCs/>
          <w:sz w:val="20"/>
          <w:szCs w:val="20"/>
        </w:rPr>
      </w:pPr>
      <w:r>
        <w:rPr>
          <w:rFonts w:ascii="Calibri" w:eastAsia="Bookman Old Style" w:hAnsi="Calibri" w:cs="Bookman Old Style"/>
          <w:i/>
          <w:iCs/>
          <w:sz w:val="20"/>
          <w:szCs w:val="20"/>
        </w:rPr>
        <w:t>•</w:t>
      </w:r>
      <w:r>
        <w:rPr>
          <w:rFonts w:ascii="Bookman Old Style" w:eastAsia="Bookman Old Style" w:hAnsi="Bookman Old Style" w:cs="Bookman Old Style"/>
          <w:i/>
          <w:iCs/>
          <w:sz w:val="20"/>
          <w:szCs w:val="20"/>
        </w:rPr>
        <w:t xml:space="preserve"> </w:t>
      </w:r>
      <w:r w:rsidR="00BD2B6F" w:rsidRPr="00921D7B">
        <w:rPr>
          <w:rFonts w:ascii="Bookman Old Style" w:hAnsi="Bookman Old Style" w:cs="Arial"/>
          <w:bCs/>
          <w:i/>
          <w:iCs/>
          <w:sz w:val="20"/>
          <w:szCs w:val="20"/>
        </w:rPr>
        <w:t>GENSA no tiene nada que ver con las derivaciones de la línea de 34.5 kV pues los transformadores y estructuras de las mismas fueron entregadas a la empresa dentro del Contrato Especial GGC-209-2015 y, en consecuencia, el AOM de estos elementos no hacen parte de las responsabilidades de la empresa y en relación a las líneas de 13.8 kV que alimentan el circuito Yararaka, la empresa tampoco tiene relación con las mismas por tratarse de un circuito de distribución que parte directamente de la frontera comercial ubicada en la central térmica del municipio.</w:t>
      </w:r>
    </w:p>
    <w:p w14:paraId="75A6B146" w14:textId="77777777" w:rsidR="00921D7B" w:rsidRPr="00921D7B" w:rsidRDefault="00921D7B" w:rsidP="0027455C">
      <w:pPr>
        <w:ind w:left="567"/>
        <w:contextualSpacing/>
        <w:jc w:val="both"/>
        <w:rPr>
          <w:rFonts w:ascii="Bookman Old Style" w:hAnsi="Bookman Old Style" w:cs="Arial"/>
          <w:bCs/>
          <w:i/>
          <w:iCs/>
          <w:sz w:val="20"/>
          <w:szCs w:val="20"/>
        </w:rPr>
      </w:pPr>
    </w:p>
    <w:p w14:paraId="1D1D5219" w14:textId="1729285D" w:rsidR="00BD2B6F" w:rsidRPr="00921D7B" w:rsidRDefault="00BD2B6F" w:rsidP="0027455C">
      <w:pPr>
        <w:ind w:left="567"/>
        <w:contextualSpacing/>
        <w:jc w:val="both"/>
        <w:rPr>
          <w:rFonts w:ascii="Bookman Old Style" w:hAnsi="Bookman Old Style" w:cs="Arial"/>
          <w:bCs/>
          <w:i/>
          <w:iCs/>
          <w:sz w:val="20"/>
          <w:szCs w:val="20"/>
        </w:rPr>
      </w:pPr>
      <w:r w:rsidRPr="00921D7B">
        <w:rPr>
          <w:rFonts w:ascii="Bookman Old Style" w:hAnsi="Bookman Old Style" w:cs="Arial"/>
          <w:bCs/>
          <w:i/>
          <w:iCs/>
          <w:sz w:val="20"/>
          <w:szCs w:val="20"/>
        </w:rPr>
        <w:t xml:space="preserve">GENSA no tiene oposición al proyecto de 7.6 MWh promovido por la firma </w:t>
      </w:r>
      <w:r w:rsidRPr="00921D7B">
        <w:rPr>
          <w:rFonts w:ascii="Bookman Old Style" w:hAnsi="Bookman Old Style" w:cs="Arial"/>
          <w:bCs/>
          <w:i/>
          <w:iCs/>
          <w:sz w:val="20"/>
          <w:szCs w:val="20"/>
          <w:lang w:val="es-CO"/>
        </w:rPr>
        <w:t>DUE CAPITAL AND SERVICES. Lo que ha hecho es no abrogarse competencias que no tiene (de aprobar la conexión de un proyecto de generación a los a los activos de conexión que ella opera) y en todos sus comunicados busca entregar información concreta del sistema de generación que pueda servir de elemento para la revisión de la solicitud realizada sobre la cual, se ratifica, se debe actuar conforme al principio de precaución, teniendo en cuenta la fragilidad del sistema con el cual se presta el servicio de energía eléctrica en Mitú.</w:t>
      </w:r>
      <w:r w:rsidR="00CA146B">
        <w:rPr>
          <w:rFonts w:ascii="Bookman Old Style" w:hAnsi="Bookman Old Style" w:cs="Arial"/>
          <w:bCs/>
          <w:i/>
          <w:iCs/>
          <w:sz w:val="20"/>
          <w:szCs w:val="20"/>
          <w:lang w:val="es-CO"/>
        </w:rPr>
        <w:t xml:space="preserve"> (…)</w:t>
      </w:r>
      <w:r w:rsidRPr="00921D7B">
        <w:rPr>
          <w:rFonts w:ascii="Bookman Old Style" w:hAnsi="Bookman Old Style" w:cs="Arial"/>
          <w:bCs/>
          <w:i/>
          <w:iCs/>
          <w:sz w:val="20"/>
          <w:szCs w:val="20"/>
          <w:lang w:val="es-CO"/>
        </w:rPr>
        <w:t>”</w:t>
      </w:r>
    </w:p>
    <w:p w14:paraId="08E355BD" w14:textId="77777777" w:rsidR="00BD2B6F" w:rsidRPr="0086458B" w:rsidRDefault="00BD2B6F" w:rsidP="00E57F55">
      <w:pPr>
        <w:ind w:left="284"/>
        <w:contextualSpacing/>
        <w:jc w:val="both"/>
        <w:rPr>
          <w:rFonts w:ascii="Bookman Old Style" w:hAnsi="Bookman Old Style" w:cs="Arial"/>
          <w:bCs/>
        </w:rPr>
      </w:pPr>
    </w:p>
    <w:p w14:paraId="6E5450BC" w14:textId="3F7993A4" w:rsidR="00E1481E" w:rsidRDefault="00BC144F" w:rsidP="00456A7B">
      <w:pPr>
        <w:ind w:left="284"/>
        <w:contextualSpacing/>
        <w:jc w:val="both"/>
        <w:rPr>
          <w:rFonts w:ascii="Bookman Old Style" w:hAnsi="Bookman Old Style" w:cs="Arial"/>
        </w:rPr>
      </w:pPr>
      <w:r>
        <w:rPr>
          <w:rFonts w:ascii="Bookman Old Style" w:hAnsi="Bookman Old Style" w:cs="Arial"/>
        </w:rPr>
        <w:t xml:space="preserve">Por su parte, </w:t>
      </w:r>
      <w:r w:rsidR="00ED1991">
        <w:rPr>
          <w:rFonts w:ascii="Bookman Old Style" w:hAnsi="Bookman Old Style" w:cs="Arial"/>
        </w:rPr>
        <w:t xml:space="preserve">aunque </w:t>
      </w:r>
      <w:r>
        <w:rPr>
          <w:rFonts w:ascii="Bookman Old Style" w:hAnsi="Bookman Old Style" w:cs="Arial"/>
        </w:rPr>
        <w:t xml:space="preserve">la </w:t>
      </w:r>
      <w:r w:rsidR="00D863B7" w:rsidRPr="0086458B">
        <w:rPr>
          <w:rFonts w:ascii="Bookman Old Style" w:hAnsi="Bookman Old Style" w:cs="Arial"/>
        </w:rPr>
        <w:t xml:space="preserve">Gobernación </w:t>
      </w:r>
      <w:r w:rsidR="009404F1">
        <w:rPr>
          <w:rFonts w:ascii="Bookman Old Style" w:hAnsi="Bookman Old Style" w:cs="Arial"/>
        </w:rPr>
        <w:t xml:space="preserve">en su respuesta manifiesta </w:t>
      </w:r>
      <w:r w:rsidR="00704929">
        <w:rPr>
          <w:rFonts w:ascii="Bookman Old Style" w:hAnsi="Bookman Old Style" w:cs="Arial"/>
        </w:rPr>
        <w:t xml:space="preserve">que </w:t>
      </w:r>
      <w:r w:rsidR="00D757D3">
        <w:rPr>
          <w:rFonts w:ascii="Bookman Old Style" w:hAnsi="Bookman Old Style" w:cs="Arial"/>
        </w:rPr>
        <w:t>a</w:t>
      </w:r>
      <w:r w:rsidR="00704929" w:rsidRPr="00704929">
        <w:rPr>
          <w:rFonts w:ascii="Bookman Old Style" w:hAnsi="Bookman Old Style" w:cs="Arial"/>
        </w:rPr>
        <w:t xml:space="preserve">ctualmente </w:t>
      </w:r>
      <w:r w:rsidR="00D757D3" w:rsidRPr="00456A7B">
        <w:rPr>
          <w:rFonts w:ascii="Bookman Old Style" w:hAnsi="Bookman Old Style" w:cs="Arial"/>
          <w:i/>
          <w:iCs/>
        </w:rPr>
        <w:t>“</w:t>
      </w:r>
      <w:r w:rsidR="00EB7938">
        <w:rPr>
          <w:rFonts w:ascii="Bookman Old Style" w:hAnsi="Bookman Old Style" w:cs="Arial"/>
          <w:i/>
          <w:iCs/>
        </w:rPr>
        <w:t xml:space="preserve">(…) </w:t>
      </w:r>
      <w:r w:rsidR="00704929" w:rsidRPr="00456A7B">
        <w:rPr>
          <w:rFonts w:ascii="Bookman Old Style" w:hAnsi="Bookman Old Style" w:cs="Arial"/>
          <w:i/>
          <w:iCs/>
        </w:rPr>
        <w:t>es la encargada de la comercialización y distribución de energía eléctrica en el municipio de Mitú y de las conexiones eléctricas sobre las redes de 13.200v del casco urbano y de las comunidades indígenas interconectadas sobre esta red</w:t>
      </w:r>
      <w:r w:rsidR="00EB7938">
        <w:rPr>
          <w:rFonts w:ascii="Bookman Old Style" w:hAnsi="Bookman Old Style" w:cs="Arial"/>
          <w:i/>
          <w:iCs/>
        </w:rPr>
        <w:t xml:space="preserve"> (…)</w:t>
      </w:r>
      <w:r w:rsidR="00B10795" w:rsidRPr="00456A7B">
        <w:rPr>
          <w:rFonts w:ascii="Bookman Old Style" w:hAnsi="Bookman Old Style" w:cs="Arial"/>
          <w:i/>
          <w:iCs/>
        </w:rPr>
        <w:t>”</w:t>
      </w:r>
      <w:r w:rsidR="00B10795">
        <w:rPr>
          <w:rFonts w:ascii="Bookman Old Style" w:hAnsi="Bookman Old Style" w:cs="Arial"/>
        </w:rPr>
        <w:t xml:space="preserve"> </w:t>
      </w:r>
      <w:r w:rsidR="00876E79">
        <w:rPr>
          <w:rFonts w:ascii="Bookman Old Style" w:hAnsi="Bookman Old Style" w:cs="Arial"/>
        </w:rPr>
        <w:t xml:space="preserve">y que hace </w:t>
      </w:r>
      <w:r w:rsidR="00876E79" w:rsidRPr="00456A7B">
        <w:rPr>
          <w:rFonts w:ascii="Bookman Old Style" w:hAnsi="Bookman Old Style" w:cs="Arial"/>
          <w:i/>
          <w:iCs/>
        </w:rPr>
        <w:t>“</w:t>
      </w:r>
      <w:r w:rsidR="00EB7938">
        <w:rPr>
          <w:rFonts w:ascii="Bookman Old Style" w:hAnsi="Bookman Old Style" w:cs="Arial"/>
          <w:i/>
          <w:iCs/>
        </w:rPr>
        <w:t xml:space="preserve">(…) </w:t>
      </w:r>
      <w:r w:rsidR="00704929" w:rsidRPr="00456A7B">
        <w:rPr>
          <w:rFonts w:ascii="Bookman Old Style" w:hAnsi="Bookman Old Style" w:cs="Arial"/>
          <w:i/>
          <w:iCs/>
        </w:rPr>
        <w:t>llegar únicamente el diagrama unifilar y plano de las redes eléctricas del municipio de Mitú mas no de las redes de 34.500 v ya que no contamos con el</w:t>
      </w:r>
      <w:r w:rsidR="00D871EE">
        <w:rPr>
          <w:rFonts w:ascii="Bookman Old Style" w:hAnsi="Bookman Old Style" w:cs="Arial"/>
          <w:i/>
          <w:iCs/>
        </w:rPr>
        <w:t xml:space="preserve"> (…)</w:t>
      </w:r>
      <w:r w:rsidR="00456A7B" w:rsidRPr="00456A7B">
        <w:rPr>
          <w:rFonts w:ascii="Bookman Old Style" w:hAnsi="Bookman Old Style" w:cs="Arial"/>
          <w:i/>
          <w:iCs/>
        </w:rPr>
        <w:t>”</w:t>
      </w:r>
      <w:r w:rsidR="00456A7B">
        <w:rPr>
          <w:rFonts w:ascii="Bookman Old Style" w:hAnsi="Bookman Old Style" w:cs="Arial"/>
        </w:rPr>
        <w:t xml:space="preserve">, </w:t>
      </w:r>
      <w:r w:rsidR="005755E2">
        <w:rPr>
          <w:rFonts w:ascii="Bookman Old Style" w:hAnsi="Bookman Old Style" w:cs="Arial"/>
        </w:rPr>
        <w:t>el diagrama unifilar que allega corresponde a</w:t>
      </w:r>
      <w:r w:rsidR="003469E3">
        <w:rPr>
          <w:rFonts w:ascii="Bookman Old Style" w:hAnsi="Bookman Old Style" w:cs="Arial"/>
        </w:rPr>
        <w:t>l de los activos entregados por el MME en operación a GENSA</w:t>
      </w:r>
      <w:r w:rsidR="005016A7">
        <w:rPr>
          <w:rFonts w:ascii="Bookman Old Style" w:hAnsi="Bookman Old Style" w:cs="Arial"/>
        </w:rPr>
        <w:t xml:space="preserve">, </w:t>
      </w:r>
      <w:r w:rsidR="00B15506">
        <w:rPr>
          <w:rFonts w:ascii="Bookman Old Style" w:hAnsi="Bookman Old Style" w:cs="Arial"/>
        </w:rPr>
        <w:t xml:space="preserve">describiendo principalmente la subestación y la </w:t>
      </w:r>
      <w:r w:rsidR="007666A6">
        <w:rPr>
          <w:rFonts w:ascii="Bookman Old Style" w:hAnsi="Bookman Old Style" w:cs="Arial"/>
        </w:rPr>
        <w:t xml:space="preserve">central de generación diésel, </w:t>
      </w:r>
      <w:r w:rsidR="00CF42F7">
        <w:rPr>
          <w:rFonts w:ascii="Bookman Old Style" w:hAnsi="Bookman Old Style" w:cs="Arial"/>
        </w:rPr>
        <w:t xml:space="preserve">e </w:t>
      </w:r>
      <w:r w:rsidR="007666A6">
        <w:rPr>
          <w:rFonts w:ascii="Bookman Old Style" w:hAnsi="Bookman Old Style" w:cs="Arial"/>
        </w:rPr>
        <w:t xml:space="preserve">identificando </w:t>
      </w:r>
      <w:r w:rsidR="00974ABA">
        <w:rPr>
          <w:rFonts w:ascii="Bookman Old Style" w:hAnsi="Bookman Old Style" w:cs="Arial"/>
        </w:rPr>
        <w:t xml:space="preserve">solamente </w:t>
      </w:r>
      <w:r w:rsidR="007666A6">
        <w:rPr>
          <w:rFonts w:ascii="Bookman Old Style" w:hAnsi="Bookman Old Style" w:cs="Arial"/>
        </w:rPr>
        <w:t xml:space="preserve">las salidas </w:t>
      </w:r>
      <w:r w:rsidR="00090956">
        <w:rPr>
          <w:rFonts w:ascii="Bookman Old Style" w:hAnsi="Bookman Old Style" w:cs="Arial"/>
        </w:rPr>
        <w:t xml:space="preserve">a </w:t>
      </w:r>
      <w:r w:rsidR="008072B7">
        <w:rPr>
          <w:rFonts w:ascii="Bookman Old Style" w:hAnsi="Bookman Old Style" w:cs="Arial"/>
        </w:rPr>
        <w:t>C</w:t>
      </w:r>
      <w:r w:rsidR="00974ABA">
        <w:rPr>
          <w:rFonts w:ascii="Bookman Old Style" w:hAnsi="Bookman Old Style" w:cs="Arial"/>
        </w:rPr>
        <w:t>ircuito</w:t>
      </w:r>
      <w:r w:rsidR="008072B7">
        <w:rPr>
          <w:rFonts w:ascii="Bookman Old Style" w:hAnsi="Bookman Old Style" w:cs="Arial"/>
        </w:rPr>
        <w:t xml:space="preserve"> 1</w:t>
      </w:r>
      <w:r w:rsidR="00974ABA">
        <w:rPr>
          <w:rFonts w:ascii="Bookman Old Style" w:hAnsi="Bookman Old Style" w:cs="Arial"/>
        </w:rPr>
        <w:t xml:space="preserve"> </w:t>
      </w:r>
      <w:r w:rsidR="008072B7">
        <w:rPr>
          <w:rFonts w:ascii="Bookman Old Style" w:hAnsi="Bookman Old Style" w:cs="Arial"/>
        </w:rPr>
        <w:t xml:space="preserve">Inaya, Circuito 2 </w:t>
      </w:r>
      <w:r w:rsidR="00974ABA">
        <w:rPr>
          <w:rFonts w:ascii="Bookman Old Style" w:hAnsi="Bookman Old Style" w:cs="Arial"/>
        </w:rPr>
        <w:t xml:space="preserve">Centro y </w:t>
      </w:r>
      <w:r w:rsidR="00F01A99">
        <w:rPr>
          <w:rFonts w:ascii="Bookman Old Style" w:hAnsi="Bookman Old Style" w:cs="Arial"/>
        </w:rPr>
        <w:t xml:space="preserve">Circuito </w:t>
      </w:r>
      <w:r w:rsidR="00974ABA">
        <w:rPr>
          <w:rFonts w:ascii="Bookman Old Style" w:hAnsi="Bookman Old Style" w:cs="Arial"/>
        </w:rPr>
        <w:t>Yararaca, sin entregar información adicional.</w:t>
      </w:r>
    </w:p>
    <w:p w14:paraId="197B8282" w14:textId="77777777" w:rsidR="0053088A" w:rsidRPr="0086458B" w:rsidRDefault="0053088A" w:rsidP="00E57F55">
      <w:pPr>
        <w:ind w:left="284"/>
        <w:contextualSpacing/>
        <w:jc w:val="both"/>
        <w:rPr>
          <w:rFonts w:ascii="Bookman Old Style" w:hAnsi="Bookman Old Style" w:cs="Arial"/>
        </w:rPr>
      </w:pPr>
    </w:p>
    <w:p w14:paraId="145CE02C" w14:textId="6F542BEC" w:rsidR="00BD2B6F" w:rsidRPr="0086458B" w:rsidRDefault="00BD2B6F" w:rsidP="00E57F55">
      <w:pPr>
        <w:ind w:left="284"/>
        <w:contextualSpacing/>
        <w:jc w:val="both"/>
        <w:rPr>
          <w:rFonts w:ascii="Bookman Old Style" w:hAnsi="Bookman Old Style" w:cs="Arial"/>
        </w:rPr>
      </w:pPr>
      <w:r w:rsidRPr="0086458B">
        <w:rPr>
          <w:rFonts w:ascii="Bookman Old Style" w:hAnsi="Bookman Old Style" w:cs="Arial"/>
        </w:rPr>
        <w:t xml:space="preserve">Mediante comunicación con radicado CREG E-2020-003589, </w:t>
      </w:r>
      <w:r w:rsidR="00BD5A9A">
        <w:rPr>
          <w:rFonts w:ascii="Bookman Old Style" w:hAnsi="Bookman Old Style" w:cs="Arial"/>
          <w:lang w:val="es-CO"/>
        </w:rPr>
        <w:t xml:space="preserve">DUE </w:t>
      </w:r>
      <w:r w:rsidRPr="0086458B">
        <w:rPr>
          <w:rFonts w:ascii="Bookman Old Style" w:hAnsi="Bookman Old Style" w:cs="Arial"/>
        </w:rPr>
        <w:t xml:space="preserve">solicitó se le informara si la Gobernación y </w:t>
      </w:r>
      <w:r w:rsidR="00F86F63" w:rsidRPr="0086458B">
        <w:rPr>
          <w:rFonts w:ascii="Bookman Old Style" w:eastAsia="MS Mincho" w:hAnsi="Bookman Old Style" w:cs="Arial"/>
          <w:lang w:val="es-CO"/>
        </w:rPr>
        <w:t>GENSA</w:t>
      </w:r>
      <w:r w:rsidRPr="0086458B">
        <w:rPr>
          <w:rFonts w:ascii="Bookman Old Style" w:eastAsia="MS Mincho" w:hAnsi="Bookman Old Style" w:cs="Arial"/>
          <w:lang w:val="es-CO"/>
        </w:rPr>
        <w:t xml:space="preserve"> </w:t>
      </w:r>
      <w:r w:rsidRPr="0086458B">
        <w:rPr>
          <w:rFonts w:ascii="Bookman Old Style" w:hAnsi="Bookman Old Style" w:cs="Arial"/>
        </w:rPr>
        <w:t>habían dado respuesta al Auto con radicado CREG I-2020-001936.</w:t>
      </w:r>
    </w:p>
    <w:p w14:paraId="4A10A76A" w14:textId="77777777" w:rsidR="00BD2B6F" w:rsidRPr="0086458B" w:rsidRDefault="00BD2B6F" w:rsidP="00E57F55">
      <w:pPr>
        <w:ind w:left="284"/>
        <w:contextualSpacing/>
        <w:jc w:val="both"/>
        <w:rPr>
          <w:rFonts w:ascii="Bookman Old Style" w:hAnsi="Bookman Old Style" w:cs="Arial"/>
        </w:rPr>
      </w:pPr>
    </w:p>
    <w:p w14:paraId="7BF36685" w14:textId="7DD79D24" w:rsidR="00BD2B6F" w:rsidRPr="0086458B" w:rsidRDefault="00C77B87" w:rsidP="00E57F55">
      <w:pPr>
        <w:ind w:left="284"/>
        <w:contextualSpacing/>
        <w:jc w:val="both"/>
        <w:rPr>
          <w:rFonts w:ascii="Bookman Old Style" w:hAnsi="Bookman Old Style" w:cs="Arial"/>
          <w:bCs/>
          <w:lang w:val="es-CO"/>
        </w:rPr>
      </w:pPr>
      <w:r>
        <w:rPr>
          <w:rFonts w:ascii="Bookman Old Style" w:hAnsi="Bookman Old Style" w:cs="Arial"/>
        </w:rPr>
        <w:t>Me</w:t>
      </w:r>
      <w:r w:rsidR="00BD2B6F" w:rsidRPr="0086458B">
        <w:rPr>
          <w:rFonts w:ascii="Bookman Old Style" w:hAnsi="Bookman Old Style" w:cs="Arial"/>
        </w:rPr>
        <w:t xml:space="preserve">diante Auto con </w:t>
      </w:r>
      <w:r w:rsidR="00C21B16">
        <w:rPr>
          <w:rFonts w:ascii="Bookman Old Style" w:hAnsi="Bookman Old Style" w:cs="Arial"/>
        </w:rPr>
        <w:t>r</w:t>
      </w:r>
      <w:r w:rsidR="00BD2B6F" w:rsidRPr="0086458B">
        <w:rPr>
          <w:rFonts w:ascii="Bookman Old Style" w:hAnsi="Bookman Old Style" w:cs="Arial"/>
        </w:rPr>
        <w:t xml:space="preserve">adicado CREG </w:t>
      </w:r>
      <w:r w:rsidR="004944B0" w:rsidRPr="0086458B">
        <w:rPr>
          <w:rFonts w:ascii="Bookman Old Style" w:hAnsi="Bookman Old Style" w:cs="Arial"/>
        </w:rPr>
        <w:t>I</w:t>
      </w:r>
      <w:r w:rsidR="00BD2B6F" w:rsidRPr="0086458B">
        <w:rPr>
          <w:rFonts w:ascii="Bookman Old Style" w:hAnsi="Bookman Old Style" w:cs="Arial"/>
        </w:rPr>
        <w:t>-</w:t>
      </w:r>
      <w:r w:rsidR="004944B0" w:rsidRPr="0086458B">
        <w:rPr>
          <w:rFonts w:ascii="Bookman Old Style" w:hAnsi="Bookman Old Style" w:cs="Arial"/>
        </w:rPr>
        <w:t>2</w:t>
      </w:r>
      <w:r w:rsidR="00BD2B6F" w:rsidRPr="0086458B">
        <w:rPr>
          <w:rFonts w:ascii="Bookman Old Style" w:hAnsi="Bookman Old Style" w:cs="Arial"/>
        </w:rPr>
        <w:t xml:space="preserve">020-002184 del 5 de mayo de 2020, </w:t>
      </w:r>
      <w:r w:rsidR="00C21B16">
        <w:rPr>
          <w:rFonts w:ascii="Bookman Old Style" w:hAnsi="Bookman Old Style" w:cs="Arial"/>
        </w:rPr>
        <w:t xml:space="preserve">la CREG </w:t>
      </w:r>
      <w:r w:rsidR="00BD2B6F" w:rsidRPr="0086458B">
        <w:rPr>
          <w:rFonts w:ascii="Bookman Old Style" w:hAnsi="Bookman Old Style" w:cs="Arial"/>
        </w:rPr>
        <w:t xml:space="preserve">corrió </w:t>
      </w:r>
      <w:r w:rsidR="00BD2B6F" w:rsidRPr="0086458B">
        <w:rPr>
          <w:rFonts w:ascii="Bookman Old Style" w:hAnsi="Bookman Old Style" w:cs="Arial"/>
          <w:lang w:val="es-CO"/>
        </w:rPr>
        <w:t xml:space="preserve">traslado a las partes de la información recibida como respuesta al Auto con radicado CREG I-2020-001936. </w:t>
      </w:r>
    </w:p>
    <w:p w14:paraId="76A90686" w14:textId="2C676328" w:rsidR="003F6DAE" w:rsidRPr="0086458B" w:rsidRDefault="003F6DAE" w:rsidP="00E57F55">
      <w:pPr>
        <w:ind w:left="284"/>
        <w:contextualSpacing/>
        <w:jc w:val="both"/>
        <w:rPr>
          <w:rFonts w:ascii="Bookman Old Style" w:hAnsi="Bookman Old Style" w:cs="Arial"/>
        </w:rPr>
      </w:pPr>
    </w:p>
    <w:p w14:paraId="1553C362" w14:textId="0AB09639" w:rsidR="00097016" w:rsidRPr="0086458B" w:rsidRDefault="5040AA43" w:rsidP="00E57F55">
      <w:pPr>
        <w:ind w:left="284"/>
        <w:contextualSpacing/>
        <w:jc w:val="both"/>
        <w:rPr>
          <w:rFonts w:ascii="Bookman Old Style" w:hAnsi="Bookman Old Style" w:cs="Arial"/>
        </w:rPr>
      </w:pPr>
      <w:r w:rsidRPr="0086458B">
        <w:rPr>
          <w:rFonts w:ascii="Bookman Old Style" w:hAnsi="Bookman Old Style" w:cs="Arial"/>
        </w:rPr>
        <w:t xml:space="preserve">Mediante comunicaciones con radicado CREG E-2020-004532 y </w:t>
      </w:r>
      <w:r w:rsidR="2C6F3F75" w:rsidRPr="0086458B">
        <w:rPr>
          <w:rFonts w:ascii="Bookman Old Style" w:hAnsi="Bookman Old Style" w:cs="Arial"/>
        </w:rPr>
        <w:t>E-2020-004588</w:t>
      </w:r>
      <w:r w:rsidR="0027455C">
        <w:rPr>
          <w:rFonts w:ascii="Bookman Old Style" w:hAnsi="Bookman Old Style" w:cs="Arial"/>
        </w:rPr>
        <w:t>,</w:t>
      </w:r>
      <w:r w:rsidR="2C6F3F75" w:rsidRPr="0086458B">
        <w:rPr>
          <w:rFonts w:ascii="Bookman Old Style" w:hAnsi="Bookman Old Style" w:cs="Arial"/>
        </w:rPr>
        <w:t xml:space="preserve"> </w:t>
      </w:r>
      <w:r w:rsidR="00EB59FB">
        <w:rPr>
          <w:rFonts w:ascii="Bookman Old Style" w:hAnsi="Bookman Old Style" w:cs="Arial"/>
        </w:rPr>
        <w:t xml:space="preserve">DUE </w:t>
      </w:r>
      <w:r w:rsidR="7B6DFABA" w:rsidRPr="0086458B">
        <w:rPr>
          <w:rFonts w:ascii="Bookman Old Style" w:hAnsi="Bookman Old Style" w:cs="Arial"/>
        </w:rPr>
        <w:t>solicit</w:t>
      </w:r>
      <w:r w:rsidR="00D163E0">
        <w:rPr>
          <w:rFonts w:ascii="Bookman Old Style" w:hAnsi="Bookman Old Style" w:cs="Arial"/>
        </w:rPr>
        <w:t>ó</w:t>
      </w:r>
      <w:r w:rsidR="2C6F3F75" w:rsidRPr="0086458B">
        <w:rPr>
          <w:rFonts w:ascii="Bookman Old Style" w:hAnsi="Bookman Old Style" w:cs="Arial"/>
        </w:rPr>
        <w:t xml:space="preserve"> a esta Comisión un pronunciamiento de fondo y la terminación de la etapa probatoria de la actuación administrativa. </w:t>
      </w:r>
    </w:p>
    <w:p w14:paraId="401E7D99" w14:textId="77777777" w:rsidR="00F86F63" w:rsidRPr="0086458B" w:rsidRDefault="00F86F63" w:rsidP="00E57F55">
      <w:pPr>
        <w:ind w:left="284"/>
        <w:contextualSpacing/>
        <w:jc w:val="both"/>
        <w:rPr>
          <w:rFonts w:ascii="Bookman Old Style" w:hAnsi="Bookman Old Style" w:cs="Arial"/>
        </w:rPr>
      </w:pPr>
    </w:p>
    <w:p w14:paraId="12B85937" w14:textId="559762D3" w:rsidR="00CA146B" w:rsidRDefault="3FA7B7B0" w:rsidP="00E57F55">
      <w:pPr>
        <w:ind w:left="284"/>
        <w:contextualSpacing/>
        <w:jc w:val="both"/>
        <w:rPr>
          <w:rFonts w:ascii="Bookman Old Style" w:hAnsi="Bookman Old Style" w:cs="Arial"/>
        </w:rPr>
      </w:pPr>
      <w:r w:rsidRPr="0086458B">
        <w:rPr>
          <w:rFonts w:ascii="Bookman Old Style" w:hAnsi="Bookman Old Style" w:cs="Arial"/>
        </w:rPr>
        <w:t>Como parte del desarrollo de la presente actuación administrativa, mediante Auto</w:t>
      </w:r>
      <w:r w:rsidR="00462AC8">
        <w:rPr>
          <w:rFonts w:ascii="Bookman Old Style" w:hAnsi="Bookman Old Style" w:cs="Arial"/>
        </w:rPr>
        <w:t xml:space="preserve"> de prueba</w:t>
      </w:r>
      <w:r w:rsidR="00804EA5">
        <w:rPr>
          <w:rFonts w:ascii="Bookman Old Style" w:hAnsi="Bookman Old Style" w:cs="Arial"/>
        </w:rPr>
        <w:t>s</w:t>
      </w:r>
      <w:r w:rsidRPr="0086458B">
        <w:rPr>
          <w:rFonts w:ascii="Bookman Old Style" w:hAnsi="Bookman Old Style" w:cs="Arial"/>
        </w:rPr>
        <w:t xml:space="preserve"> I</w:t>
      </w:r>
      <w:r w:rsidR="006B4A3B">
        <w:rPr>
          <w:rFonts w:ascii="Bookman Old Style" w:hAnsi="Bookman Old Style" w:cs="Arial"/>
        </w:rPr>
        <w:t>-</w:t>
      </w:r>
      <w:r w:rsidRPr="0086458B">
        <w:rPr>
          <w:rFonts w:ascii="Bookman Old Style" w:hAnsi="Bookman Old Style" w:cs="Arial"/>
        </w:rPr>
        <w:t xml:space="preserve">2020-003085 del 05 de agosto de 2020, </w:t>
      </w:r>
      <w:r w:rsidR="00CF4DDD">
        <w:rPr>
          <w:rFonts w:ascii="Bookman Old Style" w:hAnsi="Bookman Old Style" w:cs="Arial"/>
        </w:rPr>
        <w:t xml:space="preserve">la CREG </w:t>
      </w:r>
      <w:r w:rsidR="00E71B22">
        <w:rPr>
          <w:rFonts w:ascii="Bookman Old Style" w:hAnsi="Bookman Old Style" w:cs="Arial"/>
        </w:rPr>
        <w:t xml:space="preserve">le </w:t>
      </w:r>
      <w:r w:rsidR="006E07A3">
        <w:rPr>
          <w:rFonts w:ascii="Bookman Old Style" w:hAnsi="Bookman Old Style" w:cs="Arial"/>
        </w:rPr>
        <w:t xml:space="preserve">requirió </w:t>
      </w:r>
      <w:r w:rsidR="62BBBA0E" w:rsidRPr="0086458B">
        <w:rPr>
          <w:rFonts w:ascii="Bookman Old Style" w:hAnsi="Bookman Old Style" w:cs="Arial"/>
        </w:rPr>
        <w:t xml:space="preserve">al </w:t>
      </w:r>
      <w:r w:rsidR="00CF4DDD">
        <w:rPr>
          <w:rFonts w:ascii="Bookman Old Style" w:hAnsi="Bookman Old Style" w:cs="Arial"/>
        </w:rPr>
        <w:t xml:space="preserve">MME </w:t>
      </w:r>
      <w:r w:rsidR="006E07A3">
        <w:rPr>
          <w:rFonts w:ascii="Bookman Old Style" w:hAnsi="Bookman Old Style" w:cs="Arial"/>
        </w:rPr>
        <w:t>informar lo siguiente</w:t>
      </w:r>
      <w:r w:rsidR="00CA146B">
        <w:rPr>
          <w:rFonts w:ascii="Bookman Old Style" w:hAnsi="Bookman Old Style" w:cs="Arial"/>
        </w:rPr>
        <w:t>:</w:t>
      </w:r>
    </w:p>
    <w:p w14:paraId="3F85B89A" w14:textId="77777777" w:rsidR="00CA146B" w:rsidRDefault="00CA146B" w:rsidP="00E57F55">
      <w:pPr>
        <w:ind w:left="284"/>
        <w:contextualSpacing/>
        <w:jc w:val="both"/>
        <w:rPr>
          <w:rFonts w:ascii="Bookman Old Style" w:hAnsi="Bookman Old Style" w:cs="Arial"/>
        </w:rPr>
      </w:pPr>
    </w:p>
    <w:p w14:paraId="01669926" w14:textId="5FF4B01D" w:rsidR="00123EBD" w:rsidRDefault="00CA146B" w:rsidP="007E255E">
      <w:pPr>
        <w:ind w:left="567"/>
        <w:contextualSpacing/>
        <w:jc w:val="both"/>
        <w:rPr>
          <w:rFonts w:ascii="Bookman Old Style" w:hAnsi="Bookman Old Style" w:cs="Arial"/>
          <w:bCs/>
          <w:i/>
          <w:iCs/>
          <w:sz w:val="20"/>
          <w:szCs w:val="20"/>
        </w:rPr>
      </w:pPr>
      <w:r>
        <w:rPr>
          <w:rFonts w:ascii="Bookman Old Style" w:hAnsi="Bookman Old Style" w:cs="Arial"/>
          <w:bCs/>
          <w:i/>
          <w:iCs/>
          <w:sz w:val="20"/>
          <w:szCs w:val="20"/>
        </w:rPr>
        <w:t xml:space="preserve">“(…) </w:t>
      </w:r>
      <w:r w:rsidR="00123EBD" w:rsidRPr="00123EBD">
        <w:rPr>
          <w:rFonts w:ascii="Bookman Old Style" w:hAnsi="Bookman Old Style" w:cs="Arial"/>
          <w:bCs/>
          <w:i/>
          <w:iCs/>
          <w:sz w:val="20"/>
          <w:szCs w:val="20"/>
        </w:rPr>
        <w:t>1. Indicarle a esta Comisión si la empresa GENSA S.A. E.S.P. emitió concepto de</w:t>
      </w:r>
      <w:r w:rsidR="00123EBD">
        <w:rPr>
          <w:rFonts w:ascii="Bookman Old Style" w:hAnsi="Bookman Old Style" w:cs="Arial"/>
          <w:bCs/>
          <w:i/>
          <w:iCs/>
          <w:sz w:val="20"/>
          <w:szCs w:val="20"/>
        </w:rPr>
        <w:t xml:space="preserve"> </w:t>
      </w:r>
      <w:r w:rsidR="00123EBD" w:rsidRPr="00123EBD">
        <w:rPr>
          <w:rFonts w:ascii="Bookman Old Style" w:hAnsi="Bookman Old Style" w:cs="Arial"/>
          <w:bCs/>
          <w:i/>
          <w:iCs/>
          <w:sz w:val="20"/>
          <w:szCs w:val="20"/>
        </w:rPr>
        <w:t>viabilidad técnica sobre el estudio de conexión presentado por la empresa DUE</w:t>
      </w:r>
      <w:r w:rsidR="00123EBD">
        <w:rPr>
          <w:rFonts w:ascii="Bookman Old Style" w:hAnsi="Bookman Old Style" w:cs="Arial"/>
          <w:bCs/>
          <w:i/>
          <w:iCs/>
          <w:sz w:val="20"/>
          <w:szCs w:val="20"/>
        </w:rPr>
        <w:t xml:space="preserve"> </w:t>
      </w:r>
      <w:r w:rsidR="00123EBD" w:rsidRPr="00123EBD">
        <w:rPr>
          <w:rFonts w:ascii="Bookman Old Style" w:hAnsi="Bookman Old Style" w:cs="Arial"/>
          <w:bCs/>
          <w:i/>
          <w:iCs/>
          <w:sz w:val="20"/>
          <w:szCs w:val="20"/>
        </w:rPr>
        <w:t>CAPITAL AND SERVICES S.A.S., de acuerdo con lo previsto en el oficio con</w:t>
      </w:r>
      <w:r w:rsidR="008104B7">
        <w:rPr>
          <w:rFonts w:ascii="Bookman Old Style" w:hAnsi="Bookman Old Style" w:cs="Arial"/>
          <w:bCs/>
          <w:i/>
          <w:iCs/>
          <w:sz w:val="20"/>
          <w:szCs w:val="20"/>
        </w:rPr>
        <w:t xml:space="preserve"> </w:t>
      </w:r>
      <w:r w:rsidR="00123EBD" w:rsidRPr="00123EBD">
        <w:rPr>
          <w:rFonts w:ascii="Bookman Old Style" w:hAnsi="Bookman Old Style" w:cs="Arial"/>
          <w:bCs/>
          <w:i/>
          <w:iCs/>
          <w:sz w:val="20"/>
          <w:szCs w:val="20"/>
        </w:rPr>
        <w:t>radicado interno 2019091375 del 26 de diciembre de 2019 del MME y remitir la</w:t>
      </w:r>
      <w:r w:rsidR="002F1740">
        <w:rPr>
          <w:rFonts w:ascii="Bookman Old Style" w:hAnsi="Bookman Old Style" w:cs="Arial"/>
          <w:bCs/>
          <w:i/>
          <w:iCs/>
          <w:sz w:val="20"/>
          <w:szCs w:val="20"/>
        </w:rPr>
        <w:t xml:space="preserve"> </w:t>
      </w:r>
      <w:r w:rsidR="00123EBD" w:rsidRPr="00123EBD">
        <w:rPr>
          <w:rFonts w:ascii="Bookman Old Style" w:hAnsi="Bookman Old Style" w:cs="Arial"/>
          <w:bCs/>
          <w:i/>
          <w:iCs/>
          <w:sz w:val="20"/>
          <w:szCs w:val="20"/>
        </w:rPr>
        <w:t>documentación.</w:t>
      </w:r>
    </w:p>
    <w:p w14:paraId="4B89A666" w14:textId="77777777" w:rsidR="002F1740" w:rsidRPr="00123EBD" w:rsidRDefault="002F1740" w:rsidP="007E255E">
      <w:pPr>
        <w:ind w:left="567"/>
        <w:contextualSpacing/>
        <w:jc w:val="both"/>
        <w:rPr>
          <w:rFonts w:ascii="Bookman Old Style" w:hAnsi="Bookman Old Style" w:cs="Arial"/>
          <w:bCs/>
          <w:i/>
          <w:iCs/>
          <w:sz w:val="20"/>
          <w:szCs w:val="20"/>
        </w:rPr>
      </w:pPr>
    </w:p>
    <w:p w14:paraId="6D0AB921" w14:textId="1924B376" w:rsidR="00CE5C6A" w:rsidRDefault="00123EBD" w:rsidP="007E255E">
      <w:pPr>
        <w:ind w:left="567"/>
        <w:contextualSpacing/>
        <w:jc w:val="both"/>
        <w:rPr>
          <w:rFonts w:ascii="Bookman Old Style" w:hAnsi="Bookman Old Style" w:cs="Arial"/>
          <w:bCs/>
          <w:i/>
          <w:iCs/>
          <w:sz w:val="20"/>
          <w:szCs w:val="20"/>
        </w:rPr>
      </w:pPr>
      <w:r w:rsidRPr="00123EBD">
        <w:rPr>
          <w:rFonts w:ascii="Bookman Old Style" w:hAnsi="Bookman Old Style" w:cs="Arial"/>
          <w:bCs/>
          <w:i/>
          <w:iCs/>
          <w:sz w:val="20"/>
          <w:szCs w:val="20"/>
        </w:rPr>
        <w:t>2. En caso de que el concepto de viabilidad técnica sea negativo, sírvase remitir a</w:t>
      </w:r>
      <w:r w:rsidR="002F1740">
        <w:rPr>
          <w:rFonts w:ascii="Bookman Old Style" w:hAnsi="Bookman Old Style" w:cs="Arial"/>
          <w:bCs/>
          <w:i/>
          <w:iCs/>
          <w:sz w:val="20"/>
          <w:szCs w:val="20"/>
        </w:rPr>
        <w:t xml:space="preserve"> </w:t>
      </w:r>
      <w:r w:rsidRPr="00123EBD">
        <w:rPr>
          <w:rFonts w:ascii="Bookman Old Style" w:hAnsi="Bookman Old Style" w:cs="Arial"/>
          <w:bCs/>
          <w:i/>
          <w:iCs/>
          <w:sz w:val="20"/>
          <w:szCs w:val="20"/>
        </w:rPr>
        <w:t>esta Comisión la justificación en la que se especifique técnicamente por escrito</w:t>
      </w:r>
      <w:r w:rsidR="002F1740">
        <w:rPr>
          <w:rFonts w:ascii="Bookman Old Style" w:hAnsi="Bookman Old Style" w:cs="Arial"/>
          <w:bCs/>
          <w:i/>
          <w:iCs/>
          <w:sz w:val="20"/>
          <w:szCs w:val="20"/>
        </w:rPr>
        <w:t xml:space="preserve"> </w:t>
      </w:r>
      <w:r w:rsidRPr="00123EBD">
        <w:rPr>
          <w:rFonts w:ascii="Bookman Old Style" w:hAnsi="Bookman Old Style" w:cs="Arial"/>
          <w:bCs/>
          <w:i/>
          <w:iCs/>
          <w:sz w:val="20"/>
          <w:szCs w:val="20"/>
        </w:rPr>
        <w:t>la causa de la negación de la conexión, especificando el fundamento normativo</w:t>
      </w:r>
      <w:r w:rsidR="00CE5C6A">
        <w:rPr>
          <w:rFonts w:ascii="Bookman Old Style" w:hAnsi="Bookman Old Style" w:cs="Arial"/>
          <w:bCs/>
          <w:i/>
          <w:iCs/>
          <w:sz w:val="20"/>
          <w:szCs w:val="20"/>
        </w:rPr>
        <w:t xml:space="preserve"> </w:t>
      </w:r>
      <w:r w:rsidR="00CE5C6A" w:rsidRPr="00CE5C6A">
        <w:rPr>
          <w:rFonts w:ascii="Bookman Old Style" w:hAnsi="Bookman Old Style" w:cs="Arial"/>
          <w:bCs/>
          <w:i/>
          <w:iCs/>
          <w:sz w:val="20"/>
          <w:szCs w:val="20"/>
        </w:rPr>
        <w:t>o técnico que lo soporte, los parámetros verificables de indisponibilidad de red o</w:t>
      </w:r>
      <w:r w:rsidR="00CE5C6A">
        <w:rPr>
          <w:rFonts w:ascii="Bookman Old Style" w:hAnsi="Bookman Old Style" w:cs="Arial"/>
          <w:bCs/>
          <w:i/>
          <w:iCs/>
          <w:sz w:val="20"/>
          <w:szCs w:val="20"/>
        </w:rPr>
        <w:t xml:space="preserve"> </w:t>
      </w:r>
      <w:r w:rsidR="00CE5C6A" w:rsidRPr="00CE5C6A">
        <w:rPr>
          <w:rFonts w:ascii="Bookman Old Style" w:hAnsi="Bookman Old Style" w:cs="Arial"/>
          <w:bCs/>
          <w:i/>
          <w:iCs/>
          <w:sz w:val="20"/>
          <w:szCs w:val="20"/>
        </w:rPr>
        <w:t>de los requisitos incumplidos, indicando con precisión los requisitos o las obras</w:t>
      </w:r>
      <w:r w:rsidR="002247AB">
        <w:rPr>
          <w:rFonts w:ascii="Bookman Old Style" w:hAnsi="Bookman Old Style" w:cs="Arial"/>
          <w:bCs/>
          <w:i/>
          <w:iCs/>
          <w:sz w:val="20"/>
          <w:szCs w:val="20"/>
        </w:rPr>
        <w:t xml:space="preserve"> </w:t>
      </w:r>
      <w:r w:rsidR="00CE5C6A" w:rsidRPr="00CE5C6A">
        <w:rPr>
          <w:rFonts w:ascii="Bookman Old Style" w:hAnsi="Bookman Old Style" w:cs="Arial"/>
          <w:bCs/>
          <w:i/>
          <w:iCs/>
          <w:sz w:val="20"/>
          <w:szCs w:val="20"/>
        </w:rPr>
        <w:t>requeridas para que el concepto de viabilidad técnica sea favorable.</w:t>
      </w:r>
    </w:p>
    <w:p w14:paraId="5C28554F" w14:textId="77777777" w:rsidR="002247AB" w:rsidRPr="00CE5C6A" w:rsidRDefault="002247AB" w:rsidP="007E255E">
      <w:pPr>
        <w:ind w:left="567"/>
        <w:contextualSpacing/>
        <w:jc w:val="both"/>
        <w:rPr>
          <w:rFonts w:ascii="Bookman Old Style" w:hAnsi="Bookman Old Style" w:cs="Arial"/>
          <w:bCs/>
          <w:i/>
          <w:iCs/>
          <w:sz w:val="20"/>
          <w:szCs w:val="20"/>
        </w:rPr>
      </w:pPr>
    </w:p>
    <w:p w14:paraId="2E21667D" w14:textId="2ACDBCAE" w:rsidR="00CA146B" w:rsidRPr="00921D7B" w:rsidRDefault="00CE5C6A" w:rsidP="007E255E">
      <w:pPr>
        <w:ind w:left="567"/>
        <w:contextualSpacing/>
        <w:jc w:val="both"/>
        <w:rPr>
          <w:rFonts w:ascii="Bookman Old Style" w:hAnsi="Bookman Old Style" w:cs="Arial"/>
          <w:bCs/>
          <w:i/>
          <w:iCs/>
          <w:sz w:val="20"/>
          <w:szCs w:val="20"/>
        </w:rPr>
      </w:pPr>
      <w:r w:rsidRPr="00CE5C6A">
        <w:rPr>
          <w:rFonts w:ascii="Bookman Old Style" w:hAnsi="Bookman Old Style" w:cs="Arial"/>
          <w:bCs/>
          <w:i/>
          <w:iCs/>
          <w:sz w:val="20"/>
          <w:szCs w:val="20"/>
        </w:rPr>
        <w:t>3. Allegar a esta Comisión los análisis efectuados por parte de la Dirección de</w:t>
      </w:r>
      <w:r w:rsidR="002247AB">
        <w:rPr>
          <w:rFonts w:ascii="Bookman Old Style" w:hAnsi="Bookman Old Style" w:cs="Arial"/>
          <w:bCs/>
          <w:i/>
          <w:iCs/>
          <w:sz w:val="20"/>
          <w:szCs w:val="20"/>
        </w:rPr>
        <w:t xml:space="preserve"> </w:t>
      </w:r>
      <w:r w:rsidRPr="00CE5C6A">
        <w:rPr>
          <w:rFonts w:ascii="Bookman Old Style" w:hAnsi="Bookman Old Style" w:cs="Arial"/>
          <w:bCs/>
          <w:i/>
          <w:iCs/>
          <w:sz w:val="20"/>
          <w:szCs w:val="20"/>
        </w:rPr>
        <w:t>Energía y el Grupo de Gestión Contractual del Ministerio de Minas y Energía</w:t>
      </w:r>
      <w:r w:rsidR="002247AB">
        <w:rPr>
          <w:rFonts w:ascii="Bookman Old Style" w:hAnsi="Bookman Old Style" w:cs="Arial"/>
          <w:bCs/>
          <w:i/>
          <w:iCs/>
          <w:sz w:val="20"/>
          <w:szCs w:val="20"/>
        </w:rPr>
        <w:t xml:space="preserve"> </w:t>
      </w:r>
      <w:r w:rsidRPr="00CE5C6A">
        <w:rPr>
          <w:rFonts w:ascii="Bookman Old Style" w:hAnsi="Bookman Old Style" w:cs="Arial"/>
          <w:bCs/>
          <w:i/>
          <w:iCs/>
          <w:sz w:val="20"/>
          <w:szCs w:val="20"/>
        </w:rPr>
        <w:t>sobre la solicitud de la empresa DUE CAPITAL AND SERVICES S.A.S. de</w:t>
      </w:r>
      <w:r w:rsidR="002247AB">
        <w:rPr>
          <w:rFonts w:ascii="Bookman Old Style" w:hAnsi="Bookman Old Style" w:cs="Arial"/>
          <w:bCs/>
          <w:i/>
          <w:iCs/>
          <w:sz w:val="20"/>
          <w:szCs w:val="20"/>
        </w:rPr>
        <w:t xml:space="preserve"> </w:t>
      </w:r>
      <w:r w:rsidRPr="00CE5C6A">
        <w:rPr>
          <w:rFonts w:ascii="Bookman Old Style" w:hAnsi="Bookman Old Style" w:cs="Arial"/>
          <w:bCs/>
          <w:i/>
          <w:iCs/>
          <w:sz w:val="20"/>
          <w:szCs w:val="20"/>
        </w:rPr>
        <w:t>acuerdo con lo manifestado por parte del Ministerio en oficio con radicado interno</w:t>
      </w:r>
      <w:r w:rsidR="002247AB">
        <w:rPr>
          <w:rFonts w:ascii="Bookman Old Style" w:hAnsi="Bookman Old Style" w:cs="Arial"/>
          <w:bCs/>
          <w:i/>
          <w:iCs/>
          <w:sz w:val="20"/>
          <w:szCs w:val="20"/>
        </w:rPr>
        <w:t xml:space="preserve"> </w:t>
      </w:r>
      <w:r w:rsidRPr="00CE5C6A">
        <w:rPr>
          <w:rFonts w:ascii="Bookman Old Style" w:hAnsi="Bookman Old Style" w:cs="Arial"/>
          <w:bCs/>
          <w:i/>
          <w:iCs/>
          <w:sz w:val="20"/>
          <w:szCs w:val="20"/>
        </w:rPr>
        <w:t>2019091375 del 26 de diciembre de 2019 del MME, información requerida para</w:t>
      </w:r>
      <w:r w:rsidR="00966B5D">
        <w:rPr>
          <w:rFonts w:ascii="Bookman Old Style" w:hAnsi="Bookman Old Style" w:cs="Arial"/>
          <w:bCs/>
          <w:i/>
          <w:iCs/>
          <w:sz w:val="20"/>
          <w:szCs w:val="20"/>
        </w:rPr>
        <w:t xml:space="preserve"> </w:t>
      </w:r>
      <w:r w:rsidRPr="00CE5C6A">
        <w:rPr>
          <w:rFonts w:ascii="Bookman Old Style" w:hAnsi="Bookman Old Style" w:cs="Arial"/>
          <w:bCs/>
          <w:i/>
          <w:iCs/>
          <w:sz w:val="20"/>
          <w:szCs w:val="20"/>
        </w:rPr>
        <w:t>continuar con el trámite de la presente actuación administrativa e informar a esta</w:t>
      </w:r>
      <w:r w:rsidR="00A05C8F">
        <w:rPr>
          <w:rFonts w:ascii="Bookman Old Style" w:hAnsi="Bookman Old Style" w:cs="Arial"/>
          <w:bCs/>
          <w:i/>
          <w:iCs/>
          <w:sz w:val="20"/>
          <w:szCs w:val="20"/>
        </w:rPr>
        <w:t xml:space="preserve"> </w:t>
      </w:r>
      <w:r w:rsidRPr="00CE5C6A">
        <w:rPr>
          <w:rFonts w:ascii="Bookman Old Style" w:hAnsi="Bookman Old Style" w:cs="Arial"/>
          <w:bCs/>
          <w:i/>
          <w:iCs/>
          <w:sz w:val="20"/>
          <w:szCs w:val="20"/>
        </w:rPr>
        <w:t>Comisión.</w:t>
      </w:r>
      <w:r w:rsidR="00A05C8F">
        <w:rPr>
          <w:rFonts w:ascii="Bookman Old Style" w:hAnsi="Bookman Old Style" w:cs="Arial"/>
          <w:bCs/>
          <w:i/>
          <w:iCs/>
          <w:sz w:val="20"/>
          <w:szCs w:val="20"/>
        </w:rPr>
        <w:t xml:space="preserve"> </w:t>
      </w:r>
      <w:r w:rsidR="00CA146B">
        <w:rPr>
          <w:rFonts w:ascii="Bookman Old Style" w:hAnsi="Bookman Old Style" w:cs="Arial"/>
          <w:bCs/>
          <w:i/>
          <w:iCs/>
          <w:sz w:val="20"/>
          <w:szCs w:val="20"/>
          <w:lang w:val="es-CO"/>
        </w:rPr>
        <w:t>(…)</w:t>
      </w:r>
      <w:r w:rsidR="00CA146B" w:rsidRPr="00921D7B">
        <w:rPr>
          <w:rFonts w:ascii="Bookman Old Style" w:hAnsi="Bookman Old Style" w:cs="Arial"/>
          <w:bCs/>
          <w:i/>
          <w:iCs/>
          <w:sz w:val="20"/>
          <w:szCs w:val="20"/>
          <w:lang w:val="es-CO"/>
        </w:rPr>
        <w:t>”</w:t>
      </w:r>
    </w:p>
    <w:p w14:paraId="00EFBFCD" w14:textId="77777777" w:rsidR="00DF6079" w:rsidRPr="0086458B" w:rsidRDefault="00DF6079" w:rsidP="00E57F55">
      <w:pPr>
        <w:ind w:left="284"/>
        <w:contextualSpacing/>
        <w:jc w:val="both"/>
        <w:rPr>
          <w:rFonts w:ascii="Bookman Old Style" w:hAnsi="Bookman Old Style" w:cs="Arial"/>
          <w:lang w:val="es-CO"/>
        </w:rPr>
      </w:pPr>
    </w:p>
    <w:p w14:paraId="2CEF90A6" w14:textId="339FC4DF" w:rsidR="00874150" w:rsidRPr="0086458B" w:rsidRDefault="00F83880" w:rsidP="00E57F55">
      <w:pPr>
        <w:ind w:left="284"/>
        <w:contextualSpacing/>
        <w:jc w:val="both"/>
        <w:rPr>
          <w:rFonts w:ascii="Bookman Old Style" w:hAnsi="Bookman Old Style" w:cs="Arial"/>
        </w:rPr>
      </w:pPr>
      <w:r w:rsidRPr="0086458B">
        <w:rPr>
          <w:rFonts w:ascii="Bookman Old Style" w:hAnsi="Bookman Old Style" w:cs="Arial"/>
        </w:rPr>
        <w:t xml:space="preserve">Mediante radicados CREG E-2020-010341 y E-2020-010439 del 27 y 31 de agosto del 2020, el </w:t>
      </w:r>
      <w:r w:rsidR="00281302">
        <w:rPr>
          <w:rFonts w:ascii="Bookman Old Style" w:hAnsi="Bookman Old Style" w:cs="Arial"/>
        </w:rPr>
        <w:t xml:space="preserve">MME </w:t>
      </w:r>
      <w:r w:rsidRPr="0086458B">
        <w:rPr>
          <w:rFonts w:ascii="Bookman Old Style" w:hAnsi="Bookman Old Style" w:cs="Arial"/>
        </w:rPr>
        <w:t xml:space="preserve">dio respuesta a lo solicitado en el precitado auto de decreto de pruebas informando lo siguiente: </w:t>
      </w:r>
    </w:p>
    <w:p w14:paraId="24DC955C" w14:textId="77777777" w:rsidR="00874150" w:rsidRPr="0086458B" w:rsidRDefault="00874150" w:rsidP="00E57F55">
      <w:pPr>
        <w:ind w:left="284"/>
        <w:contextualSpacing/>
        <w:jc w:val="both"/>
        <w:rPr>
          <w:rFonts w:ascii="Bookman Old Style" w:hAnsi="Bookman Old Style" w:cs="Arial"/>
        </w:rPr>
      </w:pPr>
    </w:p>
    <w:p w14:paraId="749393D6" w14:textId="77777777" w:rsidR="00AF62B6" w:rsidRDefault="00F83880" w:rsidP="007E255E">
      <w:pPr>
        <w:ind w:left="567"/>
        <w:contextualSpacing/>
        <w:jc w:val="both"/>
        <w:rPr>
          <w:rFonts w:ascii="Bookman Old Style" w:hAnsi="Bookman Old Style" w:cs="Arial"/>
          <w:i/>
          <w:iCs/>
          <w:sz w:val="20"/>
          <w:szCs w:val="20"/>
        </w:rPr>
      </w:pPr>
      <w:r w:rsidRPr="00502662">
        <w:rPr>
          <w:rFonts w:ascii="Bookman Old Style" w:hAnsi="Bookman Old Style" w:cs="Arial"/>
          <w:i/>
          <w:iCs/>
          <w:sz w:val="20"/>
          <w:szCs w:val="20"/>
        </w:rPr>
        <w:t>“(…)</w:t>
      </w:r>
      <w:r w:rsidR="00AF62B6">
        <w:rPr>
          <w:rFonts w:ascii="Bookman Old Style" w:hAnsi="Bookman Old Style" w:cs="Arial"/>
          <w:i/>
          <w:iCs/>
          <w:sz w:val="20"/>
          <w:szCs w:val="20"/>
        </w:rPr>
        <w:t xml:space="preserve"> </w:t>
      </w:r>
      <w:r w:rsidR="00AF62B6" w:rsidRPr="00AF62B6">
        <w:rPr>
          <w:rFonts w:ascii="Bookman Old Style" w:hAnsi="Bookman Old Style" w:cs="Arial"/>
          <w:i/>
          <w:iCs/>
          <w:sz w:val="20"/>
          <w:szCs w:val="20"/>
        </w:rPr>
        <w:t>1. Sí, el pasado 26 de marzo de 2020, la empresa GENSA S.A. E.S.P remitió al Ministerio de Minas y Energía concepto técnico con la conexión del proyecto solar en cuestión, el cual se adjunta a la presente comunicación.</w:t>
      </w:r>
    </w:p>
    <w:p w14:paraId="5425461B" w14:textId="77777777" w:rsidR="00AF62B6" w:rsidRDefault="00AF62B6" w:rsidP="007E255E">
      <w:pPr>
        <w:ind w:left="567"/>
        <w:contextualSpacing/>
        <w:jc w:val="both"/>
        <w:rPr>
          <w:rFonts w:ascii="Bookman Old Style" w:hAnsi="Bookman Old Style" w:cs="Arial"/>
          <w:i/>
          <w:iCs/>
          <w:sz w:val="20"/>
          <w:szCs w:val="20"/>
        </w:rPr>
      </w:pPr>
    </w:p>
    <w:p w14:paraId="1DD5AD72" w14:textId="77777777" w:rsidR="00AF62B6"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 xml:space="preserve">2. GENSA S.A. E.S.P, luego de realizar la revisión del contenido mínimo de un estudio de conexión, concluye que: En general se considera que hacen falta los siguientes entregables para entregar un concepto técnico, no compromisorio con relación al estudio de conexión: </w:t>
      </w:r>
    </w:p>
    <w:p w14:paraId="259546CE" w14:textId="77777777" w:rsidR="00AF62B6" w:rsidRDefault="00AF62B6" w:rsidP="007E255E">
      <w:pPr>
        <w:ind w:left="567"/>
        <w:contextualSpacing/>
        <w:jc w:val="both"/>
        <w:rPr>
          <w:rFonts w:ascii="Bookman Old Style" w:hAnsi="Bookman Old Style" w:cs="Arial"/>
          <w:i/>
          <w:iCs/>
          <w:sz w:val="20"/>
          <w:szCs w:val="20"/>
        </w:rPr>
      </w:pPr>
    </w:p>
    <w:p w14:paraId="67885489" w14:textId="77777777" w:rsidR="00AF62B6"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 xml:space="preserve">Análisis de estabilidad </w:t>
      </w:r>
    </w:p>
    <w:p w14:paraId="7514EAB3" w14:textId="77777777" w:rsidR="00CB19AC"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Estabilidad dinámica</w:t>
      </w:r>
    </w:p>
    <w:p w14:paraId="69404044" w14:textId="77777777" w:rsidR="00CB19AC"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Estabilidad transitoria</w:t>
      </w:r>
    </w:p>
    <w:p w14:paraId="20558B5E" w14:textId="77777777" w:rsidR="00CB19AC"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Ajustar proyección de demanda</w:t>
      </w:r>
    </w:p>
    <w:p w14:paraId="328F5979" w14:textId="77777777" w:rsidR="00CB19AC" w:rsidRDefault="00CB19AC" w:rsidP="007E255E">
      <w:pPr>
        <w:ind w:left="567"/>
        <w:contextualSpacing/>
        <w:jc w:val="both"/>
        <w:rPr>
          <w:rFonts w:ascii="Bookman Old Style" w:hAnsi="Bookman Old Style" w:cs="Arial"/>
          <w:i/>
          <w:iCs/>
          <w:sz w:val="20"/>
          <w:szCs w:val="20"/>
        </w:rPr>
      </w:pPr>
    </w:p>
    <w:p w14:paraId="09993BB9" w14:textId="65E3F2F3" w:rsidR="00CB19AC"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3. Con relación a este punto, el MME manifestó a DUE CAPITAL AND SERVICES S.A.S como respuesta a el Derecho de Petición con número de radicado 1-2020-005235, en el oficio con radicado 2-2020-004284 del 28 de febrero de 2020 (adjunto), la solicitud de un plazo de 60 días para recopilar la documentación y hacer las averiguaciones y validaciones pertinentes.</w:t>
      </w:r>
    </w:p>
    <w:p w14:paraId="287D3195" w14:textId="77777777" w:rsidR="00CB19AC" w:rsidRDefault="00CB19AC" w:rsidP="007E255E">
      <w:pPr>
        <w:ind w:left="567"/>
        <w:contextualSpacing/>
        <w:jc w:val="both"/>
        <w:rPr>
          <w:rFonts w:ascii="Bookman Old Style" w:hAnsi="Bookman Old Style" w:cs="Arial"/>
          <w:i/>
          <w:iCs/>
          <w:sz w:val="20"/>
          <w:szCs w:val="20"/>
        </w:rPr>
      </w:pPr>
    </w:p>
    <w:p w14:paraId="07C45F84" w14:textId="5694E0B4" w:rsidR="00AF62B6" w:rsidRDefault="00AF62B6" w:rsidP="007E255E">
      <w:pPr>
        <w:ind w:left="567"/>
        <w:contextualSpacing/>
        <w:jc w:val="both"/>
        <w:rPr>
          <w:rFonts w:ascii="Bookman Old Style" w:hAnsi="Bookman Old Style" w:cs="Arial"/>
          <w:i/>
          <w:iCs/>
          <w:sz w:val="20"/>
          <w:szCs w:val="20"/>
        </w:rPr>
      </w:pPr>
      <w:r w:rsidRPr="00AF62B6">
        <w:rPr>
          <w:rFonts w:ascii="Bookman Old Style" w:hAnsi="Bookman Old Style" w:cs="Arial"/>
          <w:i/>
          <w:iCs/>
          <w:sz w:val="20"/>
          <w:szCs w:val="20"/>
        </w:rPr>
        <w:t>4. Posteriormente, en el oficio con radicado 2-2020-01228 del 21 de julio de 2020 (adjunto), el Ministerio de Minas y Energía manifestó a DUE CAPITAL AND SERVICES S.A.S que, debido a la situación de emergencia en la que se encuentra el país, su personal no ha podido realizar las verificaciones y validaciones en campo, para las cuales se habían solicitado los 60 días en la comunicación anteriormente mencionada.</w:t>
      </w:r>
    </w:p>
    <w:p w14:paraId="73367731" w14:textId="77777777" w:rsidR="008F7BA7" w:rsidRDefault="008F7BA7" w:rsidP="007E255E">
      <w:pPr>
        <w:ind w:left="567"/>
        <w:contextualSpacing/>
        <w:jc w:val="both"/>
        <w:rPr>
          <w:rFonts w:ascii="Bookman Old Style" w:hAnsi="Bookman Old Style" w:cs="Arial"/>
          <w:i/>
          <w:iCs/>
          <w:sz w:val="20"/>
          <w:szCs w:val="20"/>
        </w:rPr>
      </w:pPr>
    </w:p>
    <w:p w14:paraId="122F9854" w14:textId="77777777" w:rsidR="00AB5740" w:rsidRDefault="00AB5740" w:rsidP="007E255E">
      <w:pPr>
        <w:ind w:left="567"/>
        <w:contextualSpacing/>
        <w:jc w:val="both"/>
        <w:rPr>
          <w:rFonts w:ascii="Bookman Old Style" w:hAnsi="Bookman Old Style" w:cs="Arial"/>
          <w:i/>
          <w:iCs/>
          <w:sz w:val="20"/>
          <w:szCs w:val="20"/>
        </w:rPr>
      </w:pPr>
      <w:r w:rsidRPr="00AB5740">
        <w:rPr>
          <w:rFonts w:ascii="Bookman Old Style" w:hAnsi="Bookman Old Style" w:cs="Arial"/>
          <w:i/>
          <w:iCs/>
          <w:sz w:val="20"/>
          <w:szCs w:val="20"/>
        </w:rPr>
        <w:t>Así las cosas, el Ministerio de Minas y Energía se encuentra aún a la espera de poder realizar estas validaciones in situ, con el fin de poder determinar el estado de la línea de 34,5 kV y corroborar como propietario de la infraestructura la viabilidad de esta conexión, indistinto de que sea GENSA S.A. E.S.P el llamado a la revisión y respuesta del estudio de conexión.</w:t>
      </w:r>
    </w:p>
    <w:p w14:paraId="095B4198" w14:textId="77777777" w:rsidR="00AB5740" w:rsidRDefault="00AB5740" w:rsidP="007E255E">
      <w:pPr>
        <w:ind w:left="567"/>
        <w:contextualSpacing/>
        <w:jc w:val="both"/>
        <w:rPr>
          <w:rFonts w:ascii="Bookman Old Style" w:hAnsi="Bookman Old Style" w:cs="Arial"/>
          <w:i/>
          <w:iCs/>
          <w:sz w:val="20"/>
          <w:szCs w:val="20"/>
        </w:rPr>
      </w:pPr>
    </w:p>
    <w:p w14:paraId="75CD99D3" w14:textId="77777777" w:rsidR="00AB5740" w:rsidRDefault="00AB5740" w:rsidP="007E255E">
      <w:pPr>
        <w:ind w:left="567"/>
        <w:contextualSpacing/>
        <w:jc w:val="both"/>
        <w:rPr>
          <w:rFonts w:ascii="Bookman Old Style" w:hAnsi="Bookman Old Style" w:cs="Arial"/>
          <w:i/>
          <w:iCs/>
          <w:sz w:val="20"/>
          <w:szCs w:val="20"/>
        </w:rPr>
      </w:pPr>
      <w:r w:rsidRPr="00AB5740">
        <w:rPr>
          <w:rFonts w:ascii="Bookman Old Style" w:hAnsi="Bookman Old Style" w:cs="Arial"/>
          <w:i/>
          <w:iCs/>
          <w:sz w:val="20"/>
          <w:szCs w:val="20"/>
        </w:rPr>
        <w:t>No obstante, en el entender de esta dirección, al haberse entregado la infraestructura de generación a la empresa GENSA S.A. E.S.P para su uso y goce, y para su administración, operación y mantenimiento, recae sobre dicha empresa la responsabilidad de conceptuar técnicamente sobre el estudio de conexión presentado.</w:t>
      </w:r>
    </w:p>
    <w:p w14:paraId="079B3CEF" w14:textId="77777777" w:rsidR="00AB5740" w:rsidRDefault="00AB5740" w:rsidP="007E255E">
      <w:pPr>
        <w:ind w:left="567"/>
        <w:contextualSpacing/>
        <w:jc w:val="both"/>
        <w:rPr>
          <w:rFonts w:ascii="Bookman Old Style" w:hAnsi="Bookman Old Style" w:cs="Arial"/>
          <w:i/>
          <w:iCs/>
          <w:sz w:val="20"/>
          <w:szCs w:val="20"/>
        </w:rPr>
      </w:pPr>
    </w:p>
    <w:p w14:paraId="6ACEE2BB" w14:textId="03129E1A" w:rsidR="008F7BA7" w:rsidRDefault="00AB5740" w:rsidP="007E255E">
      <w:pPr>
        <w:ind w:left="567"/>
        <w:contextualSpacing/>
        <w:jc w:val="both"/>
        <w:rPr>
          <w:rFonts w:ascii="Bookman Old Style" w:hAnsi="Bookman Old Style" w:cs="Arial"/>
          <w:i/>
          <w:iCs/>
          <w:sz w:val="20"/>
          <w:szCs w:val="20"/>
        </w:rPr>
      </w:pPr>
      <w:r w:rsidRPr="00AB5740">
        <w:rPr>
          <w:rFonts w:ascii="Bookman Old Style" w:hAnsi="Bookman Old Style" w:cs="Arial"/>
          <w:i/>
          <w:iCs/>
          <w:sz w:val="20"/>
          <w:szCs w:val="20"/>
        </w:rPr>
        <w:t>Consideramos que una vez se hayan superado las condiciones antes advertidas y que un equipo técnico del Ministerio de Minas y Energía pueda hacer una visita de campo para corroborar algunas características específicas de la infraestructura, se podrá dar con certeza dar aval a los conceptos que emita GENSA S.A. E.S.P sobre la materia.</w:t>
      </w:r>
      <w:r>
        <w:rPr>
          <w:rFonts w:ascii="Bookman Old Style" w:hAnsi="Bookman Old Style" w:cs="Arial"/>
          <w:i/>
          <w:iCs/>
          <w:sz w:val="20"/>
          <w:szCs w:val="20"/>
        </w:rPr>
        <w:t xml:space="preserve"> (…)”</w:t>
      </w:r>
    </w:p>
    <w:p w14:paraId="73A13B98" w14:textId="77777777" w:rsidR="004C1175" w:rsidRDefault="004C1175" w:rsidP="00E57F55">
      <w:pPr>
        <w:ind w:left="284"/>
        <w:contextualSpacing/>
        <w:jc w:val="both"/>
        <w:rPr>
          <w:rFonts w:ascii="Bookman Old Style" w:hAnsi="Bookman Old Style" w:cs="Arial"/>
        </w:rPr>
      </w:pPr>
    </w:p>
    <w:p w14:paraId="2B49CAA8" w14:textId="3C8FCC66" w:rsidR="00F83880" w:rsidRPr="0086458B" w:rsidRDefault="3FA7B7B0" w:rsidP="00E57F55">
      <w:pPr>
        <w:ind w:left="284"/>
        <w:contextualSpacing/>
        <w:jc w:val="both"/>
        <w:rPr>
          <w:rFonts w:ascii="Bookman Old Style" w:hAnsi="Bookman Old Style" w:cs="Arial"/>
        </w:rPr>
      </w:pPr>
      <w:r w:rsidRPr="0086458B">
        <w:rPr>
          <w:rFonts w:ascii="Bookman Old Style" w:hAnsi="Bookman Old Style" w:cs="Arial"/>
        </w:rPr>
        <w:t>Así mismo, mediante dicho Auto</w:t>
      </w:r>
      <w:r w:rsidR="00B1325E">
        <w:rPr>
          <w:rFonts w:ascii="Bookman Old Style" w:hAnsi="Bookman Old Style" w:cs="Arial"/>
        </w:rPr>
        <w:t xml:space="preserve"> I-2020-003485</w:t>
      </w:r>
      <w:r w:rsidRPr="0086458B">
        <w:rPr>
          <w:rFonts w:ascii="Bookman Old Style" w:hAnsi="Bookman Old Style" w:cs="Arial"/>
        </w:rPr>
        <w:t xml:space="preserve">, se corrió traslado a las partes con la información recibida en el marco de la práctica de pruebas. </w:t>
      </w:r>
    </w:p>
    <w:p w14:paraId="48F054B7" w14:textId="77777777" w:rsidR="00F83880" w:rsidRPr="0086458B" w:rsidRDefault="00F83880" w:rsidP="00E57F55">
      <w:pPr>
        <w:ind w:left="284"/>
        <w:contextualSpacing/>
        <w:jc w:val="both"/>
        <w:rPr>
          <w:rFonts w:ascii="Bookman Old Style" w:hAnsi="Bookman Old Style" w:cs="Arial"/>
          <w:szCs w:val="22"/>
          <w:highlight w:val="yellow"/>
        </w:rPr>
      </w:pPr>
    </w:p>
    <w:p w14:paraId="5003E20B" w14:textId="77777777" w:rsidR="0049214E" w:rsidRDefault="00F83880" w:rsidP="00E57F55">
      <w:pPr>
        <w:ind w:left="284"/>
        <w:contextualSpacing/>
        <w:jc w:val="both"/>
        <w:rPr>
          <w:rFonts w:ascii="Bookman Old Style" w:hAnsi="Bookman Old Style" w:cs="Arial"/>
        </w:rPr>
      </w:pPr>
      <w:r w:rsidRPr="00951182">
        <w:rPr>
          <w:rFonts w:ascii="Bookman Old Style" w:hAnsi="Bookman Old Style" w:cs="Arial"/>
        </w:rPr>
        <w:t xml:space="preserve">Mediante comunicación con radicado CREG E-2020-011109, </w:t>
      </w:r>
      <w:r w:rsidR="00884176" w:rsidRPr="00951182">
        <w:rPr>
          <w:rFonts w:ascii="Bookman Old Style" w:hAnsi="Bookman Old Style" w:cs="Arial"/>
        </w:rPr>
        <w:t xml:space="preserve">DUE </w:t>
      </w:r>
      <w:r w:rsidRPr="00951182">
        <w:rPr>
          <w:rFonts w:ascii="Bookman Old Style" w:hAnsi="Bookman Old Style" w:cs="Arial"/>
        </w:rPr>
        <w:t>se pronunció sobre la información trasladada indicando lo siguiente:</w:t>
      </w:r>
    </w:p>
    <w:p w14:paraId="640685DD" w14:textId="77777777" w:rsidR="0049214E" w:rsidRDefault="0049214E" w:rsidP="00E57F55">
      <w:pPr>
        <w:ind w:left="284"/>
        <w:contextualSpacing/>
        <w:jc w:val="both"/>
        <w:rPr>
          <w:rFonts w:ascii="Bookman Old Style" w:hAnsi="Bookman Old Style" w:cs="Arial"/>
        </w:rPr>
      </w:pPr>
    </w:p>
    <w:p w14:paraId="46EEC779" w14:textId="694A4F44" w:rsidR="00F83880" w:rsidRPr="0049214E" w:rsidRDefault="00F83880" w:rsidP="007E255E">
      <w:pPr>
        <w:ind w:left="567"/>
        <w:contextualSpacing/>
        <w:jc w:val="both"/>
        <w:rPr>
          <w:rFonts w:ascii="Bookman Old Style" w:hAnsi="Bookman Old Style" w:cs="Arial"/>
          <w:sz w:val="20"/>
          <w:szCs w:val="20"/>
        </w:rPr>
      </w:pPr>
      <w:r w:rsidRPr="0049214E">
        <w:rPr>
          <w:rFonts w:ascii="Bookman Old Style" w:hAnsi="Bookman Old Style" w:cs="Arial"/>
          <w:i/>
          <w:iCs/>
          <w:sz w:val="20"/>
          <w:szCs w:val="20"/>
        </w:rPr>
        <w:t>“</w:t>
      </w:r>
      <w:r w:rsidR="007D52C5" w:rsidRPr="0049214E">
        <w:rPr>
          <w:rFonts w:ascii="Bookman Old Style" w:hAnsi="Bookman Old Style" w:cs="Arial"/>
          <w:i/>
          <w:iCs/>
          <w:sz w:val="20"/>
          <w:szCs w:val="20"/>
        </w:rPr>
        <w:t xml:space="preserve">(…) </w:t>
      </w:r>
      <w:r w:rsidRPr="0049214E">
        <w:rPr>
          <w:rFonts w:ascii="Bookman Old Style" w:hAnsi="Bookman Old Style" w:cs="Arial"/>
          <w:i/>
          <w:iCs/>
          <w:sz w:val="20"/>
          <w:szCs w:val="20"/>
        </w:rPr>
        <w:t xml:space="preserve">DUE confirma su disposición a cumplir con todos y cada uno de los reglamentos técnicos y a realizar los análisis adicionales que correspondan, para lo cual solicito que al imponer la servidumbre se indique tanto a </w:t>
      </w:r>
      <w:r w:rsidR="00AC53E0" w:rsidRPr="0049214E">
        <w:rPr>
          <w:rFonts w:ascii="Bookman Old Style" w:hAnsi="Bookman Old Style" w:cs="Arial"/>
          <w:i/>
          <w:iCs/>
          <w:sz w:val="20"/>
          <w:szCs w:val="20"/>
        </w:rPr>
        <w:t xml:space="preserve">GENSA </w:t>
      </w:r>
      <w:r w:rsidRPr="0049214E">
        <w:rPr>
          <w:rFonts w:ascii="Bookman Old Style" w:hAnsi="Bookman Old Style" w:cs="Arial"/>
          <w:i/>
          <w:iCs/>
          <w:sz w:val="20"/>
          <w:szCs w:val="20"/>
        </w:rPr>
        <w:t xml:space="preserve">como a Minenergía que están obligados a suministrar la información de base, que se les ha solicitado en repetidas ocasiones, como el modelo en DigSilent de la MCH Mitú y de los generadores </w:t>
      </w:r>
      <w:r w:rsidR="002E24C2" w:rsidRPr="0049214E">
        <w:rPr>
          <w:rFonts w:ascii="Bookman Old Style" w:hAnsi="Bookman Old Style" w:cs="Arial"/>
          <w:i/>
          <w:iCs/>
          <w:sz w:val="20"/>
          <w:szCs w:val="20"/>
        </w:rPr>
        <w:t>D</w:t>
      </w:r>
      <w:r w:rsidRPr="0049214E">
        <w:rPr>
          <w:rFonts w:ascii="Bookman Old Style" w:hAnsi="Bookman Old Style" w:cs="Arial"/>
          <w:i/>
          <w:iCs/>
          <w:sz w:val="20"/>
          <w:szCs w:val="20"/>
        </w:rPr>
        <w:t>iésel para los análisis dinámicos, sin que a la fecha se haya obtenido respuesta positiva</w:t>
      </w:r>
      <w:r w:rsidR="007D52C5" w:rsidRPr="0049214E">
        <w:rPr>
          <w:rFonts w:ascii="Bookman Old Style" w:hAnsi="Bookman Old Style" w:cs="Arial"/>
          <w:i/>
          <w:iCs/>
          <w:sz w:val="20"/>
          <w:szCs w:val="20"/>
        </w:rPr>
        <w:t xml:space="preserve"> (…)</w:t>
      </w:r>
      <w:r w:rsidRPr="0049214E">
        <w:rPr>
          <w:rFonts w:ascii="Bookman Old Style" w:hAnsi="Bookman Old Style" w:cs="Arial"/>
          <w:i/>
          <w:iCs/>
          <w:sz w:val="20"/>
          <w:szCs w:val="20"/>
        </w:rPr>
        <w:t>”.</w:t>
      </w:r>
    </w:p>
    <w:p w14:paraId="660E8FE8" w14:textId="77777777" w:rsidR="00456E71" w:rsidRPr="0086458B" w:rsidRDefault="00456E71" w:rsidP="00E57F55">
      <w:pPr>
        <w:ind w:left="284"/>
        <w:contextualSpacing/>
        <w:jc w:val="both"/>
        <w:rPr>
          <w:rFonts w:ascii="Bookman Old Style" w:hAnsi="Bookman Old Style" w:cs="Arial"/>
          <w:i/>
          <w:iCs/>
          <w:u w:val="single"/>
        </w:rPr>
      </w:pPr>
    </w:p>
    <w:p w14:paraId="51674260" w14:textId="7A68C1BB" w:rsidR="00F83880" w:rsidRDefault="00F64352"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Con las comunicaciones</w:t>
      </w:r>
      <w:r w:rsidR="00F83880" w:rsidRPr="0086458B">
        <w:rPr>
          <w:rFonts w:ascii="Bookman Old Style" w:eastAsia="MS Mincho" w:hAnsi="Bookman Old Style" w:cs="Arial"/>
        </w:rPr>
        <w:t xml:space="preserve"> </w:t>
      </w:r>
      <w:r w:rsidRPr="0086458B">
        <w:rPr>
          <w:rFonts w:ascii="Bookman Old Style" w:eastAsia="MS Mincho" w:hAnsi="Bookman Old Style" w:cs="Arial"/>
        </w:rPr>
        <w:t>remitidas</w:t>
      </w:r>
      <w:r w:rsidR="00F83880" w:rsidRPr="0086458B">
        <w:rPr>
          <w:rFonts w:ascii="Bookman Old Style" w:eastAsia="MS Mincho" w:hAnsi="Bookman Old Style" w:cs="Arial"/>
        </w:rPr>
        <w:t xml:space="preserve"> a la C</w:t>
      </w:r>
      <w:r w:rsidRPr="0086458B">
        <w:rPr>
          <w:rFonts w:ascii="Bookman Old Style" w:eastAsia="MS Mincho" w:hAnsi="Bookman Old Style" w:cs="Arial"/>
        </w:rPr>
        <w:t>omisión</w:t>
      </w:r>
      <w:r w:rsidR="00F83880" w:rsidRPr="0086458B">
        <w:rPr>
          <w:rFonts w:ascii="Bookman Old Style" w:eastAsia="MS Mincho" w:hAnsi="Bookman Old Style" w:cs="Arial"/>
        </w:rPr>
        <w:t xml:space="preserve"> por parte del Ministerio </w:t>
      </w:r>
      <w:r w:rsidR="00456E71" w:rsidRPr="0086458B">
        <w:rPr>
          <w:rFonts w:ascii="Bookman Old Style" w:eastAsia="MS Mincho" w:hAnsi="Bookman Old Style" w:cs="Arial"/>
        </w:rPr>
        <w:t xml:space="preserve">con </w:t>
      </w:r>
      <w:r w:rsidR="00F83880" w:rsidRPr="0086458B">
        <w:rPr>
          <w:rFonts w:ascii="Bookman Old Style" w:eastAsia="MS Mincho" w:hAnsi="Bookman Old Style" w:cs="Arial"/>
        </w:rPr>
        <w:t>radicados E2020010341 y E-2020-010439, se evidenci</w:t>
      </w:r>
      <w:r w:rsidR="00061FDB" w:rsidRPr="0086458B">
        <w:rPr>
          <w:rFonts w:ascii="Bookman Old Style" w:eastAsia="MS Mincho" w:hAnsi="Bookman Old Style" w:cs="Arial"/>
        </w:rPr>
        <w:t>aron</w:t>
      </w:r>
      <w:r w:rsidR="00F83880" w:rsidRPr="0086458B">
        <w:rPr>
          <w:rFonts w:ascii="Bookman Old Style" w:eastAsia="MS Mincho" w:hAnsi="Bookman Old Style" w:cs="Arial"/>
        </w:rPr>
        <w:t xml:space="preserve"> requerimientos adicionales señalados por parte de GENSA, a la documentación presentada por parte de </w:t>
      </w:r>
      <w:r w:rsidR="00456E71" w:rsidRPr="0086458B">
        <w:rPr>
          <w:rFonts w:ascii="Bookman Old Style" w:eastAsia="MS Mincho" w:hAnsi="Bookman Old Style" w:cs="Arial"/>
        </w:rPr>
        <w:t>la empresa,</w:t>
      </w:r>
      <w:r w:rsidR="00F83880" w:rsidRPr="0086458B">
        <w:rPr>
          <w:rFonts w:ascii="Bookman Old Style" w:eastAsia="MS Mincho" w:hAnsi="Bookman Old Style" w:cs="Arial"/>
        </w:rPr>
        <w:t xml:space="preserve"> indicando la falta de los siguientes estudios: </w:t>
      </w:r>
      <w:bookmarkStart w:id="1" w:name="_Hlk60760559"/>
      <w:r w:rsidR="00F83880" w:rsidRPr="0086458B">
        <w:rPr>
          <w:rFonts w:ascii="Bookman Old Style" w:eastAsia="MS Mincho" w:hAnsi="Bookman Old Style" w:cs="Arial"/>
        </w:rPr>
        <w:t>i) análisis de estabilidad, ii) estabilidad dinámica, iii) estabilidad transitoria y iv) ajustar proyección de demanda.</w:t>
      </w:r>
    </w:p>
    <w:p w14:paraId="7945D40D" w14:textId="77777777" w:rsidR="006B0D0D" w:rsidRDefault="006B0D0D" w:rsidP="00E57F55">
      <w:pPr>
        <w:ind w:left="284"/>
        <w:contextualSpacing/>
        <w:jc w:val="both"/>
        <w:rPr>
          <w:rFonts w:ascii="Bookman Old Style" w:eastAsia="MS Mincho" w:hAnsi="Bookman Old Style" w:cs="Arial"/>
        </w:rPr>
      </w:pPr>
    </w:p>
    <w:p w14:paraId="4732FA4E" w14:textId="1814ABA8" w:rsidR="00C77B87" w:rsidRPr="0086458B" w:rsidRDefault="00C77B87" w:rsidP="00C77B87">
      <w:pPr>
        <w:ind w:left="284"/>
        <w:contextualSpacing/>
        <w:jc w:val="both"/>
        <w:rPr>
          <w:rFonts w:ascii="Bookman Old Style" w:hAnsi="Bookman Old Style" w:cs="Arial"/>
        </w:rPr>
      </w:pPr>
      <w:r w:rsidRPr="0086458B">
        <w:rPr>
          <w:rFonts w:ascii="Bookman Old Style" w:hAnsi="Bookman Old Style" w:cs="Arial"/>
        </w:rPr>
        <w:t>Mediante comunicaci</w:t>
      </w:r>
      <w:r>
        <w:rPr>
          <w:rFonts w:ascii="Bookman Old Style" w:hAnsi="Bookman Old Style" w:cs="Arial"/>
        </w:rPr>
        <w:t xml:space="preserve">ón </w:t>
      </w:r>
      <w:r w:rsidRPr="0086458B">
        <w:rPr>
          <w:rFonts w:ascii="Bookman Old Style" w:hAnsi="Bookman Old Style" w:cs="Arial"/>
        </w:rPr>
        <w:t>con radicado CREG E-2020-0</w:t>
      </w:r>
      <w:r w:rsidR="00945200">
        <w:rPr>
          <w:rFonts w:ascii="Bookman Old Style" w:hAnsi="Bookman Old Style" w:cs="Arial"/>
        </w:rPr>
        <w:t>12657</w:t>
      </w:r>
      <w:r w:rsidR="007E255E">
        <w:rPr>
          <w:rFonts w:ascii="Bookman Old Style" w:hAnsi="Bookman Old Style" w:cs="Arial"/>
        </w:rPr>
        <w:t>,</w:t>
      </w:r>
      <w:r w:rsidRPr="0086458B">
        <w:rPr>
          <w:rFonts w:ascii="Bookman Old Style" w:hAnsi="Bookman Old Style" w:cs="Arial"/>
        </w:rPr>
        <w:t xml:space="preserve"> </w:t>
      </w:r>
      <w:r>
        <w:rPr>
          <w:rFonts w:ascii="Bookman Old Style" w:hAnsi="Bookman Old Style" w:cs="Arial"/>
        </w:rPr>
        <w:t xml:space="preserve">DUE </w:t>
      </w:r>
      <w:r w:rsidRPr="0086458B">
        <w:rPr>
          <w:rFonts w:ascii="Bookman Old Style" w:hAnsi="Bookman Old Style" w:cs="Arial"/>
        </w:rPr>
        <w:t>solicit</w:t>
      </w:r>
      <w:r>
        <w:rPr>
          <w:rFonts w:ascii="Bookman Old Style" w:hAnsi="Bookman Old Style" w:cs="Arial"/>
        </w:rPr>
        <w:t>ó</w:t>
      </w:r>
      <w:r w:rsidRPr="0086458B">
        <w:rPr>
          <w:rFonts w:ascii="Bookman Old Style" w:hAnsi="Bookman Old Style" w:cs="Arial"/>
        </w:rPr>
        <w:t xml:space="preserve"> a esta Comisión la terminación de la etapa probatoria </w:t>
      </w:r>
      <w:r w:rsidR="00867812">
        <w:rPr>
          <w:rFonts w:ascii="Bookman Old Style" w:hAnsi="Bookman Old Style" w:cs="Arial"/>
        </w:rPr>
        <w:t xml:space="preserve">y </w:t>
      </w:r>
      <w:r w:rsidR="00867812" w:rsidRPr="00867812">
        <w:rPr>
          <w:rFonts w:ascii="Bookman Old Style" w:hAnsi="Bookman Old Style" w:cs="Arial"/>
        </w:rPr>
        <w:t>resolver la solicitud de imposición de servidumbre eléctrica</w:t>
      </w:r>
      <w:r w:rsidRPr="0086458B">
        <w:rPr>
          <w:rFonts w:ascii="Bookman Old Style" w:hAnsi="Bookman Old Style" w:cs="Arial"/>
        </w:rPr>
        <w:t>.</w:t>
      </w:r>
    </w:p>
    <w:p w14:paraId="5F705F5F" w14:textId="77777777" w:rsidR="0018594A" w:rsidRPr="0086458B" w:rsidRDefault="0018594A" w:rsidP="00E57F55">
      <w:pPr>
        <w:ind w:left="284"/>
        <w:contextualSpacing/>
        <w:jc w:val="both"/>
        <w:rPr>
          <w:rFonts w:ascii="Bookman Old Style" w:eastAsia="MS Mincho" w:hAnsi="Bookman Old Style" w:cs="Arial"/>
        </w:rPr>
      </w:pPr>
    </w:p>
    <w:bookmarkEnd w:id="1"/>
    <w:p w14:paraId="016A396A" w14:textId="6698310C" w:rsidR="00F83880" w:rsidRDefault="00F83880"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 xml:space="preserve">Teniendo en cuenta </w:t>
      </w:r>
      <w:r w:rsidR="00A46DD9">
        <w:rPr>
          <w:rFonts w:ascii="Bookman Old Style" w:eastAsia="MS Mincho" w:hAnsi="Bookman Old Style" w:cs="Arial"/>
        </w:rPr>
        <w:t xml:space="preserve">lo informado por las partes en </w:t>
      </w:r>
      <w:r w:rsidR="00614616">
        <w:rPr>
          <w:rFonts w:ascii="Bookman Old Style" w:eastAsia="MS Mincho" w:hAnsi="Bookman Old Style" w:cs="Arial"/>
        </w:rPr>
        <w:t xml:space="preserve">las </w:t>
      </w:r>
      <w:r w:rsidR="00B17BFF">
        <w:rPr>
          <w:rFonts w:ascii="Bookman Old Style" w:eastAsia="MS Mincho" w:hAnsi="Bookman Old Style" w:cs="Arial"/>
        </w:rPr>
        <w:t xml:space="preserve">distintas </w:t>
      </w:r>
      <w:r w:rsidR="00614616">
        <w:rPr>
          <w:rFonts w:ascii="Bookman Old Style" w:eastAsia="MS Mincho" w:hAnsi="Bookman Old Style" w:cs="Arial"/>
        </w:rPr>
        <w:t>pruebas aportadas</w:t>
      </w:r>
      <w:r w:rsidR="00B17BFF">
        <w:rPr>
          <w:rFonts w:ascii="Bookman Old Style" w:eastAsia="MS Mincho" w:hAnsi="Bookman Old Style" w:cs="Arial"/>
        </w:rPr>
        <w:t xml:space="preserve">, así como los comentarios de DUE a </w:t>
      </w:r>
      <w:r w:rsidR="00120458">
        <w:rPr>
          <w:rFonts w:ascii="Bookman Old Style" w:eastAsia="MS Mincho" w:hAnsi="Bookman Old Style" w:cs="Arial"/>
        </w:rPr>
        <w:t xml:space="preserve">dichas pruebas, </w:t>
      </w:r>
      <w:r w:rsidR="00DE03E5">
        <w:rPr>
          <w:rFonts w:ascii="Bookman Old Style" w:eastAsia="MS Mincho" w:hAnsi="Bookman Old Style" w:cs="Arial"/>
        </w:rPr>
        <w:t xml:space="preserve">la </w:t>
      </w:r>
      <w:r w:rsidR="008B5E09">
        <w:rPr>
          <w:rFonts w:ascii="Bookman Old Style" w:eastAsia="MS Mincho" w:hAnsi="Bookman Old Style" w:cs="Arial"/>
        </w:rPr>
        <w:t xml:space="preserve">CREG </w:t>
      </w:r>
      <w:r w:rsidR="008B5E09" w:rsidRPr="0086458B">
        <w:rPr>
          <w:rFonts w:ascii="Bookman Old Style" w:eastAsia="MS Mincho" w:hAnsi="Bookman Old Style" w:cs="Arial"/>
        </w:rPr>
        <w:t>consideró procedente</w:t>
      </w:r>
      <w:r w:rsidR="00DF6BEF">
        <w:rPr>
          <w:rFonts w:ascii="Bookman Old Style" w:eastAsia="MS Mincho" w:hAnsi="Bookman Old Style" w:cs="Arial"/>
        </w:rPr>
        <w:t xml:space="preserve"> que se completara la información necesaria para emitir concepto técnico de la conexión</w:t>
      </w:r>
      <w:r w:rsidR="00914D37">
        <w:rPr>
          <w:rFonts w:ascii="Bookman Old Style" w:eastAsia="MS Mincho" w:hAnsi="Bookman Old Style" w:cs="Arial"/>
        </w:rPr>
        <w:t xml:space="preserve"> y,</w:t>
      </w:r>
      <w:r w:rsidR="008B5E09" w:rsidRPr="0086458B">
        <w:rPr>
          <w:rFonts w:ascii="Bookman Old Style" w:eastAsia="MS Mincho" w:hAnsi="Bookman Old Style" w:cs="Arial"/>
        </w:rPr>
        <w:t xml:space="preserve"> </w:t>
      </w:r>
      <w:r w:rsidRPr="0086458B">
        <w:rPr>
          <w:rFonts w:ascii="Bookman Old Style" w:eastAsia="MS Mincho" w:hAnsi="Bookman Old Style" w:cs="Arial"/>
        </w:rPr>
        <w:t xml:space="preserve">mediante Auto </w:t>
      </w:r>
      <w:r w:rsidR="006D3162">
        <w:rPr>
          <w:rFonts w:ascii="Bookman Old Style" w:eastAsia="MS Mincho" w:hAnsi="Bookman Old Style" w:cs="Arial"/>
        </w:rPr>
        <w:t xml:space="preserve">de pruebas </w:t>
      </w:r>
      <w:r w:rsidRPr="0086458B">
        <w:rPr>
          <w:rFonts w:ascii="Bookman Old Style" w:eastAsia="MS Mincho" w:hAnsi="Bookman Old Style" w:cs="Arial"/>
        </w:rPr>
        <w:t>I-2020-005282</w:t>
      </w:r>
      <w:r w:rsidR="009B6E02" w:rsidRPr="0086458B">
        <w:rPr>
          <w:rFonts w:ascii="Bookman Old Style" w:eastAsia="MS Mincho" w:hAnsi="Bookman Old Style" w:cs="Arial"/>
          <w:lang w:val="es-CO"/>
        </w:rPr>
        <w:t xml:space="preserve"> del 07 de enero de 2021</w:t>
      </w:r>
      <w:r w:rsidR="00DE03E5">
        <w:rPr>
          <w:rFonts w:ascii="Bookman Old Style" w:eastAsia="MS Mincho" w:hAnsi="Bookman Old Style" w:cs="Arial"/>
          <w:lang w:val="es-CO"/>
        </w:rPr>
        <w:t>,</w:t>
      </w:r>
      <w:r w:rsidRPr="0086458B">
        <w:rPr>
          <w:rFonts w:ascii="Bookman Old Style" w:eastAsia="MS Mincho" w:hAnsi="Bookman Old Style" w:cs="Arial"/>
        </w:rPr>
        <w:t xml:space="preserve"> </w:t>
      </w:r>
      <w:r w:rsidR="005C7F95">
        <w:rPr>
          <w:rFonts w:ascii="Bookman Old Style" w:eastAsia="MS Mincho" w:hAnsi="Bookman Old Style" w:cs="Arial"/>
        </w:rPr>
        <w:t>se</w:t>
      </w:r>
      <w:r w:rsidR="00623FA6">
        <w:rPr>
          <w:rFonts w:ascii="Bookman Old Style" w:eastAsia="MS Mincho" w:hAnsi="Bookman Old Style" w:cs="Arial"/>
        </w:rPr>
        <w:t xml:space="preserve"> resolvió</w:t>
      </w:r>
      <w:r w:rsidR="006D3162">
        <w:rPr>
          <w:rFonts w:ascii="Bookman Old Style" w:eastAsia="MS Mincho" w:hAnsi="Bookman Old Style" w:cs="Arial"/>
        </w:rPr>
        <w:t>:</w:t>
      </w:r>
    </w:p>
    <w:p w14:paraId="6F2CE3FD" w14:textId="77777777" w:rsidR="006D3162" w:rsidRDefault="006D3162" w:rsidP="00E57F55">
      <w:pPr>
        <w:ind w:left="284"/>
        <w:contextualSpacing/>
        <w:jc w:val="both"/>
        <w:rPr>
          <w:rFonts w:ascii="Bookman Old Style" w:eastAsia="MS Mincho" w:hAnsi="Bookman Old Style" w:cs="Arial"/>
        </w:rPr>
      </w:pPr>
    </w:p>
    <w:p w14:paraId="57F44F9D" w14:textId="5040C460" w:rsidR="00EA6AFB" w:rsidRPr="00EA6AFB" w:rsidRDefault="00623FA6" w:rsidP="007E255E">
      <w:pPr>
        <w:ind w:left="567"/>
        <w:contextualSpacing/>
        <w:jc w:val="both"/>
        <w:rPr>
          <w:rFonts w:ascii="Bookman Old Style" w:eastAsia="MS Mincho" w:hAnsi="Bookman Old Style" w:cs="Arial"/>
          <w:i/>
          <w:iCs/>
          <w:sz w:val="20"/>
          <w:szCs w:val="20"/>
        </w:rPr>
      </w:pPr>
      <w:r>
        <w:rPr>
          <w:rFonts w:ascii="Bookman Old Style" w:eastAsia="MS Mincho" w:hAnsi="Bookman Old Style" w:cs="Arial"/>
          <w:i/>
          <w:iCs/>
          <w:sz w:val="20"/>
          <w:szCs w:val="20"/>
        </w:rPr>
        <w:t xml:space="preserve">“(…) </w:t>
      </w:r>
      <w:r w:rsidR="00EA6AFB" w:rsidRPr="00EA6AFB">
        <w:rPr>
          <w:rFonts w:ascii="Bookman Old Style" w:eastAsia="MS Mincho" w:hAnsi="Bookman Old Style" w:cs="Arial"/>
          <w:i/>
          <w:iCs/>
          <w:sz w:val="20"/>
          <w:szCs w:val="20"/>
        </w:rPr>
        <w:t>PRIMERO. Solicitar a GENSA S.A. E.S.P. la entrega, a Due Capital &amp; Services S.A.S. y a esta</w:t>
      </w:r>
      <w:r>
        <w:rPr>
          <w:rFonts w:ascii="Bookman Old Style" w:eastAsia="MS Mincho" w:hAnsi="Bookman Old Style" w:cs="Arial"/>
          <w:i/>
          <w:iCs/>
          <w:sz w:val="20"/>
          <w:szCs w:val="20"/>
        </w:rPr>
        <w:t xml:space="preserve"> </w:t>
      </w:r>
      <w:r w:rsidR="00EA6AFB" w:rsidRPr="00EA6AFB">
        <w:rPr>
          <w:rFonts w:ascii="Bookman Old Style" w:eastAsia="MS Mincho" w:hAnsi="Bookman Old Style" w:cs="Arial"/>
          <w:i/>
          <w:iCs/>
          <w:sz w:val="20"/>
          <w:szCs w:val="20"/>
        </w:rPr>
        <w:t>Comisión, de los modelos de la MCH Mitú y de los generadores diésel solicitados por Due</w:t>
      </w:r>
      <w:r w:rsidR="00AD100D">
        <w:rPr>
          <w:rFonts w:ascii="Bookman Old Style" w:eastAsia="MS Mincho" w:hAnsi="Bookman Old Style" w:cs="Arial"/>
          <w:i/>
          <w:iCs/>
          <w:sz w:val="20"/>
          <w:szCs w:val="20"/>
        </w:rPr>
        <w:t xml:space="preserve"> </w:t>
      </w:r>
      <w:r w:rsidR="00EA6AFB" w:rsidRPr="00EA6AFB">
        <w:rPr>
          <w:rFonts w:ascii="Bookman Old Style" w:eastAsia="MS Mincho" w:hAnsi="Bookman Old Style" w:cs="Arial"/>
          <w:i/>
          <w:iCs/>
          <w:sz w:val="20"/>
          <w:szCs w:val="20"/>
        </w:rPr>
        <w:t>Capital &amp; Services S.A.S. para sus análisis de una operación segura y confiable luego de la</w:t>
      </w:r>
      <w:r w:rsidR="00A36D1D">
        <w:rPr>
          <w:rFonts w:ascii="Bookman Old Style" w:eastAsia="MS Mincho" w:hAnsi="Bookman Old Style" w:cs="Arial"/>
          <w:i/>
          <w:iCs/>
          <w:sz w:val="20"/>
          <w:szCs w:val="20"/>
        </w:rPr>
        <w:t xml:space="preserve"> </w:t>
      </w:r>
      <w:r w:rsidR="00EA6AFB" w:rsidRPr="00EA6AFB">
        <w:rPr>
          <w:rFonts w:ascii="Bookman Old Style" w:eastAsia="MS Mincho" w:hAnsi="Bookman Old Style" w:cs="Arial"/>
          <w:i/>
          <w:iCs/>
          <w:sz w:val="20"/>
          <w:szCs w:val="20"/>
        </w:rPr>
        <w:t>incorporación del proyecto Matakavi, y toda aquella información que sea necesaria para</w:t>
      </w:r>
      <w:r w:rsidR="00A36D1D">
        <w:rPr>
          <w:rFonts w:ascii="Bookman Old Style" w:eastAsia="MS Mincho" w:hAnsi="Bookman Old Style" w:cs="Arial"/>
          <w:i/>
          <w:iCs/>
          <w:sz w:val="20"/>
          <w:szCs w:val="20"/>
        </w:rPr>
        <w:t xml:space="preserve"> </w:t>
      </w:r>
      <w:r w:rsidR="00EA6AFB" w:rsidRPr="00EA6AFB">
        <w:rPr>
          <w:rFonts w:ascii="Bookman Old Style" w:eastAsia="MS Mincho" w:hAnsi="Bookman Old Style" w:cs="Arial"/>
          <w:i/>
          <w:iCs/>
          <w:sz w:val="20"/>
          <w:szCs w:val="20"/>
        </w:rPr>
        <w:t>adelantar el análisis de estabilidad, la estabilidad dinámica, la estabilidad transitoria y ajustar</w:t>
      </w:r>
      <w:r w:rsidR="00F870A3">
        <w:rPr>
          <w:rFonts w:ascii="Bookman Old Style" w:eastAsia="MS Mincho" w:hAnsi="Bookman Old Style" w:cs="Arial"/>
          <w:i/>
          <w:iCs/>
          <w:sz w:val="20"/>
          <w:szCs w:val="20"/>
        </w:rPr>
        <w:t xml:space="preserve"> </w:t>
      </w:r>
      <w:r w:rsidR="00EA6AFB" w:rsidRPr="00EA6AFB">
        <w:rPr>
          <w:rFonts w:ascii="Bookman Old Style" w:eastAsia="MS Mincho" w:hAnsi="Bookman Old Style" w:cs="Arial"/>
          <w:i/>
          <w:iCs/>
          <w:sz w:val="20"/>
          <w:szCs w:val="20"/>
        </w:rPr>
        <w:t>la proyección de demanda, dentro del término de diez (10) días hábiles siguientes a la</w:t>
      </w:r>
    </w:p>
    <w:p w14:paraId="529F2E9F" w14:textId="77777777" w:rsidR="00EA6AFB" w:rsidRPr="00EA6AFB" w:rsidRDefault="00EA6AFB" w:rsidP="007E255E">
      <w:pPr>
        <w:ind w:left="567"/>
        <w:contextualSpacing/>
        <w:jc w:val="both"/>
        <w:rPr>
          <w:rFonts w:ascii="Bookman Old Style" w:eastAsia="MS Mincho" w:hAnsi="Bookman Old Style" w:cs="Arial"/>
          <w:i/>
          <w:iCs/>
          <w:sz w:val="20"/>
          <w:szCs w:val="20"/>
        </w:rPr>
      </w:pPr>
      <w:r w:rsidRPr="00EA6AFB">
        <w:rPr>
          <w:rFonts w:ascii="Bookman Old Style" w:eastAsia="MS Mincho" w:hAnsi="Bookman Old Style" w:cs="Arial"/>
          <w:i/>
          <w:iCs/>
          <w:sz w:val="20"/>
          <w:szCs w:val="20"/>
        </w:rPr>
        <w:t>comunicación del presente auto.</w:t>
      </w:r>
    </w:p>
    <w:p w14:paraId="1ABAD200" w14:textId="77777777" w:rsidR="006A6E6D" w:rsidRDefault="006A6E6D" w:rsidP="007E255E">
      <w:pPr>
        <w:ind w:left="567"/>
        <w:contextualSpacing/>
        <w:jc w:val="both"/>
        <w:rPr>
          <w:rFonts w:ascii="Bookman Old Style" w:eastAsia="MS Mincho" w:hAnsi="Bookman Old Style" w:cs="Arial"/>
          <w:i/>
          <w:iCs/>
          <w:sz w:val="20"/>
          <w:szCs w:val="20"/>
        </w:rPr>
      </w:pPr>
    </w:p>
    <w:p w14:paraId="061528FC" w14:textId="51700E1E" w:rsidR="00EA6AFB" w:rsidRDefault="00EA6AFB" w:rsidP="007E255E">
      <w:pPr>
        <w:ind w:left="567"/>
        <w:contextualSpacing/>
        <w:jc w:val="both"/>
        <w:rPr>
          <w:rFonts w:ascii="Bookman Old Style" w:eastAsia="MS Mincho" w:hAnsi="Bookman Old Style" w:cs="Arial"/>
          <w:i/>
          <w:iCs/>
          <w:sz w:val="20"/>
          <w:szCs w:val="20"/>
        </w:rPr>
      </w:pPr>
      <w:r w:rsidRPr="00EA6AFB">
        <w:rPr>
          <w:rFonts w:ascii="Bookman Old Style" w:eastAsia="MS Mincho" w:hAnsi="Bookman Old Style" w:cs="Arial"/>
          <w:i/>
          <w:iCs/>
          <w:sz w:val="20"/>
          <w:szCs w:val="20"/>
        </w:rPr>
        <w:t>SEGUNDO. Solicitar a la empresa Due Capital &amp; Services S.A.S. allegar dentro del término</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de los veinte (20) días hábiles siguientes al recibo de la totalidad de la información de que</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trata el artículo primero del presente auto, a la Comisión y a GENSA S.A. E.S.P., los cuatro</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estudios requeridos por esta última a saber: i) análisis de estabilidad, ii) estabilidad dinámica,</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iii) estabilidad transitoria y iv) ajuste de la proyección de demanda.</w:t>
      </w:r>
    </w:p>
    <w:p w14:paraId="214A1529" w14:textId="77777777" w:rsidR="006A6E6D" w:rsidRPr="00EA6AFB" w:rsidRDefault="006A6E6D" w:rsidP="007E255E">
      <w:pPr>
        <w:ind w:left="567"/>
        <w:contextualSpacing/>
        <w:jc w:val="both"/>
        <w:rPr>
          <w:rFonts w:ascii="Bookman Old Style" w:eastAsia="MS Mincho" w:hAnsi="Bookman Old Style" w:cs="Arial"/>
          <w:i/>
          <w:iCs/>
          <w:sz w:val="20"/>
          <w:szCs w:val="20"/>
        </w:rPr>
      </w:pPr>
    </w:p>
    <w:p w14:paraId="45A19ACB" w14:textId="5AEB42B7" w:rsidR="00EA6AFB" w:rsidRPr="00EA6AFB" w:rsidRDefault="00EA6AFB" w:rsidP="007E255E">
      <w:pPr>
        <w:ind w:left="567"/>
        <w:contextualSpacing/>
        <w:jc w:val="both"/>
        <w:rPr>
          <w:rFonts w:ascii="Bookman Old Style" w:eastAsia="MS Mincho" w:hAnsi="Bookman Old Style" w:cs="Arial"/>
          <w:i/>
          <w:iCs/>
          <w:sz w:val="20"/>
          <w:szCs w:val="20"/>
        </w:rPr>
      </w:pPr>
      <w:r w:rsidRPr="00EA6AFB">
        <w:rPr>
          <w:rFonts w:ascii="Bookman Old Style" w:eastAsia="MS Mincho" w:hAnsi="Bookman Old Style" w:cs="Arial"/>
          <w:i/>
          <w:iCs/>
          <w:sz w:val="20"/>
          <w:szCs w:val="20"/>
        </w:rPr>
        <w:t>TERCERO. Solicitar a GENSA S.A. E.S.P. que, dentro de los treinta (30) días hábiles</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siguientes al recibo de la información enviada por Due Capital &amp; Services S.A.S. indicada en</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artículo segundo del presente auto, realice el análisis de los estudios y que emita concepto</w:t>
      </w:r>
      <w:r w:rsidR="006A6E6D">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sobre la factibilidad técnica de la conexión, informándolo a esta Comisión y a Due Capital &amp;</w:t>
      </w:r>
      <w:r w:rsidR="00275313">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Services S.A.S.</w:t>
      </w:r>
    </w:p>
    <w:p w14:paraId="43EB5753" w14:textId="77777777" w:rsidR="00275313" w:rsidRDefault="00275313" w:rsidP="00EA6AFB">
      <w:pPr>
        <w:ind w:left="709"/>
        <w:contextualSpacing/>
        <w:jc w:val="both"/>
        <w:rPr>
          <w:rFonts w:ascii="Bookman Old Style" w:eastAsia="MS Mincho" w:hAnsi="Bookman Old Style" w:cs="Arial"/>
          <w:i/>
          <w:iCs/>
          <w:sz w:val="20"/>
          <w:szCs w:val="20"/>
        </w:rPr>
      </w:pPr>
    </w:p>
    <w:p w14:paraId="56E4DE7D" w14:textId="637B5717" w:rsidR="006D3162" w:rsidRPr="00EA6AFB" w:rsidRDefault="00EA6AFB" w:rsidP="007E255E">
      <w:pPr>
        <w:ind w:left="567"/>
        <w:contextualSpacing/>
        <w:jc w:val="both"/>
        <w:rPr>
          <w:rFonts w:ascii="Bookman Old Style" w:eastAsia="MS Mincho" w:hAnsi="Bookman Old Style" w:cs="Arial"/>
          <w:i/>
          <w:iCs/>
          <w:sz w:val="20"/>
          <w:szCs w:val="20"/>
        </w:rPr>
      </w:pPr>
      <w:r w:rsidRPr="00EA6AFB">
        <w:rPr>
          <w:rFonts w:ascii="Bookman Old Style" w:eastAsia="MS Mincho" w:hAnsi="Bookman Old Style" w:cs="Arial"/>
          <w:i/>
          <w:iCs/>
          <w:sz w:val="20"/>
          <w:szCs w:val="20"/>
        </w:rPr>
        <w:t>En caso de que la conexión no fuera factible, GENSA S.A. E.S.P., en su comunicación, deberá</w:t>
      </w:r>
      <w:r w:rsidR="00275313">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justificar técnicamente las causas, especificando el fundamento normativo o técnico que lo</w:t>
      </w:r>
      <w:r w:rsidR="00275313">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soporte, indicando con precisión los requisitos que deben ser cumplidos para que la conexión</w:t>
      </w:r>
      <w:r w:rsidR="00275313">
        <w:rPr>
          <w:rFonts w:ascii="Bookman Old Style" w:eastAsia="MS Mincho" w:hAnsi="Bookman Old Style" w:cs="Arial"/>
          <w:i/>
          <w:iCs/>
          <w:sz w:val="20"/>
          <w:szCs w:val="20"/>
        </w:rPr>
        <w:t xml:space="preserve"> </w:t>
      </w:r>
      <w:r w:rsidRPr="00EA6AFB">
        <w:rPr>
          <w:rFonts w:ascii="Bookman Old Style" w:eastAsia="MS Mincho" w:hAnsi="Bookman Old Style" w:cs="Arial"/>
          <w:i/>
          <w:iCs/>
          <w:sz w:val="20"/>
          <w:szCs w:val="20"/>
        </w:rPr>
        <w:t>sea factible, o detallar las obras requeridas para hacerla posible.</w:t>
      </w:r>
    </w:p>
    <w:p w14:paraId="23D400AD" w14:textId="77777777" w:rsidR="00EA6AFB" w:rsidRPr="00EA6AFB" w:rsidRDefault="00EA6AFB" w:rsidP="007E255E">
      <w:pPr>
        <w:ind w:left="567"/>
        <w:contextualSpacing/>
        <w:jc w:val="both"/>
        <w:rPr>
          <w:rFonts w:ascii="Bookman Old Style" w:eastAsia="MS Mincho" w:hAnsi="Bookman Old Style" w:cs="Arial"/>
          <w:i/>
          <w:iCs/>
          <w:sz w:val="20"/>
          <w:szCs w:val="20"/>
        </w:rPr>
      </w:pPr>
    </w:p>
    <w:p w14:paraId="0C507268" w14:textId="00FA2087" w:rsidR="00275313" w:rsidRPr="00275313" w:rsidRDefault="00275313" w:rsidP="007E255E">
      <w:pPr>
        <w:ind w:left="567"/>
        <w:contextualSpacing/>
        <w:jc w:val="both"/>
        <w:rPr>
          <w:rFonts w:ascii="Bookman Old Style" w:eastAsia="MS Mincho" w:hAnsi="Bookman Old Style" w:cs="Arial"/>
          <w:i/>
          <w:iCs/>
          <w:sz w:val="20"/>
          <w:szCs w:val="20"/>
        </w:rPr>
      </w:pPr>
      <w:r w:rsidRPr="00275313">
        <w:rPr>
          <w:rFonts w:ascii="Bookman Old Style" w:eastAsia="MS Mincho" w:hAnsi="Bookman Old Style" w:cs="Arial"/>
          <w:i/>
          <w:iCs/>
          <w:sz w:val="20"/>
          <w:szCs w:val="20"/>
        </w:rPr>
        <w:t>CUARTO. Solicitar al Ministerio de Minas y Energía que dentro del término de los 10 días</w:t>
      </w:r>
      <w:r w:rsidR="0040724A">
        <w:rPr>
          <w:rFonts w:ascii="Bookman Old Style" w:eastAsia="MS Mincho" w:hAnsi="Bookman Old Style" w:cs="Arial"/>
          <w:i/>
          <w:iCs/>
          <w:sz w:val="20"/>
          <w:szCs w:val="20"/>
        </w:rPr>
        <w:t xml:space="preserve"> </w:t>
      </w:r>
      <w:r w:rsidRPr="00275313">
        <w:rPr>
          <w:rFonts w:ascii="Bookman Old Style" w:eastAsia="MS Mincho" w:hAnsi="Bookman Old Style" w:cs="Arial"/>
          <w:i/>
          <w:iCs/>
          <w:sz w:val="20"/>
          <w:szCs w:val="20"/>
        </w:rPr>
        <w:t>hábiles siguientes a la comunicación del presente auto le informe a esta Comisión:</w:t>
      </w:r>
    </w:p>
    <w:p w14:paraId="2F4BD91C" w14:textId="77777777" w:rsidR="00275313" w:rsidRDefault="00275313" w:rsidP="007E255E">
      <w:pPr>
        <w:ind w:left="567"/>
        <w:contextualSpacing/>
        <w:jc w:val="both"/>
        <w:rPr>
          <w:rFonts w:ascii="Bookman Old Style" w:eastAsia="MS Mincho" w:hAnsi="Bookman Old Style" w:cs="Arial"/>
          <w:i/>
          <w:iCs/>
          <w:sz w:val="20"/>
          <w:szCs w:val="20"/>
        </w:rPr>
      </w:pPr>
    </w:p>
    <w:p w14:paraId="5D8E3132" w14:textId="4DF93F0E" w:rsidR="00EA6AFB" w:rsidRPr="00EA6AFB" w:rsidRDefault="00275313" w:rsidP="007E255E">
      <w:pPr>
        <w:ind w:left="567"/>
        <w:contextualSpacing/>
        <w:jc w:val="both"/>
        <w:rPr>
          <w:rFonts w:ascii="Bookman Old Style" w:eastAsia="MS Mincho" w:hAnsi="Bookman Old Style" w:cs="Arial"/>
          <w:i/>
          <w:iCs/>
          <w:sz w:val="20"/>
          <w:szCs w:val="20"/>
        </w:rPr>
      </w:pPr>
      <w:r w:rsidRPr="00275313">
        <w:rPr>
          <w:rFonts w:ascii="Bookman Old Style" w:eastAsia="MS Mincho" w:hAnsi="Bookman Old Style" w:cs="Arial"/>
          <w:i/>
          <w:iCs/>
          <w:sz w:val="20"/>
          <w:szCs w:val="20"/>
        </w:rPr>
        <w:t>1. El resultado de las verificaciones y validaciones en campo enunciadas en el oficio con</w:t>
      </w:r>
      <w:r w:rsidR="0040724A">
        <w:rPr>
          <w:rFonts w:ascii="Bookman Old Style" w:eastAsia="MS Mincho" w:hAnsi="Bookman Old Style" w:cs="Arial"/>
          <w:i/>
          <w:iCs/>
          <w:sz w:val="20"/>
          <w:szCs w:val="20"/>
        </w:rPr>
        <w:t xml:space="preserve"> </w:t>
      </w:r>
      <w:r w:rsidRPr="00275313">
        <w:rPr>
          <w:rFonts w:ascii="Bookman Old Style" w:eastAsia="MS Mincho" w:hAnsi="Bookman Old Style" w:cs="Arial"/>
          <w:i/>
          <w:iCs/>
          <w:sz w:val="20"/>
          <w:szCs w:val="20"/>
        </w:rPr>
        <w:t>radicado 2-2020-01228 del 21 de julio de 2020.</w:t>
      </w:r>
    </w:p>
    <w:p w14:paraId="77C20175" w14:textId="77777777" w:rsidR="00EA6AFB" w:rsidRDefault="00EA6AFB" w:rsidP="007E255E">
      <w:pPr>
        <w:ind w:left="567"/>
        <w:contextualSpacing/>
        <w:jc w:val="both"/>
        <w:rPr>
          <w:rFonts w:ascii="Bookman Old Style" w:eastAsia="MS Mincho" w:hAnsi="Bookman Old Style" w:cs="Arial"/>
          <w:i/>
          <w:iCs/>
          <w:sz w:val="20"/>
          <w:szCs w:val="20"/>
        </w:rPr>
      </w:pPr>
    </w:p>
    <w:p w14:paraId="7F2B9ABD" w14:textId="7D65BB8C" w:rsidR="00EA6AFB" w:rsidRPr="00EA6AFB" w:rsidRDefault="0040724A" w:rsidP="007E255E">
      <w:pPr>
        <w:ind w:left="567"/>
        <w:contextualSpacing/>
        <w:jc w:val="both"/>
        <w:rPr>
          <w:rFonts w:ascii="Bookman Old Style" w:eastAsia="MS Mincho" w:hAnsi="Bookman Old Style" w:cs="Arial"/>
          <w:i/>
          <w:iCs/>
          <w:sz w:val="20"/>
          <w:szCs w:val="20"/>
        </w:rPr>
      </w:pPr>
      <w:r w:rsidRPr="0040724A">
        <w:rPr>
          <w:rFonts w:ascii="Bookman Old Style" w:eastAsia="MS Mincho" w:hAnsi="Bookman Old Style" w:cs="Arial"/>
          <w:i/>
          <w:iCs/>
          <w:sz w:val="20"/>
          <w:szCs w:val="20"/>
        </w:rPr>
        <w:t>2. Si producto de las verificaciones y validaciones en campo se adoptó alguna decisión</w:t>
      </w:r>
      <w:r>
        <w:rPr>
          <w:rFonts w:ascii="Bookman Old Style" w:eastAsia="MS Mincho" w:hAnsi="Bookman Old Style" w:cs="Arial"/>
          <w:i/>
          <w:iCs/>
          <w:sz w:val="20"/>
          <w:szCs w:val="20"/>
        </w:rPr>
        <w:t xml:space="preserve"> </w:t>
      </w:r>
      <w:r w:rsidRPr="0040724A">
        <w:rPr>
          <w:rFonts w:ascii="Bookman Old Style" w:eastAsia="MS Mincho" w:hAnsi="Bookman Old Style" w:cs="Arial"/>
          <w:i/>
          <w:iCs/>
          <w:sz w:val="20"/>
          <w:szCs w:val="20"/>
        </w:rPr>
        <w:t>en materia de la conexión solicitada por Due Capital &amp; Services S.A.S. a GENSA S.A.</w:t>
      </w:r>
      <w:r w:rsidR="006E5B5B">
        <w:rPr>
          <w:rFonts w:ascii="Bookman Old Style" w:eastAsia="MS Mincho" w:hAnsi="Bookman Old Style" w:cs="Arial"/>
          <w:i/>
          <w:iCs/>
          <w:sz w:val="20"/>
          <w:szCs w:val="20"/>
        </w:rPr>
        <w:t xml:space="preserve"> </w:t>
      </w:r>
      <w:r w:rsidRPr="0040724A">
        <w:rPr>
          <w:rFonts w:ascii="Bookman Old Style" w:eastAsia="MS Mincho" w:hAnsi="Bookman Old Style" w:cs="Arial"/>
          <w:i/>
          <w:iCs/>
          <w:sz w:val="20"/>
          <w:szCs w:val="20"/>
        </w:rPr>
        <w:t>E.S.P.</w:t>
      </w:r>
      <w:r w:rsidR="006E5B5B">
        <w:rPr>
          <w:rFonts w:ascii="Bookman Old Style" w:eastAsia="MS Mincho" w:hAnsi="Bookman Old Style" w:cs="Arial"/>
          <w:i/>
          <w:iCs/>
          <w:sz w:val="20"/>
          <w:szCs w:val="20"/>
        </w:rPr>
        <w:t xml:space="preserve"> (…)”</w:t>
      </w:r>
    </w:p>
    <w:p w14:paraId="09B55658" w14:textId="77777777" w:rsidR="00EA6AFB" w:rsidRDefault="00EA6AFB" w:rsidP="00E57F55">
      <w:pPr>
        <w:ind w:left="284"/>
        <w:contextualSpacing/>
        <w:jc w:val="both"/>
        <w:rPr>
          <w:rFonts w:ascii="Bookman Old Style" w:eastAsia="MS Mincho" w:hAnsi="Bookman Old Style" w:cs="Arial"/>
        </w:rPr>
      </w:pPr>
    </w:p>
    <w:p w14:paraId="6329577F" w14:textId="62CA2E9B" w:rsidR="00F83880" w:rsidRPr="0086458B" w:rsidRDefault="008137CF"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Así las cosas, m</w:t>
      </w:r>
      <w:r w:rsidR="00F83880" w:rsidRPr="0086458B">
        <w:rPr>
          <w:rFonts w:ascii="Bookman Old Style" w:eastAsia="MS Mincho" w:hAnsi="Bookman Old Style" w:cs="Arial"/>
        </w:rPr>
        <w:t>ediante comunicaciones con radicado</w:t>
      </w:r>
      <w:r w:rsidR="007E255E">
        <w:rPr>
          <w:rFonts w:ascii="Bookman Old Style" w:eastAsia="MS Mincho" w:hAnsi="Bookman Old Style" w:cs="Arial"/>
        </w:rPr>
        <w:t>s</w:t>
      </w:r>
      <w:r w:rsidR="00F83880" w:rsidRPr="0086458B">
        <w:rPr>
          <w:rFonts w:ascii="Bookman Old Style" w:eastAsia="MS Mincho" w:hAnsi="Bookman Old Style" w:cs="Arial"/>
        </w:rPr>
        <w:t xml:space="preserve"> CREG E-2021-000083, E-2021-000084 y E-2021-000085</w:t>
      </w:r>
      <w:r w:rsidR="007E255E">
        <w:rPr>
          <w:rFonts w:ascii="Bookman Old Style" w:eastAsia="MS Mincho" w:hAnsi="Bookman Old Style" w:cs="Arial"/>
        </w:rPr>
        <w:t>,</w:t>
      </w:r>
      <w:r w:rsidR="00F83880" w:rsidRPr="0086458B">
        <w:rPr>
          <w:rFonts w:ascii="Bookman Old Style" w:eastAsia="MS Mincho" w:hAnsi="Bookman Old Style" w:cs="Arial"/>
        </w:rPr>
        <w:t xml:space="preserve"> se com</w:t>
      </w:r>
      <w:r w:rsidRPr="0086458B">
        <w:rPr>
          <w:rFonts w:ascii="Bookman Old Style" w:eastAsia="MS Mincho" w:hAnsi="Bookman Old Style" w:cs="Arial"/>
        </w:rPr>
        <w:t xml:space="preserve">unicó del </w:t>
      </w:r>
      <w:r w:rsidR="00D52EAA">
        <w:rPr>
          <w:rFonts w:ascii="Bookman Old Style" w:eastAsia="MS Mincho" w:hAnsi="Bookman Old Style" w:cs="Arial"/>
        </w:rPr>
        <w:t>A</w:t>
      </w:r>
      <w:r w:rsidRPr="0086458B">
        <w:rPr>
          <w:rFonts w:ascii="Bookman Old Style" w:eastAsia="MS Mincho" w:hAnsi="Bookman Old Style" w:cs="Arial"/>
        </w:rPr>
        <w:t xml:space="preserve">uto de pruebas a </w:t>
      </w:r>
      <w:r w:rsidR="00C62322">
        <w:rPr>
          <w:rFonts w:ascii="Bookman Old Style" w:eastAsia="MS Mincho" w:hAnsi="Bookman Old Style" w:cs="Arial"/>
        </w:rPr>
        <w:t>DUE</w:t>
      </w:r>
      <w:r w:rsidRPr="0086458B">
        <w:rPr>
          <w:rFonts w:ascii="Bookman Old Style" w:eastAsia="MS Mincho" w:hAnsi="Bookman Old Style" w:cs="Arial"/>
        </w:rPr>
        <w:t xml:space="preserve">, </w:t>
      </w:r>
      <w:r w:rsidR="00907861" w:rsidRPr="0086458B">
        <w:rPr>
          <w:rFonts w:ascii="Bookman Old Style" w:hAnsi="Bookman Old Style"/>
        </w:rPr>
        <w:t>GENSA</w:t>
      </w:r>
      <w:r w:rsidR="00F83880" w:rsidRPr="0086458B">
        <w:rPr>
          <w:rFonts w:ascii="Bookman Old Style" w:eastAsia="MS Mincho" w:hAnsi="Bookman Old Style" w:cs="Arial"/>
        </w:rPr>
        <w:t xml:space="preserve"> y al </w:t>
      </w:r>
      <w:r w:rsidR="00C62322">
        <w:rPr>
          <w:rFonts w:ascii="Bookman Old Style" w:eastAsia="MS Mincho" w:hAnsi="Bookman Old Style" w:cs="Arial"/>
        </w:rPr>
        <w:t>MME</w:t>
      </w:r>
      <w:r w:rsidR="00B035CA">
        <w:rPr>
          <w:rFonts w:ascii="Bookman Old Style" w:eastAsia="MS Mincho" w:hAnsi="Bookman Old Style" w:cs="Arial"/>
        </w:rPr>
        <w:t>, respectivamente</w:t>
      </w:r>
      <w:r w:rsidR="00F83880" w:rsidRPr="0086458B">
        <w:rPr>
          <w:rFonts w:ascii="Bookman Old Style" w:eastAsia="MS Mincho" w:hAnsi="Bookman Old Style" w:cs="Arial"/>
        </w:rPr>
        <w:t>.</w:t>
      </w:r>
    </w:p>
    <w:p w14:paraId="6BA5CE0D" w14:textId="08F0B6B2" w:rsidR="0EB76149" w:rsidRDefault="0EB76149" w:rsidP="0EB76149">
      <w:pPr>
        <w:ind w:left="284"/>
        <w:contextualSpacing/>
        <w:jc w:val="both"/>
        <w:rPr>
          <w:rFonts w:ascii="Bookman Old Style" w:eastAsia="MS Mincho" w:hAnsi="Bookman Old Style" w:cs="Arial"/>
        </w:rPr>
      </w:pPr>
    </w:p>
    <w:p w14:paraId="440E819F" w14:textId="0B85F117" w:rsidR="00F83880" w:rsidRDefault="00F83880" w:rsidP="00E57F55">
      <w:pPr>
        <w:ind w:left="284"/>
        <w:contextualSpacing/>
        <w:jc w:val="both"/>
        <w:rPr>
          <w:rFonts w:ascii="Bookman Old Style" w:eastAsia="MS Mincho" w:hAnsi="Bookman Old Style" w:cs="Arial"/>
          <w:sz w:val="22"/>
          <w:szCs w:val="22"/>
        </w:rPr>
      </w:pPr>
      <w:r w:rsidRPr="0086458B">
        <w:rPr>
          <w:rFonts w:ascii="Bookman Old Style" w:eastAsia="MS Mincho" w:hAnsi="Bookman Old Style" w:cs="Arial"/>
        </w:rPr>
        <w:t xml:space="preserve">Mediante comunicación con radicado CREG </w:t>
      </w:r>
      <w:bookmarkStart w:id="2" w:name="_Hlk66981496"/>
      <w:r w:rsidRPr="0086458B">
        <w:rPr>
          <w:rFonts w:ascii="Bookman Old Style" w:eastAsia="MS Mincho" w:hAnsi="Bookman Old Style" w:cs="Arial"/>
        </w:rPr>
        <w:t>E-2021-001266</w:t>
      </w:r>
      <w:bookmarkEnd w:id="2"/>
      <w:r w:rsidR="008137CF" w:rsidRPr="0086458B">
        <w:rPr>
          <w:rFonts w:ascii="Bookman Old Style" w:eastAsia="MS Mincho" w:hAnsi="Bookman Old Style" w:cs="Arial"/>
        </w:rPr>
        <w:t xml:space="preserve">, </w:t>
      </w:r>
      <w:r w:rsidR="00907861" w:rsidRPr="0086458B">
        <w:rPr>
          <w:rFonts w:ascii="Bookman Old Style" w:hAnsi="Bookman Old Style"/>
        </w:rPr>
        <w:t>GENSA</w:t>
      </w:r>
      <w:r w:rsidRPr="0086458B">
        <w:rPr>
          <w:rFonts w:ascii="Bookman Old Style" w:eastAsia="MS Mincho" w:hAnsi="Bookman Old Style" w:cs="Arial"/>
        </w:rPr>
        <w:t xml:space="preserve"> dio respuesta al auto de pruebas indicando lo siguiente:</w:t>
      </w:r>
    </w:p>
    <w:p w14:paraId="131E0CE0" w14:textId="77777777" w:rsidR="006B0D0D" w:rsidRPr="0086458B" w:rsidRDefault="006B0D0D" w:rsidP="00E57F55">
      <w:pPr>
        <w:ind w:left="284"/>
        <w:contextualSpacing/>
        <w:jc w:val="both"/>
        <w:rPr>
          <w:rFonts w:ascii="Bookman Old Style" w:eastAsia="MS Mincho" w:hAnsi="Bookman Old Style" w:cs="Arial"/>
          <w:sz w:val="22"/>
          <w:szCs w:val="22"/>
        </w:rPr>
      </w:pPr>
    </w:p>
    <w:p w14:paraId="7B8F97EF" w14:textId="444CBD1E" w:rsidR="00F83880" w:rsidRDefault="00F83880" w:rsidP="007E255E">
      <w:pPr>
        <w:ind w:left="567"/>
        <w:contextualSpacing/>
        <w:jc w:val="both"/>
        <w:rPr>
          <w:rFonts w:ascii="Bookman Old Style" w:eastAsia="MS Mincho" w:hAnsi="Bookman Old Style" w:cs="Arial"/>
          <w:i/>
          <w:iCs/>
          <w:sz w:val="20"/>
          <w:szCs w:val="20"/>
        </w:rPr>
      </w:pPr>
      <w:r w:rsidRPr="00EC0727">
        <w:rPr>
          <w:rFonts w:ascii="Bookman Old Style" w:eastAsia="MS Mincho" w:hAnsi="Bookman Old Style" w:cs="Arial"/>
          <w:i/>
          <w:iCs/>
          <w:sz w:val="20"/>
          <w:szCs w:val="20"/>
        </w:rPr>
        <w:t>“</w:t>
      </w:r>
      <w:r w:rsidR="00EC0727" w:rsidRPr="00EC0727">
        <w:rPr>
          <w:rFonts w:ascii="Bookman Old Style" w:eastAsia="MS Mincho" w:hAnsi="Bookman Old Style" w:cs="Arial"/>
          <w:i/>
          <w:iCs/>
          <w:sz w:val="20"/>
          <w:szCs w:val="20"/>
        </w:rPr>
        <w:t xml:space="preserve">(…) </w:t>
      </w:r>
      <w:r w:rsidRPr="00EC0727">
        <w:rPr>
          <w:rFonts w:ascii="Bookman Old Style" w:eastAsia="MS Mincho" w:hAnsi="Bookman Old Style" w:cs="Arial"/>
          <w:i/>
          <w:iCs/>
          <w:sz w:val="20"/>
          <w:szCs w:val="20"/>
        </w:rPr>
        <w:t>GENSA no posee la información solicitada por DUE CAPITAL AND SERVICES sobre los modelos DIgSILENT y por tanto no es posible su entrega.</w:t>
      </w:r>
    </w:p>
    <w:p w14:paraId="5082E7FC" w14:textId="77777777" w:rsidR="00124CB7" w:rsidRPr="00EC0727" w:rsidRDefault="00124CB7" w:rsidP="007E255E">
      <w:pPr>
        <w:ind w:left="567"/>
        <w:contextualSpacing/>
        <w:jc w:val="both"/>
        <w:rPr>
          <w:rFonts w:ascii="Bookman Old Style" w:eastAsia="MS Mincho" w:hAnsi="Bookman Old Style" w:cs="Arial"/>
          <w:i/>
          <w:iCs/>
          <w:sz w:val="20"/>
          <w:szCs w:val="20"/>
        </w:rPr>
      </w:pPr>
    </w:p>
    <w:p w14:paraId="4EC4B099" w14:textId="7D8208A2" w:rsidR="00F83880" w:rsidRPr="00EC0727" w:rsidRDefault="00F83880" w:rsidP="007E255E">
      <w:pPr>
        <w:ind w:left="567"/>
        <w:contextualSpacing/>
        <w:jc w:val="both"/>
        <w:rPr>
          <w:rFonts w:ascii="Bookman Old Style" w:eastAsia="MS Mincho" w:hAnsi="Bookman Old Style" w:cs="Arial"/>
          <w:i/>
          <w:iCs/>
          <w:sz w:val="20"/>
          <w:szCs w:val="20"/>
        </w:rPr>
      </w:pPr>
      <w:r w:rsidRPr="00EC0727">
        <w:rPr>
          <w:rFonts w:ascii="Bookman Old Style" w:eastAsia="MS Mincho" w:hAnsi="Bookman Old Style" w:cs="Arial"/>
          <w:i/>
          <w:iCs/>
          <w:sz w:val="20"/>
          <w:szCs w:val="20"/>
        </w:rPr>
        <w:t>Sobre la construcción de estos modelos se encuentra que de ser impuesta tal carga a GENSA, esta deberá incurrir en costos no previstos en su plan de contratación del 2021 y ajenos al desarrollo de las actividades que en procura de salvaguardar sus intereses y sus propias necesidades debe costear anualmente y, además, se requiere información con la que no se cuenta, por ser datos manejados directamente por los fabricantes.</w:t>
      </w:r>
    </w:p>
    <w:p w14:paraId="01C8447D" w14:textId="77777777" w:rsidR="006B0D0D" w:rsidRPr="00EC0727" w:rsidRDefault="006B0D0D" w:rsidP="007E255E">
      <w:pPr>
        <w:ind w:left="567"/>
        <w:contextualSpacing/>
        <w:jc w:val="both"/>
        <w:rPr>
          <w:rFonts w:ascii="Bookman Old Style" w:eastAsia="MS Mincho" w:hAnsi="Bookman Old Style" w:cs="Arial"/>
          <w:i/>
          <w:iCs/>
          <w:sz w:val="20"/>
          <w:szCs w:val="20"/>
        </w:rPr>
      </w:pPr>
    </w:p>
    <w:p w14:paraId="6AB7B253" w14:textId="7E17F84A" w:rsidR="00F83880" w:rsidRPr="00EC0727" w:rsidRDefault="00F83880" w:rsidP="007E255E">
      <w:pPr>
        <w:ind w:left="567"/>
        <w:contextualSpacing/>
        <w:jc w:val="both"/>
        <w:rPr>
          <w:rFonts w:ascii="Bookman Old Style" w:eastAsia="MS Mincho" w:hAnsi="Bookman Old Style" w:cs="Arial"/>
          <w:sz w:val="20"/>
          <w:szCs w:val="20"/>
        </w:rPr>
      </w:pPr>
      <w:r w:rsidRPr="00EC0727">
        <w:rPr>
          <w:rFonts w:ascii="Bookman Old Style" w:eastAsia="MS Mincho" w:hAnsi="Bookman Old Style" w:cs="Arial"/>
          <w:i/>
          <w:iCs/>
          <w:sz w:val="20"/>
          <w:szCs w:val="20"/>
        </w:rPr>
        <w:t>Por lo anterior, GENSA ofrece su mejor disposición en apoyar, en la medida de sus posibilidades a DUE CAPITAL AND SERVICES para la obtención de la información requerida y por tanto estará atenta a la realización de jornadas técnicas para tal fin</w:t>
      </w:r>
      <w:r w:rsidR="00EC0727">
        <w:rPr>
          <w:rFonts w:ascii="Bookman Old Style" w:eastAsia="MS Mincho" w:hAnsi="Bookman Old Style" w:cs="Arial"/>
          <w:i/>
          <w:iCs/>
          <w:sz w:val="20"/>
          <w:szCs w:val="20"/>
        </w:rPr>
        <w:t>. (…)</w:t>
      </w:r>
      <w:r w:rsidRPr="00EC0727">
        <w:rPr>
          <w:rFonts w:ascii="Bookman Old Style" w:eastAsia="MS Mincho" w:hAnsi="Bookman Old Style" w:cs="Arial"/>
          <w:i/>
          <w:iCs/>
          <w:sz w:val="20"/>
          <w:szCs w:val="20"/>
        </w:rPr>
        <w:t>”.</w:t>
      </w:r>
    </w:p>
    <w:p w14:paraId="244104B4" w14:textId="520BD8BD" w:rsidR="00F83880" w:rsidRPr="0086458B" w:rsidRDefault="00F83880" w:rsidP="00E57F55">
      <w:pPr>
        <w:ind w:left="284"/>
        <w:contextualSpacing/>
        <w:jc w:val="both"/>
        <w:rPr>
          <w:rFonts w:ascii="Bookman Old Style" w:eastAsia="MS Mincho" w:hAnsi="Bookman Old Style" w:cs="Arial"/>
          <w:sz w:val="22"/>
          <w:szCs w:val="22"/>
          <w:highlight w:val="yellow"/>
        </w:rPr>
      </w:pPr>
    </w:p>
    <w:p w14:paraId="6D5E2C1A" w14:textId="7F7F3628" w:rsidR="00F83880" w:rsidRPr="0086458B" w:rsidRDefault="00F83880"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Mediante radicado CREG E-2021-001977</w:t>
      </w:r>
      <w:r w:rsidR="007E255E">
        <w:rPr>
          <w:rFonts w:ascii="Bookman Old Style" w:eastAsia="MS Mincho" w:hAnsi="Bookman Old Style" w:cs="Arial"/>
        </w:rPr>
        <w:t>,</w:t>
      </w:r>
      <w:r w:rsidRPr="0086458B">
        <w:rPr>
          <w:rFonts w:ascii="Bookman Old Style" w:eastAsia="MS Mincho" w:hAnsi="Bookman Old Style" w:cs="Arial"/>
        </w:rPr>
        <w:t xml:space="preserve"> </w:t>
      </w:r>
      <w:r w:rsidR="003F7DE6">
        <w:rPr>
          <w:rFonts w:ascii="Bookman Old Style" w:eastAsia="MS Mincho" w:hAnsi="Bookman Old Style" w:cs="Arial"/>
        </w:rPr>
        <w:t xml:space="preserve">DUE </w:t>
      </w:r>
      <w:r w:rsidRPr="0086458B">
        <w:rPr>
          <w:rFonts w:ascii="Bookman Old Style" w:eastAsia="MS Mincho" w:hAnsi="Bookman Old Style" w:cs="Arial"/>
        </w:rPr>
        <w:t>se pronunció sobre lo señalado por GE</w:t>
      </w:r>
      <w:r w:rsidR="008137CF" w:rsidRPr="0086458B">
        <w:rPr>
          <w:rFonts w:ascii="Bookman Old Style" w:eastAsia="MS Mincho" w:hAnsi="Bookman Old Style" w:cs="Arial"/>
        </w:rPr>
        <w:t xml:space="preserve">NSA </w:t>
      </w:r>
      <w:r w:rsidRPr="0086458B">
        <w:rPr>
          <w:rFonts w:ascii="Bookman Old Style" w:eastAsia="MS Mincho" w:hAnsi="Bookman Old Style" w:cs="Arial"/>
        </w:rPr>
        <w:t xml:space="preserve">en la comunicación CREG E-2021-001266, </w:t>
      </w:r>
      <w:r w:rsidR="008137CF" w:rsidRPr="0086458B">
        <w:rPr>
          <w:rFonts w:ascii="Bookman Old Style" w:eastAsia="MS Mincho" w:hAnsi="Bookman Old Style" w:cs="Arial"/>
        </w:rPr>
        <w:t>mencionando:</w:t>
      </w:r>
    </w:p>
    <w:p w14:paraId="50CEE2EC" w14:textId="77777777" w:rsidR="00F83880" w:rsidRPr="0086458B" w:rsidRDefault="00F83880" w:rsidP="00E57F55">
      <w:pPr>
        <w:ind w:left="284"/>
        <w:contextualSpacing/>
        <w:jc w:val="both"/>
        <w:rPr>
          <w:rFonts w:ascii="Bookman Old Style" w:eastAsia="Arial" w:hAnsi="Bookman Old Style" w:cs="Arial"/>
          <w:i/>
          <w:iCs/>
          <w:sz w:val="22"/>
          <w:szCs w:val="22"/>
        </w:rPr>
      </w:pPr>
    </w:p>
    <w:p w14:paraId="0677D59F" w14:textId="4D60AA3D" w:rsidR="009565D2" w:rsidRDefault="00097DFB" w:rsidP="007E255E">
      <w:pPr>
        <w:ind w:left="567"/>
        <w:contextualSpacing/>
        <w:jc w:val="both"/>
        <w:rPr>
          <w:rFonts w:ascii="Bookman Old Style" w:hAnsi="Bookman Old Style" w:cs="Arial"/>
          <w:i/>
          <w:iCs/>
          <w:sz w:val="20"/>
          <w:szCs w:val="20"/>
          <w:lang w:val="es-CO"/>
        </w:rPr>
      </w:pPr>
      <w:r w:rsidRPr="00097DFB">
        <w:rPr>
          <w:rFonts w:ascii="Bookman Old Style" w:eastAsia="Arial" w:hAnsi="Bookman Old Style" w:cs="Arial"/>
          <w:i/>
          <w:iCs/>
          <w:sz w:val="20"/>
          <w:szCs w:val="20"/>
        </w:rPr>
        <w:t>“</w:t>
      </w:r>
      <w:r w:rsidR="00F83880" w:rsidRPr="00097DFB">
        <w:rPr>
          <w:rFonts w:ascii="Bookman Old Style" w:hAnsi="Bookman Old Style" w:cs="Arial"/>
          <w:i/>
          <w:iCs/>
          <w:sz w:val="20"/>
          <w:szCs w:val="20"/>
          <w:lang w:val="es-CO"/>
        </w:rPr>
        <w:t>(…)</w:t>
      </w:r>
      <w:r w:rsidR="009565D2">
        <w:rPr>
          <w:rFonts w:ascii="Bookman Old Style" w:hAnsi="Bookman Old Style" w:cs="Arial"/>
          <w:i/>
          <w:iCs/>
          <w:sz w:val="20"/>
          <w:szCs w:val="20"/>
          <w:lang w:val="es-CO"/>
        </w:rPr>
        <w:t xml:space="preserve"> </w:t>
      </w:r>
      <w:r w:rsidR="009565D2" w:rsidRPr="009565D2">
        <w:rPr>
          <w:rFonts w:ascii="Bookman Old Style" w:hAnsi="Bookman Old Style" w:cs="Arial"/>
          <w:i/>
          <w:iCs/>
          <w:sz w:val="20"/>
          <w:szCs w:val="20"/>
          <w:lang w:val="es-CO"/>
        </w:rPr>
        <w:t xml:space="preserve">De acuerdo con lo requerido en el Auto 1-2020-005282 GENSA SA ESP nos remitió copia de la carta enviada a la Comisión bajo el consecutivo 0001072021 de fecha 25/01/2021 en el cual afirma que </w:t>
      </w:r>
      <w:r w:rsidR="00FB043D">
        <w:rPr>
          <w:rFonts w:ascii="Bookman Old Style" w:hAnsi="Bookman Old Style" w:cs="Arial"/>
          <w:i/>
          <w:iCs/>
          <w:sz w:val="20"/>
          <w:szCs w:val="20"/>
          <w:lang w:val="es-CO"/>
        </w:rPr>
        <w:t>‘</w:t>
      </w:r>
      <w:r w:rsidR="009565D2" w:rsidRPr="009565D2">
        <w:rPr>
          <w:rFonts w:ascii="Bookman Old Style" w:hAnsi="Bookman Old Style" w:cs="Arial"/>
          <w:i/>
          <w:iCs/>
          <w:sz w:val="20"/>
          <w:szCs w:val="20"/>
          <w:lang w:val="es-CO"/>
        </w:rPr>
        <w:t xml:space="preserve">GENSA </w:t>
      </w:r>
      <w:r w:rsidR="009565D2" w:rsidRPr="00FB043D">
        <w:rPr>
          <w:rFonts w:ascii="Bookman Old Style" w:hAnsi="Bookman Old Style" w:cs="Arial"/>
          <w:b/>
          <w:bCs/>
          <w:i/>
          <w:iCs/>
          <w:sz w:val="20"/>
          <w:szCs w:val="20"/>
          <w:u w:val="single"/>
          <w:lang w:val="es-CO"/>
        </w:rPr>
        <w:t>no posee</w:t>
      </w:r>
      <w:r w:rsidR="009565D2" w:rsidRPr="009565D2">
        <w:rPr>
          <w:rFonts w:ascii="Bookman Old Style" w:hAnsi="Bookman Old Style" w:cs="Arial"/>
          <w:i/>
          <w:iCs/>
          <w:sz w:val="20"/>
          <w:szCs w:val="20"/>
          <w:lang w:val="es-CO"/>
        </w:rPr>
        <w:t xml:space="preserve"> la información solicitada por DUE CAPITAL AND SERVICES sobre los modelo en D</w:t>
      </w:r>
      <w:r w:rsidR="004B4844">
        <w:rPr>
          <w:rFonts w:ascii="Bookman Old Style" w:hAnsi="Bookman Old Style" w:cs="Arial"/>
          <w:i/>
          <w:iCs/>
          <w:sz w:val="20"/>
          <w:szCs w:val="20"/>
          <w:lang w:val="es-CO"/>
        </w:rPr>
        <w:t>I</w:t>
      </w:r>
      <w:r w:rsidR="009565D2" w:rsidRPr="009565D2">
        <w:rPr>
          <w:rFonts w:ascii="Bookman Old Style" w:hAnsi="Bookman Old Style" w:cs="Arial"/>
          <w:i/>
          <w:iCs/>
          <w:sz w:val="20"/>
          <w:szCs w:val="20"/>
          <w:lang w:val="es-CO"/>
        </w:rPr>
        <w:t>gSILENT y por tanto no es posible su entrega.</w:t>
      </w:r>
      <w:r w:rsidR="004B4844">
        <w:rPr>
          <w:rFonts w:ascii="Bookman Old Style" w:hAnsi="Bookman Old Style" w:cs="Arial"/>
          <w:i/>
          <w:iCs/>
          <w:sz w:val="20"/>
          <w:szCs w:val="20"/>
          <w:lang w:val="es-CO"/>
        </w:rPr>
        <w:t>’</w:t>
      </w:r>
      <w:r w:rsidR="009565D2" w:rsidRPr="009565D2">
        <w:rPr>
          <w:rFonts w:ascii="Bookman Old Style" w:hAnsi="Bookman Old Style" w:cs="Arial"/>
          <w:i/>
          <w:iCs/>
          <w:sz w:val="20"/>
          <w:szCs w:val="20"/>
          <w:lang w:val="es-CO"/>
        </w:rPr>
        <w:t xml:space="preserve"> (negrita y subrayado fuera del texto original).</w:t>
      </w:r>
    </w:p>
    <w:p w14:paraId="283FDE88" w14:textId="77777777" w:rsidR="004B4844" w:rsidRPr="009565D2" w:rsidRDefault="004B4844" w:rsidP="007E255E">
      <w:pPr>
        <w:ind w:left="567"/>
        <w:contextualSpacing/>
        <w:jc w:val="both"/>
        <w:rPr>
          <w:rFonts w:ascii="Bookman Old Style" w:hAnsi="Bookman Old Style" w:cs="Arial"/>
          <w:i/>
          <w:iCs/>
          <w:sz w:val="20"/>
          <w:szCs w:val="20"/>
          <w:lang w:val="es-CO"/>
        </w:rPr>
      </w:pPr>
    </w:p>
    <w:p w14:paraId="2BE44CC8" w14:textId="4D30D019" w:rsidR="00F83880" w:rsidRPr="00097DFB" w:rsidRDefault="009565D2" w:rsidP="007E255E">
      <w:pPr>
        <w:ind w:left="567"/>
        <w:contextualSpacing/>
        <w:jc w:val="both"/>
        <w:rPr>
          <w:rFonts w:ascii="Bookman Old Style" w:hAnsi="Bookman Old Style" w:cs="Arial"/>
          <w:i/>
          <w:iCs/>
          <w:sz w:val="20"/>
          <w:szCs w:val="20"/>
          <w:lang w:val="es-CO"/>
        </w:rPr>
      </w:pPr>
      <w:r w:rsidRPr="009565D2">
        <w:rPr>
          <w:rFonts w:ascii="Bookman Old Style" w:hAnsi="Bookman Old Style" w:cs="Arial"/>
          <w:i/>
          <w:iCs/>
          <w:sz w:val="20"/>
          <w:szCs w:val="20"/>
          <w:lang w:val="es-CO"/>
        </w:rPr>
        <w:t>Es, por tanto,</w:t>
      </w:r>
      <w:r w:rsidR="00F83880" w:rsidRPr="00097DFB">
        <w:rPr>
          <w:rFonts w:ascii="Bookman Old Style" w:hAnsi="Bookman Old Style" w:cs="Arial"/>
          <w:i/>
          <w:iCs/>
          <w:sz w:val="20"/>
          <w:szCs w:val="20"/>
          <w:lang w:val="es-CO"/>
        </w:rPr>
        <w:t xml:space="preserve"> </w:t>
      </w:r>
      <w:r w:rsidR="004B4844">
        <w:rPr>
          <w:rFonts w:ascii="Bookman Old Style" w:hAnsi="Bookman Old Style" w:cs="Arial"/>
          <w:i/>
          <w:iCs/>
          <w:sz w:val="20"/>
          <w:szCs w:val="20"/>
          <w:lang w:val="es-CO"/>
        </w:rPr>
        <w:t xml:space="preserve">que </w:t>
      </w:r>
      <w:r w:rsidR="00F83880" w:rsidRPr="00097DFB">
        <w:rPr>
          <w:rFonts w:ascii="Bookman Old Style" w:hAnsi="Bookman Old Style" w:cs="Arial"/>
          <w:i/>
          <w:iCs/>
          <w:sz w:val="20"/>
          <w:szCs w:val="20"/>
          <w:lang w:val="es-CO"/>
        </w:rPr>
        <w:t>no podemos acusar recibo satisfactorio en los términos indicados en el numeral SEGUNDO del AUTO DE PRUEBAS I-2020-005282.</w:t>
      </w:r>
    </w:p>
    <w:p w14:paraId="70624E59" w14:textId="77777777" w:rsidR="00F83880" w:rsidRPr="00097DFB" w:rsidRDefault="00F83880" w:rsidP="007E255E">
      <w:pPr>
        <w:ind w:left="567"/>
        <w:contextualSpacing/>
        <w:jc w:val="both"/>
        <w:rPr>
          <w:rFonts w:ascii="Bookman Old Style" w:hAnsi="Bookman Old Style" w:cs="Arial"/>
          <w:i/>
          <w:iCs/>
          <w:sz w:val="20"/>
          <w:szCs w:val="20"/>
          <w:lang w:val="es-CO"/>
        </w:rPr>
      </w:pPr>
    </w:p>
    <w:p w14:paraId="0664A74B" w14:textId="77777777" w:rsidR="00F83880" w:rsidRPr="00097DFB" w:rsidRDefault="00F83880" w:rsidP="007E255E">
      <w:pPr>
        <w:ind w:left="567"/>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Por otro lado, GENSA nos ha hecho llegar en diferentes comunicaciones una serie de documentos, sin embargo, dichos archivos contienen parte, pero no la totalidad de la información requerida para realizar los estudios de análisis de estabilidad, estabilidad dinámica y estabilidad transitoria y por tanto para realizar los estudios solicitados tendríamos que utilizar datos estándar en lo que no nos haya entregado GENSA, específicamente lo siguiente:</w:t>
      </w:r>
    </w:p>
    <w:p w14:paraId="5E729E91" w14:textId="77777777" w:rsidR="00F83880" w:rsidRPr="00097DFB" w:rsidRDefault="00F83880" w:rsidP="00E57F55">
      <w:pPr>
        <w:ind w:left="708"/>
        <w:contextualSpacing/>
        <w:jc w:val="both"/>
        <w:rPr>
          <w:rFonts w:ascii="Bookman Old Style" w:hAnsi="Bookman Old Style" w:cs="Arial"/>
          <w:i/>
          <w:iCs/>
          <w:sz w:val="20"/>
          <w:szCs w:val="20"/>
          <w:lang w:val="es-CO"/>
        </w:rPr>
      </w:pPr>
    </w:p>
    <w:p w14:paraId="6E3A14F6"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En la información de demandas del año 2020 se relacionan los valores de potencia activa (kW), pero faltan los de potencia reactiva (kVar).</w:t>
      </w:r>
    </w:p>
    <w:p w14:paraId="45431DF9"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En el diagrama unifilar enviado falta ilustrar la PCH y el punto de conexión del parque solar.</w:t>
      </w:r>
    </w:p>
    <w:p w14:paraId="3AE1B5FE"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Confirmación del año de entrada en servicio del parque solar y su máxima capacidad.</w:t>
      </w:r>
    </w:p>
    <w:p w14:paraId="000FB7A1"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Los años que deben analizarse en todas las simulaciones del estudio.</w:t>
      </w:r>
    </w:p>
    <w:p w14:paraId="7604539B"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El punto de conexión proyectado para el estudio corresponde a la apertura de la línea PCH Mitú – Mitú 34.5 kV a 2 kilómetros de distancia de la subestación Mitú 34.5 kV. Confirmar si es posible emplear este punto y si existe alguna indicación adicional sobre las alternativas de conexión.</w:t>
      </w:r>
    </w:p>
    <w:p w14:paraId="1F086363"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Indicar los escenarios de demanda (mínima, media y máxima) que deben considerarse en el estudio. De igual forma la hora del día específico que corresponde a cada escenario de demanda.</w:t>
      </w:r>
    </w:p>
    <w:p w14:paraId="1FD99AD1"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Indicar los escenarios de generación que deben considerarse teniendo en cuenta las tres centrales: Diesel, PCH y proyectos solar.</w:t>
      </w:r>
    </w:p>
    <w:p w14:paraId="7A151332"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Los análisis de flujo de carga contemplan simulaciones en condición operación normal y una única contingencia N-1 del transformador 2 Mitú 34.5/13.8 kV. Confirmar si este planteamiento es adecuado a los requerimientos de GENSA.</w:t>
      </w:r>
    </w:p>
    <w:p w14:paraId="158E6C1D" w14:textId="6BB6342A"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Máxima capacidad para corrientes de falla que pueden soportar cada uno de los barrajes del área de influencia, ya sea por características constructivas de las mismas o por las especificaciones de CTs o interruptores asociados.</w:t>
      </w:r>
    </w:p>
    <w:p w14:paraId="13D64D42"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Futuros proyectos de expansión de red y los parámetros técnicos asociados a los mismos.</w:t>
      </w:r>
    </w:p>
    <w:p w14:paraId="1F5EA3B6"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Medición de armónicos de tensión para las barras ubicadas dentro del área de influencia del proyecto.</w:t>
      </w:r>
    </w:p>
    <w:p w14:paraId="0CBB4294"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Nuevos proyectos de generación que deben ser considerados en los análisis, indicando máxima capacidad de generación, punto de conexión y año de puesta en servicio.</w:t>
      </w:r>
    </w:p>
    <w:p w14:paraId="06F5E9DB"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Los análisis de pérdidas técnicas se plantean con un factor de panta del 100%, las mismas demandas que GENSA determine para el flujo de carga y considerando únicamente los tres circuitos de 13,8 kV existentes. Confirmar si existe algún requerimiento al respecto.</w:t>
      </w:r>
    </w:p>
    <w:p w14:paraId="231931FB" w14:textId="77777777" w:rsidR="00F83880" w:rsidRPr="00097DFB" w:rsidRDefault="00F83880" w:rsidP="007E255E">
      <w:pPr>
        <w:numPr>
          <w:ilvl w:val="0"/>
          <w:numId w:val="21"/>
        </w:numPr>
        <w:ind w:left="851" w:hanging="284"/>
        <w:contextualSpacing/>
        <w:jc w:val="both"/>
        <w:rPr>
          <w:rFonts w:ascii="Bookman Old Style" w:hAnsi="Bookman Old Style" w:cs="Arial"/>
          <w:i/>
          <w:iCs/>
          <w:sz w:val="20"/>
          <w:szCs w:val="20"/>
          <w:lang w:val="es-CO"/>
        </w:rPr>
      </w:pPr>
      <w:r w:rsidRPr="00097DFB">
        <w:rPr>
          <w:rFonts w:ascii="Bookman Old Style" w:hAnsi="Bookman Old Style" w:cs="Arial"/>
          <w:i/>
          <w:iCs/>
          <w:sz w:val="20"/>
          <w:szCs w:val="20"/>
          <w:lang w:val="es-CO"/>
        </w:rPr>
        <w:t>El análisis de variaciones lentas de tensión se plantea para el año de entrada en servicio del proyecto y considerando que solamente genera el parque solar Mitú. Confirmar si existe algún requerimiento al respecto.</w:t>
      </w:r>
    </w:p>
    <w:p w14:paraId="1D864B46" w14:textId="3CD83478" w:rsidR="00F83880" w:rsidRPr="003E285D" w:rsidRDefault="00F83880" w:rsidP="007E255E">
      <w:pPr>
        <w:numPr>
          <w:ilvl w:val="0"/>
          <w:numId w:val="21"/>
        </w:numPr>
        <w:ind w:left="851" w:hanging="284"/>
        <w:contextualSpacing/>
        <w:jc w:val="both"/>
        <w:rPr>
          <w:rFonts w:ascii="Bookman Old Style" w:hAnsi="Bookman Old Style" w:cs="Arial"/>
          <w:i/>
          <w:iCs/>
          <w:sz w:val="20"/>
          <w:szCs w:val="20"/>
        </w:rPr>
      </w:pPr>
      <w:r w:rsidRPr="003E285D">
        <w:rPr>
          <w:rFonts w:ascii="Bookman Old Style" w:hAnsi="Bookman Old Style" w:cs="Arial"/>
          <w:i/>
          <w:iCs/>
          <w:sz w:val="20"/>
          <w:szCs w:val="20"/>
          <w:lang w:val="es-CO"/>
        </w:rPr>
        <w:t>Dado que la red de Mitú se ubica en una ZNI, y sus características distan mucho de la robustez de una zona interconectada, no es posible evaluar su estabilidad con los mismos criterios que establece el código de redes para el STN. Debido a ello se solicita a GENSA indicar qué criterios va a emplear para evaluar la estabilidad en el estudio de conexión y, de acuerdo a esto, suministrar los parámetros necesarios para tal efecto. En caso de no disponer de los mismos, favor confirmar si es posible emplear controladores genéricos necesarios para poder evaluar la estabilidad bajo los criterios determinados por GENSA.</w:t>
      </w:r>
      <w:r w:rsidR="003E285D">
        <w:rPr>
          <w:rFonts w:ascii="Bookman Old Style" w:hAnsi="Bookman Old Style" w:cs="Arial"/>
          <w:i/>
          <w:iCs/>
          <w:sz w:val="20"/>
          <w:szCs w:val="20"/>
          <w:lang w:val="es-CO"/>
        </w:rPr>
        <w:t xml:space="preserve"> </w:t>
      </w:r>
      <w:r w:rsidRPr="003E285D">
        <w:rPr>
          <w:rFonts w:ascii="Bookman Old Style" w:hAnsi="Bookman Old Style" w:cs="Arial"/>
          <w:i/>
          <w:iCs/>
          <w:sz w:val="20"/>
          <w:szCs w:val="20"/>
        </w:rPr>
        <w:t>(…)</w:t>
      </w:r>
    </w:p>
    <w:p w14:paraId="44026C29" w14:textId="77777777" w:rsidR="00F83880" w:rsidRPr="00097DFB" w:rsidRDefault="00F83880" w:rsidP="00E57F55">
      <w:pPr>
        <w:ind w:left="708"/>
        <w:contextualSpacing/>
        <w:jc w:val="both"/>
        <w:rPr>
          <w:rFonts w:ascii="Bookman Old Style" w:hAnsi="Bookman Old Style" w:cs="Arial"/>
          <w:i/>
          <w:iCs/>
          <w:sz w:val="20"/>
          <w:szCs w:val="20"/>
        </w:rPr>
      </w:pPr>
    </w:p>
    <w:p w14:paraId="3AB19660" w14:textId="77777777" w:rsidR="003E285D" w:rsidRDefault="00F83880" w:rsidP="007E255E">
      <w:pPr>
        <w:ind w:left="567"/>
        <w:contextualSpacing/>
        <w:jc w:val="both"/>
        <w:rPr>
          <w:rFonts w:ascii="Bookman Old Style" w:hAnsi="Bookman Old Style" w:cs="Arial"/>
          <w:i/>
          <w:iCs/>
          <w:sz w:val="20"/>
          <w:szCs w:val="20"/>
        </w:rPr>
      </w:pPr>
      <w:r w:rsidRPr="00097DFB">
        <w:rPr>
          <w:rFonts w:ascii="Bookman Old Style" w:hAnsi="Bookman Old Style" w:cs="Arial"/>
          <w:i/>
          <w:iCs/>
          <w:sz w:val="20"/>
          <w:szCs w:val="20"/>
        </w:rPr>
        <w:t>No obstante lo anterior, y en aras de avanzar se actualizará la demanda, la cual, como es esperado, es mayor a la del estudio presentado en el 2018, dando como resultado que el componente diésel sigue creciendo proporcionalmente y por consiguiente se sigue deteriorando el indicador de la meta de disminución de uso de combustibles fósiles como lo establece el Plan de Desarrollo Nacional Ley 1955 de 2018, por lo cual la planta solar se hace aún más urgente</w:t>
      </w:r>
      <w:r w:rsidR="00097DFB">
        <w:rPr>
          <w:rFonts w:ascii="Bookman Old Style" w:hAnsi="Bookman Old Style" w:cs="Arial"/>
          <w:i/>
          <w:iCs/>
          <w:sz w:val="20"/>
          <w:szCs w:val="20"/>
        </w:rPr>
        <w:t>. (…)</w:t>
      </w:r>
    </w:p>
    <w:p w14:paraId="175EAFF8" w14:textId="77777777" w:rsidR="003E285D" w:rsidRDefault="003E285D" w:rsidP="00E57F55">
      <w:pPr>
        <w:ind w:left="708"/>
        <w:contextualSpacing/>
        <w:jc w:val="both"/>
        <w:rPr>
          <w:rFonts w:ascii="Bookman Old Style" w:hAnsi="Bookman Old Style" w:cs="Arial"/>
          <w:i/>
          <w:iCs/>
          <w:sz w:val="20"/>
          <w:szCs w:val="20"/>
        </w:rPr>
      </w:pPr>
    </w:p>
    <w:p w14:paraId="2BFC2F6C" w14:textId="180D649A" w:rsidR="00F83880" w:rsidRPr="0086458B" w:rsidRDefault="003E285D" w:rsidP="007E255E">
      <w:pPr>
        <w:ind w:left="567"/>
        <w:contextualSpacing/>
        <w:jc w:val="both"/>
        <w:rPr>
          <w:rFonts w:ascii="Bookman Old Style" w:hAnsi="Bookman Old Style" w:cs="Arial"/>
          <w:i/>
          <w:iCs/>
          <w:sz w:val="22"/>
          <w:szCs w:val="22"/>
        </w:rPr>
      </w:pPr>
      <w:r w:rsidRPr="003E285D">
        <w:rPr>
          <w:rFonts w:ascii="Bookman Old Style" w:hAnsi="Bookman Old Style" w:cs="Arial"/>
          <w:i/>
          <w:iCs/>
          <w:sz w:val="20"/>
          <w:szCs w:val="20"/>
        </w:rPr>
        <w:t>Sin otro particular y en espera que la Comisión nos confirme la posibilidad de realizar los estudios con modelos estándar, en vez de los específicos de las unidades presentes en el sistema Mitú, nos sucribimos, no sin antes manifestarle que me permito solicitarle muy respetuosamente resolver la solicitud de imposición de servidumbre eléctrica iniciado por DUE CAPITAL AND SERVICES S.A.</w:t>
      </w:r>
      <w:r w:rsidR="00767B7D">
        <w:rPr>
          <w:rFonts w:ascii="Bookman Old Style" w:hAnsi="Bookman Old Style" w:cs="Arial"/>
          <w:i/>
          <w:iCs/>
          <w:sz w:val="20"/>
          <w:szCs w:val="20"/>
        </w:rPr>
        <w:t>S</w:t>
      </w:r>
      <w:r w:rsidRPr="003E285D">
        <w:rPr>
          <w:rFonts w:ascii="Bookman Old Style" w:hAnsi="Bookman Old Style" w:cs="Arial"/>
          <w:i/>
          <w:iCs/>
          <w:sz w:val="20"/>
          <w:szCs w:val="20"/>
        </w:rPr>
        <w:t xml:space="preserve">. ante esta entidad para el Proyecto de Generación Fotovoltáica en el municipio de Mitú, Vaupés (en adelante, </w:t>
      </w:r>
      <w:r w:rsidR="00767B7D">
        <w:rPr>
          <w:rFonts w:ascii="Bookman Old Style" w:hAnsi="Bookman Old Style" w:cs="Arial"/>
          <w:i/>
          <w:iCs/>
          <w:sz w:val="20"/>
          <w:szCs w:val="20"/>
        </w:rPr>
        <w:t>‘</w:t>
      </w:r>
      <w:r w:rsidRPr="003E285D">
        <w:rPr>
          <w:rFonts w:ascii="Bookman Old Style" w:hAnsi="Bookman Old Style" w:cs="Arial"/>
          <w:i/>
          <w:iCs/>
          <w:sz w:val="20"/>
          <w:szCs w:val="20"/>
        </w:rPr>
        <w:t>el Proyecto</w:t>
      </w:r>
      <w:r w:rsidR="00767B7D">
        <w:rPr>
          <w:rFonts w:ascii="Bookman Old Style" w:hAnsi="Bookman Old Style" w:cs="Arial"/>
          <w:i/>
          <w:iCs/>
          <w:sz w:val="20"/>
          <w:szCs w:val="20"/>
        </w:rPr>
        <w:t>’</w:t>
      </w:r>
      <w:r w:rsidRPr="003E285D">
        <w:rPr>
          <w:rFonts w:ascii="Bookman Old Style" w:hAnsi="Bookman Old Style" w:cs="Arial"/>
          <w:i/>
          <w:iCs/>
          <w:sz w:val="20"/>
          <w:szCs w:val="20"/>
        </w:rPr>
        <w:t>), de conformidad con el artículo 39.4 de la Ley 142 de 1994.</w:t>
      </w:r>
      <w:r>
        <w:rPr>
          <w:rFonts w:ascii="Bookman Old Style" w:hAnsi="Bookman Old Style" w:cs="Arial"/>
          <w:i/>
          <w:iCs/>
          <w:sz w:val="20"/>
          <w:szCs w:val="20"/>
        </w:rPr>
        <w:t xml:space="preserve"> (…)</w:t>
      </w:r>
      <w:r w:rsidR="00205ED9" w:rsidRPr="00097DFB">
        <w:rPr>
          <w:rFonts w:ascii="Bookman Old Style" w:hAnsi="Bookman Old Style" w:cs="Arial"/>
          <w:i/>
          <w:iCs/>
          <w:sz w:val="20"/>
          <w:szCs w:val="20"/>
        </w:rPr>
        <w:t>”</w:t>
      </w:r>
    </w:p>
    <w:p w14:paraId="04B40380" w14:textId="77777777" w:rsidR="00F83880" w:rsidRPr="0086458B" w:rsidRDefault="00F83880" w:rsidP="00E57F55">
      <w:pPr>
        <w:ind w:left="284"/>
        <w:contextualSpacing/>
        <w:jc w:val="both"/>
        <w:rPr>
          <w:rFonts w:ascii="Bookman Old Style" w:hAnsi="Bookman Old Style" w:cs="Arial"/>
          <w:sz w:val="22"/>
          <w:szCs w:val="22"/>
          <w:highlight w:val="yellow"/>
        </w:rPr>
      </w:pPr>
    </w:p>
    <w:p w14:paraId="08F700FF" w14:textId="3C200186" w:rsidR="00F83880" w:rsidRPr="00E36AB0" w:rsidRDefault="00F83880" w:rsidP="00E57F55">
      <w:pPr>
        <w:ind w:left="284"/>
        <w:contextualSpacing/>
        <w:jc w:val="both"/>
        <w:rPr>
          <w:rFonts w:ascii="Bookman Old Style" w:hAnsi="Bookman Old Style" w:cs="Arial"/>
        </w:rPr>
      </w:pPr>
      <w:r w:rsidRPr="00E36AB0">
        <w:rPr>
          <w:rFonts w:ascii="Bookman Old Style" w:hAnsi="Bookman Old Style" w:cs="Arial"/>
        </w:rPr>
        <w:t>Adicionalmente</w:t>
      </w:r>
      <w:r w:rsidR="00BD24D1" w:rsidRPr="00E36AB0">
        <w:rPr>
          <w:rFonts w:ascii="Bookman Old Style" w:hAnsi="Bookman Old Style" w:cs="Arial"/>
        </w:rPr>
        <w:t>,</w:t>
      </w:r>
      <w:r w:rsidRPr="00E36AB0">
        <w:rPr>
          <w:rFonts w:ascii="Bookman Old Style" w:hAnsi="Bookman Old Style" w:cs="Arial"/>
        </w:rPr>
        <w:t xml:space="preserve"> </w:t>
      </w:r>
      <w:r w:rsidR="00815997">
        <w:rPr>
          <w:rFonts w:ascii="Bookman Old Style" w:hAnsi="Bookman Old Style" w:cs="Arial"/>
        </w:rPr>
        <w:t xml:space="preserve">DUE </w:t>
      </w:r>
      <w:r w:rsidRPr="00E36AB0">
        <w:rPr>
          <w:rFonts w:ascii="Bookman Old Style" w:hAnsi="Bookman Old Style" w:cs="Arial"/>
        </w:rPr>
        <w:t>present</w:t>
      </w:r>
      <w:r w:rsidR="00815997">
        <w:rPr>
          <w:rFonts w:ascii="Bookman Old Style" w:hAnsi="Bookman Old Style" w:cs="Arial"/>
        </w:rPr>
        <w:t>a</w:t>
      </w:r>
      <w:r w:rsidRPr="00E36AB0">
        <w:rPr>
          <w:rFonts w:ascii="Bookman Old Style" w:hAnsi="Bookman Old Style" w:cs="Arial"/>
        </w:rPr>
        <w:t xml:space="preserve"> en su comunicación una </w:t>
      </w:r>
      <w:r w:rsidR="00B66AD6">
        <w:rPr>
          <w:rFonts w:ascii="Bookman Old Style" w:hAnsi="Bookman Old Style" w:cs="Arial"/>
        </w:rPr>
        <w:t xml:space="preserve">relación de las </w:t>
      </w:r>
      <w:r w:rsidRPr="00E36AB0">
        <w:rPr>
          <w:rFonts w:ascii="Bookman Old Style" w:hAnsi="Bookman Old Style" w:cs="Arial"/>
        </w:rPr>
        <w:t xml:space="preserve">inversiones asociadas a la conexión de la planta y </w:t>
      </w:r>
      <w:r w:rsidRPr="00E36AB0">
        <w:rPr>
          <w:rFonts w:ascii="Bookman Old Style" w:hAnsi="Bookman Old Style" w:cs="Arial"/>
          <w:i/>
          <w:iCs/>
        </w:rPr>
        <w:t>“</w:t>
      </w:r>
      <w:r w:rsidR="00922D9D">
        <w:rPr>
          <w:rFonts w:ascii="Bookman Old Style" w:hAnsi="Bookman Old Style" w:cs="Arial"/>
          <w:i/>
          <w:iCs/>
        </w:rPr>
        <w:t xml:space="preserve">(…) </w:t>
      </w:r>
      <w:r w:rsidR="0013369C">
        <w:rPr>
          <w:rFonts w:ascii="Bookman Old Style" w:hAnsi="Bookman Old Style" w:cs="Arial"/>
          <w:i/>
          <w:iCs/>
        </w:rPr>
        <w:t xml:space="preserve">reitera su total disposición a </w:t>
      </w:r>
      <w:r w:rsidRPr="00E36AB0">
        <w:rPr>
          <w:rFonts w:ascii="Bookman Old Style" w:hAnsi="Bookman Old Style" w:cs="Arial"/>
          <w:i/>
          <w:iCs/>
        </w:rPr>
        <w:t>acometer directamente y en su totalidad dichas inversiones de los activos de conexión del parque solar, así como asumir su administración, operación y mantenimiento y los riesgos asociados</w:t>
      </w:r>
      <w:r w:rsidR="00E31597">
        <w:rPr>
          <w:rFonts w:ascii="Bookman Old Style" w:hAnsi="Bookman Old Style" w:cs="Arial"/>
          <w:i/>
          <w:iCs/>
        </w:rPr>
        <w:t xml:space="preserve"> (…)</w:t>
      </w:r>
      <w:r w:rsidRPr="00E36AB0">
        <w:rPr>
          <w:rFonts w:ascii="Bookman Old Style" w:hAnsi="Bookman Old Style" w:cs="Arial"/>
          <w:i/>
          <w:iCs/>
        </w:rPr>
        <w:t>”.</w:t>
      </w:r>
    </w:p>
    <w:p w14:paraId="06EDF2A8" w14:textId="77777777" w:rsidR="00F83880" w:rsidRPr="0086458B" w:rsidRDefault="00F83880" w:rsidP="00E57F55">
      <w:pPr>
        <w:ind w:left="284"/>
        <w:contextualSpacing/>
        <w:jc w:val="both"/>
        <w:rPr>
          <w:rFonts w:ascii="Bookman Old Style" w:hAnsi="Bookman Old Style" w:cs="Arial"/>
          <w:highlight w:val="yellow"/>
        </w:rPr>
      </w:pPr>
    </w:p>
    <w:p w14:paraId="7182DD76" w14:textId="40263A96" w:rsidR="00F83880" w:rsidRPr="0086458B" w:rsidRDefault="3FA7B7B0" w:rsidP="00E57F55">
      <w:pPr>
        <w:ind w:left="284"/>
        <w:contextualSpacing/>
        <w:jc w:val="both"/>
        <w:rPr>
          <w:rFonts w:ascii="Bookman Old Style" w:hAnsi="Bookman Old Style" w:cs="Arial"/>
        </w:rPr>
      </w:pPr>
      <w:r w:rsidRPr="0086458B">
        <w:rPr>
          <w:rFonts w:ascii="Bookman Old Style" w:hAnsi="Bookman Old Style" w:cs="Arial"/>
        </w:rPr>
        <w:t xml:space="preserve">Mediante radicado CREG E-2021-003201 del 12 de marzo de 2021, el </w:t>
      </w:r>
      <w:r w:rsidR="00B84421">
        <w:rPr>
          <w:rFonts w:ascii="Bookman Old Style" w:hAnsi="Bookman Old Style" w:cs="Arial"/>
        </w:rPr>
        <w:t xml:space="preserve">MME </w:t>
      </w:r>
      <w:r w:rsidRPr="0086458B">
        <w:rPr>
          <w:rFonts w:ascii="Bookman Old Style" w:hAnsi="Bookman Old Style" w:cs="Arial"/>
        </w:rPr>
        <w:t xml:space="preserve">remitió a esta Comisión informe de visita técnica </w:t>
      </w:r>
      <w:r w:rsidR="00D14DD7">
        <w:rPr>
          <w:rFonts w:ascii="Bookman Old Style" w:hAnsi="Bookman Old Style" w:cs="Arial"/>
        </w:rPr>
        <w:t xml:space="preserve">a Mitú, </w:t>
      </w:r>
      <w:r w:rsidRPr="0086458B">
        <w:rPr>
          <w:rFonts w:ascii="Bookman Old Style" w:hAnsi="Bookman Old Style" w:cs="Arial"/>
        </w:rPr>
        <w:t xml:space="preserve">realizada </w:t>
      </w:r>
      <w:r w:rsidR="005A2402">
        <w:rPr>
          <w:rFonts w:ascii="Bookman Old Style" w:hAnsi="Bookman Old Style" w:cs="Arial"/>
        </w:rPr>
        <w:t xml:space="preserve">del </w:t>
      </w:r>
      <w:r w:rsidRPr="0086458B">
        <w:rPr>
          <w:rFonts w:ascii="Bookman Old Style" w:hAnsi="Bookman Old Style" w:cs="Arial"/>
        </w:rPr>
        <w:t>1</w:t>
      </w:r>
      <w:r w:rsidR="005A2402">
        <w:rPr>
          <w:rFonts w:ascii="Bookman Old Style" w:hAnsi="Bookman Old Style" w:cs="Arial"/>
        </w:rPr>
        <w:t>7</w:t>
      </w:r>
      <w:r w:rsidRPr="0086458B">
        <w:rPr>
          <w:rFonts w:ascii="Bookman Old Style" w:hAnsi="Bookman Old Style" w:cs="Arial"/>
        </w:rPr>
        <w:t xml:space="preserve"> </w:t>
      </w:r>
      <w:r w:rsidR="005A2402">
        <w:rPr>
          <w:rFonts w:ascii="Bookman Old Style" w:hAnsi="Bookman Old Style" w:cs="Arial"/>
        </w:rPr>
        <w:t xml:space="preserve">al </w:t>
      </w:r>
      <w:r w:rsidR="00963214">
        <w:rPr>
          <w:rFonts w:ascii="Bookman Old Style" w:hAnsi="Bookman Old Style" w:cs="Arial"/>
        </w:rPr>
        <w:t>20</w:t>
      </w:r>
      <w:r w:rsidRPr="0086458B">
        <w:rPr>
          <w:rFonts w:ascii="Bookman Old Style" w:hAnsi="Bookman Old Style" w:cs="Arial"/>
        </w:rPr>
        <w:t xml:space="preserve"> de febrero del </w:t>
      </w:r>
      <w:r w:rsidR="302C34E4" w:rsidRPr="0086458B">
        <w:rPr>
          <w:rFonts w:ascii="Bookman Old Style" w:hAnsi="Bookman Old Style" w:cs="Arial"/>
        </w:rPr>
        <w:t>2021</w:t>
      </w:r>
      <w:r w:rsidR="302C34E4" w:rsidRPr="0ECC7FE6">
        <w:rPr>
          <w:rFonts w:ascii="Bookman Old Style" w:hAnsi="Bookman Old Style" w:cs="Arial"/>
        </w:rPr>
        <w:t>, en</w:t>
      </w:r>
      <w:r w:rsidR="00D14DD7">
        <w:rPr>
          <w:rFonts w:ascii="Bookman Old Style" w:hAnsi="Bookman Old Style" w:cs="Arial"/>
        </w:rPr>
        <w:t xml:space="preserve"> el </w:t>
      </w:r>
      <w:r w:rsidR="302C34E4" w:rsidRPr="0ECC7FE6">
        <w:rPr>
          <w:rFonts w:ascii="Bookman Old Style" w:hAnsi="Bookman Old Style" w:cs="Arial"/>
        </w:rPr>
        <w:t>cual</w:t>
      </w:r>
      <w:r w:rsidR="00D14DD7">
        <w:rPr>
          <w:rFonts w:ascii="Bookman Old Style" w:hAnsi="Bookman Old Style" w:cs="Arial"/>
        </w:rPr>
        <w:t xml:space="preserve"> se indica</w:t>
      </w:r>
      <w:r w:rsidRPr="0086458B">
        <w:rPr>
          <w:rFonts w:ascii="Bookman Old Style" w:hAnsi="Bookman Old Style" w:cs="Arial"/>
        </w:rPr>
        <w:t>:</w:t>
      </w:r>
    </w:p>
    <w:p w14:paraId="4476EE2E" w14:textId="77777777" w:rsidR="00F83880" w:rsidRPr="0086458B" w:rsidRDefault="00F83880" w:rsidP="00E57F55">
      <w:pPr>
        <w:ind w:left="284"/>
        <w:contextualSpacing/>
        <w:jc w:val="both"/>
        <w:rPr>
          <w:rFonts w:ascii="Bookman Old Style" w:hAnsi="Bookman Old Style" w:cs="Arial"/>
          <w:i/>
          <w:iCs/>
        </w:rPr>
      </w:pPr>
    </w:p>
    <w:p w14:paraId="79AE90BA" w14:textId="55E62FD5" w:rsidR="00FC6957" w:rsidRDefault="00F83880" w:rsidP="007E255E">
      <w:pPr>
        <w:ind w:left="567"/>
        <w:contextualSpacing/>
        <w:jc w:val="both"/>
        <w:rPr>
          <w:rFonts w:ascii="Bookman Old Style" w:hAnsi="Bookman Old Style" w:cs="Arial"/>
          <w:i/>
          <w:iCs/>
          <w:sz w:val="20"/>
          <w:szCs w:val="20"/>
        </w:rPr>
      </w:pPr>
      <w:r w:rsidRPr="00E31597">
        <w:rPr>
          <w:rFonts w:ascii="Bookman Old Style" w:hAnsi="Bookman Old Style" w:cs="Arial"/>
          <w:i/>
          <w:iCs/>
          <w:sz w:val="20"/>
          <w:szCs w:val="20"/>
        </w:rPr>
        <w:t>“</w:t>
      </w:r>
      <w:r w:rsidR="00D14DD7">
        <w:rPr>
          <w:rFonts w:ascii="Bookman Old Style" w:hAnsi="Bookman Old Style" w:cs="Arial"/>
          <w:i/>
          <w:iCs/>
          <w:sz w:val="20"/>
          <w:szCs w:val="20"/>
        </w:rPr>
        <w:t>(…)</w:t>
      </w:r>
      <w:r w:rsidR="00FC6957">
        <w:rPr>
          <w:rFonts w:ascii="Bookman Old Style" w:hAnsi="Bookman Old Style" w:cs="Arial"/>
          <w:i/>
          <w:iCs/>
          <w:sz w:val="20"/>
          <w:szCs w:val="20"/>
        </w:rPr>
        <w:t xml:space="preserve"> </w:t>
      </w:r>
      <w:r w:rsidR="00FC6957" w:rsidRPr="00FC6957">
        <w:rPr>
          <w:rFonts w:ascii="Bookman Old Style" w:hAnsi="Bookman Old Style" w:cs="Arial"/>
          <w:i/>
          <w:iCs/>
          <w:sz w:val="20"/>
          <w:szCs w:val="20"/>
        </w:rPr>
        <w:t>En las instalaciones de la planta de generación Diésel, los días 18 al 19 de febrero de 2021, se efectuó el levantamiento de información necesaria del sistema eléctrico, para establecer el punto de conexión de un nuevo parque solar en la línea de 34.5 kV que conecta la PCH de Mitú y planta de generación Diésel.</w:t>
      </w:r>
      <w:r w:rsidR="00EA213C">
        <w:rPr>
          <w:rFonts w:ascii="Bookman Old Style" w:hAnsi="Bookman Old Style" w:cs="Arial"/>
          <w:i/>
          <w:iCs/>
          <w:sz w:val="20"/>
          <w:szCs w:val="20"/>
        </w:rPr>
        <w:t xml:space="preserve"> (…)</w:t>
      </w:r>
    </w:p>
    <w:p w14:paraId="17153F34" w14:textId="77777777" w:rsidR="00EA213C" w:rsidRDefault="00EA213C" w:rsidP="00E57F55">
      <w:pPr>
        <w:ind w:left="708"/>
        <w:contextualSpacing/>
        <w:jc w:val="both"/>
        <w:rPr>
          <w:rFonts w:ascii="Bookman Old Style" w:hAnsi="Bookman Old Style" w:cs="Arial"/>
          <w:i/>
          <w:iCs/>
          <w:sz w:val="20"/>
          <w:szCs w:val="20"/>
        </w:rPr>
      </w:pPr>
    </w:p>
    <w:p w14:paraId="4D079E18" w14:textId="41429922" w:rsidR="00EA213C" w:rsidRDefault="009C046E" w:rsidP="007E255E">
      <w:pPr>
        <w:ind w:left="567"/>
        <w:contextualSpacing/>
        <w:jc w:val="both"/>
        <w:rPr>
          <w:rFonts w:ascii="Bookman Old Style" w:hAnsi="Bookman Old Style" w:cs="Arial"/>
          <w:i/>
          <w:iCs/>
          <w:sz w:val="20"/>
          <w:szCs w:val="20"/>
        </w:rPr>
      </w:pPr>
      <w:r w:rsidRPr="009C046E">
        <w:rPr>
          <w:rFonts w:ascii="Bookman Old Style" w:hAnsi="Bookman Old Style" w:cs="Arial"/>
          <w:i/>
          <w:iCs/>
          <w:sz w:val="20"/>
          <w:szCs w:val="20"/>
        </w:rPr>
        <w:t>La planta de generación Diésel, está conformado por 5 generadores alimentando un tablero de 480 VAC. Este a su vez alimenta 2 transformadores de 1.6 y 2.5 MVA respectivamente que se conectan a un pórtico con un barraje de 13.8 kv y donde salen dos circuitos uno llamado alimentación CENTRO y el otro alimentación INAYA.</w:t>
      </w:r>
      <w:r>
        <w:rPr>
          <w:rFonts w:ascii="Bookman Old Style" w:hAnsi="Bookman Old Style" w:cs="Arial"/>
          <w:i/>
          <w:iCs/>
          <w:sz w:val="20"/>
          <w:szCs w:val="20"/>
        </w:rPr>
        <w:t xml:space="preserve"> (…)</w:t>
      </w:r>
    </w:p>
    <w:p w14:paraId="29067D03" w14:textId="77777777" w:rsidR="009C046E" w:rsidRDefault="009C046E" w:rsidP="007E255E">
      <w:pPr>
        <w:ind w:left="567"/>
        <w:contextualSpacing/>
        <w:jc w:val="both"/>
        <w:rPr>
          <w:rFonts w:ascii="Bookman Old Style" w:hAnsi="Bookman Old Style" w:cs="Arial"/>
          <w:i/>
          <w:iCs/>
          <w:sz w:val="20"/>
          <w:szCs w:val="20"/>
        </w:rPr>
      </w:pPr>
    </w:p>
    <w:p w14:paraId="26617A2D" w14:textId="44D7CC6C" w:rsidR="009C046E" w:rsidRDefault="00FE2887" w:rsidP="007E255E">
      <w:pPr>
        <w:ind w:left="567"/>
        <w:contextualSpacing/>
        <w:jc w:val="both"/>
        <w:rPr>
          <w:rFonts w:ascii="Bookman Old Style" w:hAnsi="Bookman Old Style" w:cs="Arial"/>
          <w:i/>
          <w:iCs/>
          <w:sz w:val="20"/>
          <w:szCs w:val="20"/>
        </w:rPr>
      </w:pPr>
      <w:r w:rsidRPr="00FE2887">
        <w:rPr>
          <w:rFonts w:ascii="Bookman Old Style" w:hAnsi="Bookman Old Style" w:cs="Arial"/>
          <w:i/>
          <w:iCs/>
          <w:sz w:val="20"/>
          <w:szCs w:val="20"/>
        </w:rPr>
        <w:t>La subestación de la pequeña central hidroeléctrica está conformada por 4 generadores de 500 Kw a 440 VAC, que alimentan 4 transformadores de 750 KVA con relación 440VAC / 36.000 VAC, alimentando un tablero de 34.5 Kv, y este tablero alimenta el circuito de 34.5 Kv, este circuito es de aproximadamente 36 Km y conformado por 130 torres llegando a un pórtico de 34.5 kv en la planta de generación diésel. Este pórtico de 34.5 Kv se conecta por medio de 2 transformadores de 1.5 MVA con relación de transformación de 34.5 Kv / 13.8 Kv, al barraje de 13.8 kv situado en la planta generadora diésel.</w:t>
      </w:r>
      <w:r>
        <w:rPr>
          <w:rFonts w:ascii="Bookman Old Style" w:hAnsi="Bookman Old Style" w:cs="Arial"/>
          <w:i/>
          <w:iCs/>
          <w:sz w:val="20"/>
          <w:szCs w:val="20"/>
        </w:rPr>
        <w:t xml:space="preserve"> (…)</w:t>
      </w:r>
    </w:p>
    <w:p w14:paraId="7CADFAF0" w14:textId="77777777" w:rsidR="00092F67" w:rsidRDefault="00092F67" w:rsidP="007E255E">
      <w:pPr>
        <w:ind w:left="567"/>
        <w:contextualSpacing/>
        <w:jc w:val="both"/>
        <w:rPr>
          <w:rFonts w:ascii="Bookman Old Style" w:hAnsi="Bookman Old Style" w:cs="Arial"/>
          <w:i/>
          <w:iCs/>
          <w:sz w:val="20"/>
          <w:szCs w:val="20"/>
        </w:rPr>
      </w:pPr>
    </w:p>
    <w:p w14:paraId="1E951DAA" w14:textId="537151AE" w:rsidR="00092F67" w:rsidRDefault="00092F67" w:rsidP="007E255E">
      <w:pPr>
        <w:ind w:left="567"/>
        <w:contextualSpacing/>
        <w:jc w:val="both"/>
        <w:rPr>
          <w:rFonts w:ascii="Bookman Old Style" w:hAnsi="Bookman Old Style" w:cs="Arial"/>
          <w:i/>
          <w:iCs/>
          <w:sz w:val="20"/>
          <w:szCs w:val="20"/>
        </w:rPr>
      </w:pPr>
      <w:r w:rsidRPr="00092F67">
        <w:rPr>
          <w:rFonts w:ascii="Bookman Old Style" w:hAnsi="Bookman Old Style" w:cs="Arial"/>
          <w:i/>
          <w:iCs/>
          <w:sz w:val="20"/>
          <w:szCs w:val="20"/>
        </w:rPr>
        <w:t>Se realizó el recorrido a lo largo de la línea de 34.5 kV y entre la torre 117 y torre 118 se</w:t>
      </w:r>
      <w:r>
        <w:rPr>
          <w:rFonts w:ascii="Bookman Old Style" w:hAnsi="Bookman Old Style" w:cs="Arial"/>
          <w:i/>
          <w:iCs/>
          <w:sz w:val="20"/>
          <w:szCs w:val="20"/>
        </w:rPr>
        <w:t xml:space="preserve"> </w:t>
      </w:r>
      <w:r w:rsidRPr="00092F67">
        <w:rPr>
          <w:rFonts w:ascii="Bookman Old Style" w:hAnsi="Bookman Old Style" w:cs="Arial"/>
          <w:i/>
          <w:iCs/>
          <w:sz w:val="20"/>
          <w:szCs w:val="20"/>
        </w:rPr>
        <w:t>pretende construir el parque solar. En este tramo se observa que la estructura tiene el circuito</w:t>
      </w:r>
      <w:r>
        <w:rPr>
          <w:rFonts w:ascii="Bookman Old Style" w:hAnsi="Bookman Old Style" w:cs="Arial"/>
          <w:i/>
          <w:iCs/>
          <w:sz w:val="20"/>
          <w:szCs w:val="20"/>
        </w:rPr>
        <w:t xml:space="preserve"> </w:t>
      </w:r>
      <w:r w:rsidRPr="00092F67">
        <w:rPr>
          <w:rFonts w:ascii="Bookman Old Style" w:hAnsi="Bookman Old Style" w:cs="Arial"/>
          <w:i/>
          <w:iCs/>
          <w:sz w:val="20"/>
          <w:szCs w:val="20"/>
        </w:rPr>
        <w:t>de 34.5 kv que une la PCH con la planta generación Diésel y un circuito de 13.8 kV que</w:t>
      </w:r>
      <w:r>
        <w:rPr>
          <w:rFonts w:ascii="Bookman Old Style" w:hAnsi="Bookman Old Style" w:cs="Arial"/>
          <w:i/>
          <w:iCs/>
          <w:sz w:val="20"/>
          <w:szCs w:val="20"/>
        </w:rPr>
        <w:t xml:space="preserve"> </w:t>
      </w:r>
      <w:r w:rsidRPr="00092F67">
        <w:rPr>
          <w:rFonts w:ascii="Bookman Old Style" w:hAnsi="Bookman Old Style" w:cs="Arial"/>
          <w:i/>
          <w:iCs/>
          <w:sz w:val="20"/>
          <w:szCs w:val="20"/>
        </w:rPr>
        <w:t>alimenta la comunidad de yararaca. De la línea de 13.8 kV se realiza una derivación a un</w:t>
      </w:r>
      <w:r>
        <w:rPr>
          <w:rFonts w:ascii="Bookman Old Style" w:hAnsi="Bookman Old Style" w:cs="Arial"/>
          <w:i/>
          <w:iCs/>
          <w:sz w:val="20"/>
          <w:szCs w:val="20"/>
        </w:rPr>
        <w:t xml:space="preserve"> </w:t>
      </w:r>
      <w:r w:rsidRPr="00092F67">
        <w:rPr>
          <w:rFonts w:ascii="Bookman Old Style" w:hAnsi="Bookman Old Style" w:cs="Arial"/>
          <w:i/>
          <w:iCs/>
          <w:sz w:val="20"/>
          <w:szCs w:val="20"/>
        </w:rPr>
        <w:t>transformador que alimenta aproximadamente 5 usuarios.</w:t>
      </w:r>
      <w:r>
        <w:rPr>
          <w:rFonts w:ascii="Bookman Old Style" w:hAnsi="Bookman Old Style" w:cs="Arial"/>
          <w:i/>
          <w:iCs/>
          <w:sz w:val="20"/>
          <w:szCs w:val="20"/>
        </w:rPr>
        <w:t xml:space="preserve"> (…)</w:t>
      </w:r>
    </w:p>
    <w:p w14:paraId="616EB3DA" w14:textId="77777777" w:rsidR="00FC6957" w:rsidRDefault="00FC6957" w:rsidP="007E255E">
      <w:pPr>
        <w:ind w:left="567"/>
        <w:contextualSpacing/>
        <w:jc w:val="both"/>
        <w:rPr>
          <w:rFonts w:ascii="Bookman Old Style" w:hAnsi="Bookman Old Style" w:cs="Arial"/>
          <w:i/>
          <w:iCs/>
          <w:sz w:val="20"/>
          <w:szCs w:val="20"/>
        </w:rPr>
      </w:pPr>
    </w:p>
    <w:p w14:paraId="79A9D5AD" w14:textId="2A1B7200" w:rsidR="00D06CF6" w:rsidRDefault="00D06CF6" w:rsidP="007E255E">
      <w:pPr>
        <w:ind w:left="567"/>
        <w:contextualSpacing/>
        <w:jc w:val="both"/>
        <w:rPr>
          <w:rFonts w:ascii="Bookman Old Style" w:hAnsi="Bookman Old Style" w:cs="Arial"/>
          <w:i/>
          <w:iCs/>
          <w:sz w:val="20"/>
          <w:szCs w:val="20"/>
        </w:rPr>
      </w:pPr>
      <w:r w:rsidRPr="00D06CF6">
        <w:rPr>
          <w:rFonts w:ascii="Bookman Old Style" w:hAnsi="Bookman Old Style" w:cs="Arial"/>
          <w:i/>
          <w:iCs/>
          <w:sz w:val="20"/>
          <w:szCs w:val="20"/>
        </w:rPr>
        <w:t>En la torre 52 se encuentra una derivación de 34.5 kV alimentado un trasformador de 25 KVA 34.5 kV / 208-120 VAC que les suministra energía aproximadamente a 10 viviendas en la zona de puentelata.</w:t>
      </w:r>
      <w:r w:rsidR="00740AF7">
        <w:rPr>
          <w:rFonts w:ascii="Bookman Old Style" w:hAnsi="Bookman Old Style" w:cs="Arial"/>
          <w:i/>
          <w:iCs/>
          <w:sz w:val="20"/>
          <w:szCs w:val="20"/>
        </w:rPr>
        <w:t xml:space="preserve"> (…)</w:t>
      </w:r>
    </w:p>
    <w:p w14:paraId="38261C62" w14:textId="77777777" w:rsidR="00740AF7" w:rsidRDefault="00740AF7" w:rsidP="007E255E">
      <w:pPr>
        <w:ind w:left="567"/>
        <w:contextualSpacing/>
        <w:jc w:val="both"/>
        <w:rPr>
          <w:rFonts w:ascii="Bookman Old Style" w:hAnsi="Bookman Old Style" w:cs="Arial"/>
          <w:i/>
          <w:iCs/>
          <w:sz w:val="20"/>
          <w:szCs w:val="20"/>
        </w:rPr>
      </w:pPr>
    </w:p>
    <w:p w14:paraId="233B2DB2" w14:textId="5DE2CE0F" w:rsidR="00740AF7" w:rsidRDefault="00740AF7" w:rsidP="007E255E">
      <w:pPr>
        <w:ind w:left="567"/>
        <w:contextualSpacing/>
        <w:jc w:val="both"/>
        <w:rPr>
          <w:rFonts w:ascii="Bookman Old Style" w:hAnsi="Bookman Old Style" w:cs="Arial"/>
          <w:i/>
          <w:iCs/>
          <w:sz w:val="20"/>
          <w:szCs w:val="20"/>
        </w:rPr>
      </w:pPr>
      <w:r w:rsidRPr="00740AF7">
        <w:rPr>
          <w:rFonts w:ascii="Bookman Old Style" w:hAnsi="Bookman Old Style" w:cs="Arial"/>
          <w:i/>
          <w:iCs/>
          <w:sz w:val="20"/>
          <w:szCs w:val="20"/>
        </w:rPr>
        <w:t>En la TORRE 1 se realiza otra derivación alimentando un transformador de 75 KVA, 34.5 KV / 13.8 kV, que lleva la energía a la población de Santacruz.</w:t>
      </w:r>
      <w:r w:rsidR="00315207">
        <w:rPr>
          <w:rFonts w:ascii="Bookman Old Style" w:hAnsi="Bookman Old Style" w:cs="Arial"/>
          <w:i/>
          <w:iCs/>
          <w:sz w:val="20"/>
          <w:szCs w:val="20"/>
        </w:rPr>
        <w:t xml:space="preserve"> (…)</w:t>
      </w:r>
    </w:p>
    <w:p w14:paraId="05A30D36" w14:textId="77777777" w:rsidR="00FC6957" w:rsidRDefault="00FC6957" w:rsidP="007E255E">
      <w:pPr>
        <w:ind w:left="567"/>
        <w:contextualSpacing/>
        <w:jc w:val="both"/>
        <w:rPr>
          <w:rFonts w:ascii="Bookman Old Style" w:hAnsi="Bookman Old Style" w:cs="Arial"/>
          <w:i/>
          <w:iCs/>
          <w:sz w:val="20"/>
          <w:szCs w:val="20"/>
        </w:rPr>
      </w:pPr>
    </w:p>
    <w:p w14:paraId="48E94DD4" w14:textId="12C1D490" w:rsidR="00C2103E" w:rsidRDefault="00C2103E" w:rsidP="007E255E">
      <w:pPr>
        <w:ind w:left="567"/>
        <w:contextualSpacing/>
        <w:jc w:val="both"/>
        <w:rPr>
          <w:rFonts w:ascii="Bookman Old Style" w:hAnsi="Bookman Old Style" w:cs="Arial"/>
          <w:i/>
          <w:iCs/>
          <w:sz w:val="20"/>
          <w:szCs w:val="20"/>
        </w:rPr>
      </w:pPr>
      <w:r w:rsidRPr="00C2103E">
        <w:rPr>
          <w:rFonts w:ascii="Bookman Old Style" w:hAnsi="Bookman Old Style" w:cs="Arial"/>
          <w:i/>
          <w:iCs/>
          <w:sz w:val="20"/>
          <w:szCs w:val="20"/>
        </w:rPr>
        <w:t>4. CONCLUSIONES Y RECOMENDACIONES</w:t>
      </w:r>
    </w:p>
    <w:p w14:paraId="7F84E34E" w14:textId="77777777" w:rsidR="00F83880" w:rsidRPr="00E31597" w:rsidRDefault="00F83880" w:rsidP="00E57F55">
      <w:pPr>
        <w:ind w:left="708"/>
        <w:contextualSpacing/>
        <w:jc w:val="both"/>
        <w:rPr>
          <w:rFonts w:ascii="Bookman Old Style" w:hAnsi="Bookman Old Style" w:cs="Arial"/>
          <w:i/>
          <w:iCs/>
          <w:sz w:val="20"/>
          <w:szCs w:val="20"/>
        </w:rPr>
      </w:pPr>
    </w:p>
    <w:p w14:paraId="42346994" w14:textId="185E8082" w:rsidR="002E0E15" w:rsidRPr="002E0E15" w:rsidRDefault="002E0E15" w:rsidP="007E255E">
      <w:pPr>
        <w:pStyle w:val="Prrafodelista"/>
        <w:numPr>
          <w:ilvl w:val="0"/>
          <w:numId w:val="15"/>
        </w:numPr>
        <w:ind w:left="851" w:hanging="284"/>
        <w:contextualSpacing/>
        <w:jc w:val="both"/>
        <w:rPr>
          <w:rFonts w:ascii="Bookman Old Style" w:hAnsi="Bookman Old Style" w:cs="Arial"/>
          <w:i/>
          <w:iCs/>
          <w:sz w:val="22"/>
          <w:szCs w:val="22"/>
        </w:rPr>
      </w:pPr>
      <w:r w:rsidRPr="00E31597">
        <w:rPr>
          <w:rFonts w:ascii="Bookman Old Style" w:hAnsi="Bookman Old Style" w:cs="Arial"/>
          <w:i/>
          <w:iCs/>
        </w:rPr>
        <w:t>En el área donde posiblemente van a construir el parque solar se puede realizar el punto de conexión con la línea de 34.5 kV o 13.8 kV, pero se debe presentar un diseño técnico detallado del parque solar de acuerdo al Reglamento Técnico de Instalaciones Electrices RETIE, así mismo se debe revisar la parte reglamentaria y jurídica, teniendo en cuenta que la generación es una ZONA NO INTERCONECTADA ZNI.</w:t>
      </w:r>
    </w:p>
    <w:p w14:paraId="7BD42540" w14:textId="14A61305" w:rsidR="002E0E15" w:rsidRPr="002E0E15" w:rsidRDefault="00F83880" w:rsidP="007E255E">
      <w:pPr>
        <w:pStyle w:val="Prrafodelista"/>
        <w:numPr>
          <w:ilvl w:val="0"/>
          <w:numId w:val="15"/>
        </w:numPr>
        <w:ind w:left="851" w:hanging="284"/>
        <w:contextualSpacing/>
        <w:jc w:val="both"/>
        <w:rPr>
          <w:rFonts w:ascii="Bookman Old Style" w:hAnsi="Bookman Old Style" w:cs="Arial"/>
          <w:i/>
          <w:iCs/>
          <w:sz w:val="22"/>
          <w:szCs w:val="22"/>
        </w:rPr>
      </w:pPr>
      <w:r w:rsidRPr="002E0E15">
        <w:rPr>
          <w:rFonts w:ascii="Bookman Old Style" w:hAnsi="Bookman Old Style" w:cs="Arial"/>
          <w:i/>
          <w:iCs/>
        </w:rPr>
        <w:t>No existen diagramas unifilares en la PCH y en la planta de generación Diésel.</w:t>
      </w:r>
      <w:r w:rsidR="002E0E15" w:rsidRPr="002E0E15">
        <w:rPr>
          <w:rFonts w:ascii="Bookman Old Style" w:hAnsi="Bookman Old Style" w:cs="Arial"/>
          <w:i/>
          <w:iCs/>
        </w:rPr>
        <w:t xml:space="preserve"> </w:t>
      </w:r>
    </w:p>
    <w:p w14:paraId="36E156F7" w14:textId="241A39FE" w:rsidR="00F83880" w:rsidRPr="002E0E15" w:rsidRDefault="00F83880" w:rsidP="007E255E">
      <w:pPr>
        <w:pStyle w:val="Prrafodelista"/>
        <w:numPr>
          <w:ilvl w:val="0"/>
          <w:numId w:val="15"/>
        </w:numPr>
        <w:ind w:left="851" w:hanging="284"/>
        <w:contextualSpacing/>
        <w:jc w:val="both"/>
        <w:rPr>
          <w:rFonts w:ascii="Bookman Old Style" w:hAnsi="Bookman Old Style" w:cs="Arial"/>
          <w:i/>
          <w:iCs/>
          <w:sz w:val="22"/>
          <w:szCs w:val="22"/>
        </w:rPr>
      </w:pPr>
      <w:r w:rsidRPr="002E0E15">
        <w:rPr>
          <w:rFonts w:ascii="Bookman Old Style" w:hAnsi="Bookman Old Style" w:cs="Arial"/>
          <w:i/>
          <w:iCs/>
        </w:rPr>
        <w:t>No existen diagramas unifilares en la planta de generación Diésel</w:t>
      </w:r>
      <w:r w:rsidR="00117A00">
        <w:rPr>
          <w:rFonts w:ascii="Bookman Old Style" w:hAnsi="Bookman Old Style" w:cs="Arial"/>
          <w:i/>
          <w:iCs/>
        </w:rPr>
        <w:t>. (…)</w:t>
      </w:r>
      <w:r w:rsidRPr="002E0E15">
        <w:rPr>
          <w:rFonts w:ascii="Bookman Old Style" w:hAnsi="Bookman Old Style" w:cs="Arial"/>
          <w:i/>
          <w:iCs/>
        </w:rPr>
        <w:t>”</w:t>
      </w:r>
    </w:p>
    <w:p w14:paraId="7DD20D41" w14:textId="77777777" w:rsidR="00F83880" w:rsidRPr="0086458B" w:rsidRDefault="00F83880" w:rsidP="00E57F55">
      <w:pPr>
        <w:ind w:left="284"/>
        <w:contextualSpacing/>
        <w:jc w:val="both"/>
        <w:rPr>
          <w:rFonts w:ascii="Bookman Old Style" w:hAnsi="Bookman Old Style" w:cs="Arial"/>
          <w:highlight w:val="yellow"/>
        </w:rPr>
      </w:pPr>
    </w:p>
    <w:p w14:paraId="7A5124AD" w14:textId="4736680B" w:rsidR="00313EF0" w:rsidRDefault="00EA369C"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 xml:space="preserve">Con </w:t>
      </w:r>
      <w:r w:rsidR="002723BB" w:rsidRPr="0086458B">
        <w:rPr>
          <w:rFonts w:ascii="Bookman Old Style" w:eastAsia="MS Mincho" w:hAnsi="Bookman Old Style" w:cs="Arial"/>
        </w:rPr>
        <w:t>radicado CREG E-2021-00</w:t>
      </w:r>
      <w:r w:rsidR="00EE4152" w:rsidRPr="0086458B">
        <w:rPr>
          <w:rFonts w:ascii="Bookman Old Style" w:eastAsia="MS Mincho" w:hAnsi="Bookman Old Style" w:cs="Arial"/>
        </w:rPr>
        <w:t>4699</w:t>
      </w:r>
      <w:r w:rsidR="008137CF" w:rsidRPr="0086458B">
        <w:rPr>
          <w:rFonts w:ascii="Bookman Old Style" w:eastAsia="MS Mincho" w:hAnsi="Bookman Old Style" w:cs="Arial"/>
        </w:rPr>
        <w:t xml:space="preserve">, </w:t>
      </w:r>
      <w:r w:rsidR="002723BB" w:rsidRPr="0086458B">
        <w:rPr>
          <w:rFonts w:ascii="Bookman Old Style" w:eastAsia="MS Mincho" w:hAnsi="Bookman Old Style" w:cs="Arial"/>
        </w:rPr>
        <w:t xml:space="preserve">GENSA </w:t>
      </w:r>
      <w:r w:rsidR="00EE4152" w:rsidRPr="0086458B">
        <w:rPr>
          <w:rFonts w:ascii="Bookman Old Style" w:eastAsia="MS Mincho" w:hAnsi="Bookman Old Style" w:cs="Arial"/>
        </w:rPr>
        <w:t xml:space="preserve">se pronunció sobre el contenido de las </w:t>
      </w:r>
      <w:r w:rsidR="002723BB" w:rsidRPr="0086458B">
        <w:rPr>
          <w:rFonts w:ascii="Bookman Old Style" w:eastAsia="MS Mincho" w:hAnsi="Bookman Old Style" w:cs="Arial"/>
        </w:rPr>
        <w:t>comunicaci</w:t>
      </w:r>
      <w:r w:rsidR="00EE4152" w:rsidRPr="0086458B">
        <w:rPr>
          <w:rFonts w:ascii="Bookman Old Style" w:eastAsia="MS Mincho" w:hAnsi="Bookman Old Style" w:cs="Arial"/>
        </w:rPr>
        <w:t>ones con</w:t>
      </w:r>
      <w:r w:rsidR="003E6A54" w:rsidRPr="0086458B">
        <w:rPr>
          <w:rFonts w:ascii="Bookman Old Style" w:eastAsia="MS Mincho" w:hAnsi="Bookman Old Style" w:cs="Arial"/>
        </w:rPr>
        <w:t xml:space="preserve"> radicado</w:t>
      </w:r>
      <w:r w:rsidR="007E255E">
        <w:rPr>
          <w:rFonts w:ascii="Bookman Old Style" w:eastAsia="MS Mincho" w:hAnsi="Bookman Old Style" w:cs="Arial"/>
        </w:rPr>
        <w:t>s</w:t>
      </w:r>
      <w:r w:rsidR="002723BB" w:rsidRPr="0086458B">
        <w:rPr>
          <w:rFonts w:ascii="Bookman Old Style" w:eastAsia="MS Mincho" w:hAnsi="Bookman Old Style" w:cs="Arial"/>
        </w:rPr>
        <w:t xml:space="preserve"> CREG E-2021-00</w:t>
      </w:r>
      <w:r w:rsidR="00326826" w:rsidRPr="0086458B">
        <w:rPr>
          <w:rFonts w:ascii="Bookman Old Style" w:eastAsia="MS Mincho" w:hAnsi="Bookman Old Style" w:cs="Arial"/>
        </w:rPr>
        <w:t>1977 y E-2021-003201</w:t>
      </w:r>
      <w:r w:rsidR="002723BB" w:rsidRPr="0086458B">
        <w:rPr>
          <w:rFonts w:ascii="Bookman Old Style" w:eastAsia="MS Mincho" w:hAnsi="Bookman Old Style" w:cs="Arial"/>
        </w:rPr>
        <w:t xml:space="preserve">, </w:t>
      </w:r>
      <w:r w:rsidR="009620BC">
        <w:rPr>
          <w:rFonts w:ascii="Bookman Old Style" w:eastAsia="MS Mincho" w:hAnsi="Bookman Old Style" w:cs="Arial"/>
        </w:rPr>
        <w:t xml:space="preserve">de DUE y del MME, respectivamente, </w:t>
      </w:r>
      <w:r w:rsidR="00313EF0">
        <w:rPr>
          <w:rFonts w:ascii="Bookman Old Style" w:eastAsia="MS Mincho" w:hAnsi="Bookman Old Style" w:cs="Arial"/>
        </w:rPr>
        <w:t>en el siguiente sentido:</w:t>
      </w:r>
    </w:p>
    <w:p w14:paraId="7F819FC2" w14:textId="77777777" w:rsidR="003A1744" w:rsidRPr="0086458B" w:rsidRDefault="003A1744" w:rsidP="00E57F55">
      <w:pPr>
        <w:ind w:left="284"/>
        <w:contextualSpacing/>
        <w:jc w:val="both"/>
        <w:rPr>
          <w:rFonts w:ascii="Bookman Old Style" w:eastAsia="MS Mincho" w:hAnsi="Bookman Old Style" w:cs="Arial"/>
        </w:rPr>
      </w:pPr>
    </w:p>
    <w:p w14:paraId="48228568" w14:textId="65D417D9" w:rsidR="00F14D03" w:rsidRDefault="00CA2EE5" w:rsidP="007E255E">
      <w:pPr>
        <w:ind w:left="567"/>
        <w:contextualSpacing/>
        <w:jc w:val="both"/>
        <w:rPr>
          <w:rFonts w:ascii="Bookman Old Style" w:eastAsia="MS Mincho" w:hAnsi="Bookman Old Style" w:cs="Arial"/>
          <w:i/>
          <w:iCs/>
          <w:sz w:val="20"/>
          <w:szCs w:val="20"/>
        </w:rPr>
      </w:pPr>
      <w:r w:rsidRPr="005C6472">
        <w:rPr>
          <w:rFonts w:ascii="Bookman Old Style" w:eastAsia="MS Mincho" w:hAnsi="Bookman Old Style" w:cs="Arial"/>
          <w:i/>
          <w:iCs/>
          <w:sz w:val="20"/>
          <w:szCs w:val="20"/>
        </w:rPr>
        <w:t>“</w:t>
      </w:r>
      <w:r w:rsidR="005C6472">
        <w:rPr>
          <w:rFonts w:ascii="Bookman Old Style" w:eastAsia="MS Mincho" w:hAnsi="Bookman Old Style" w:cs="Arial"/>
          <w:i/>
          <w:iCs/>
          <w:sz w:val="20"/>
          <w:szCs w:val="20"/>
        </w:rPr>
        <w:t>(…)</w:t>
      </w:r>
      <w:r w:rsidR="00A733B7">
        <w:rPr>
          <w:rFonts w:ascii="Bookman Old Style" w:eastAsia="MS Mincho" w:hAnsi="Bookman Old Style" w:cs="Arial"/>
          <w:i/>
          <w:iCs/>
          <w:sz w:val="20"/>
          <w:szCs w:val="20"/>
        </w:rPr>
        <w:t xml:space="preserve"> </w:t>
      </w:r>
      <w:r w:rsidR="00F14D03" w:rsidRPr="00F14D03">
        <w:rPr>
          <w:rFonts w:ascii="Bookman Old Style" w:eastAsia="MS Mincho" w:hAnsi="Bookman Old Style" w:cs="Arial"/>
          <w:i/>
          <w:iCs/>
          <w:sz w:val="20"/>
          <w:szCs w:val="20"/>
        </w:rPr>
        <w:t>Como es bien sabido por la CREG y por DUE CAPITAL, la posición de GENSA, frente al pro</w:t>
      </w:r>
      <w:r w:rsidR="0011291E">
        <w:rPr>
          <w:rFonts w:ascii="Bookman Old Style" w:eastAsia="MS Mincho" w:hAnsi="Bookman Old Style" w:cs="Arial"/>
          <w:i/>
          <w:iCs/>
          <w:sz w:val="20"/>
          <w:szCs w:val="20"/>
        </w:rPr>
        <w:t>c</w:t>
      </w:r>
      <w:r w:rsidR="00F14D03" w:rsidRPr="00F14D03">
        <w:rPr>
          <w:rFonts w:ascii="Bookman Old Style" w:eastAsia="MS Mincho" w:hAnsi="Bookman Old Style" w:cs="Arial"/>
          <w:i/>
          <w:iCs/>
          <w:sz w:val="20"/>
          <w:szCs w:val="20"/>
        </w:rPr>
        <w:t>edimiento administrativo de la referencia, es que el mismo es improcedente en la medida Que ni la ley, ni la regulación, establecen el derecho de acceso a activos de generación, los cuales son el objeto de la solicitud de conexión DUE CAPITAL.</w:t>
      </w:r>
    </w:p>
    <w:p w14:paraId="6A6CB241" w14:textId="77777777" w:rsidR="005941E6" w:rsidRPr="00F14D03" w:rsidRDefault="005941E6" w:rsidP="007E255E">
      <w:pPr>
        <w:ind w:left="567"/>
        <w:contextualSpacing/>
        <w:jc w:val="both"/>
        <w:rPr>
          <w:rFonts w:ascii="Bookman Old Style" w:eastAsia="MS Mincho" w:hAnsi="Bookman Old Style" w:cs="Arial"/>
          <w:i/>
          <w:iCs/>
          <w:sz w:val="20"/>
          <w:szCs w:val="20"/>
        </w:rPr>
      </w:pPr>
    </w:p>
    <w:p w14:paraId="09792F63" w14:textId="2222A4E9" w:rsidR="00A733B7" w:rsidRDefault="00F14D03" w:rsidP="007E255E">
      <w:pPr>
        <w:ind w:left="567"/>
        <w:contextualSpacing/>
        <w:jc w:val="both"/>
        <w:rPr>
          <w:rFonts w:ascii="Bookman Old Style" w:eastAsia="MS Mincho" w:hAnsi="Bookman Old Style" w:cs="Arial"/>
          <w:i/>
          <w:iCs/>
          <w:sz w:val="20"/>
          <w:szCs w:val="20"/>
        </w:rPr>
      </w:pPr>
      <w:r w:rsidRPr="00F14D03">
        <w:rPr>
          <w:rFonts w:ascii="Bookman Old Style" w:eastAsia="MS Mincho" w:hAnsi="Bookman Old Style" w:cs="Arial"/>
          <w:i/>
          <w:iCs/>
          <w:sz w:val="20"/>
          <w:szCs w:val="20"/>
        </w:rPr>
        <w:t xml:space="preserve">Siendo así, con anterioridad al presente procedimiento administrativo, y durante el trámite de este, GENSA ha manifestado que no es viable dar trámite a la solicitud de conexión de </w:t>
      </w:r>
      <w:r w:rsidR="001E3A34">
        <w:rPr>
          <w:rFonts w:ascii="Bookman Old Style" w:eastAsia="MS Mincho" w:hAnsi="Bookman Old Style" w:cs="Arial"/>
          <w:i/>
          <w:iCs/>
          <w:sz w:val="20"/>
          <w:szCs w:val="20"/>
        </w:rPr>
        <w:t>D</w:t>
      </w:r>
      <w:r w:rsidRPr="00F14D03">
        <w:rPr>
          <w:rFonts w:ascii="Bookman Old Style" w:eastAsia="MS Mincho" w:hAnsi="Bookman Old Style" w:cs="Arial"/>
          <w:i/>
          <w:iCs/>
          <w:sz w:val="20"/>
          <w:szCs w:val="20"/>
        </w:rPr>
        <w:t>UE CAPITAL, principalmente, porque dicha conexión no está prevista en la regulación, y porque GENSA no es un distribuidor y/o transmisor que esté obligado a ella.</w:t>
      </w:r>
      <w:r w:rsidR="005941E6">
        <w:rPr>
          <w:rFonts w:ascii="Bookman Old Style" w:eastAsia="MS Mincho" w:hAnsi="Bookman Old Style" w:cs="Arial"/>
          <w:i/>
          <w:iCs/>
          <w:sz w:val="20"/>
          <w:szCs w:val="20"/>
        </w:rPr>
        <w:t xml:space="preserve"> (…)</w:t>
      </w:r>
    </w:p>
    <w:p w14:paraId="0E358D3E" w14:textId="77777777" w:rsidR="00047184" w:rsidRDefault="00047184" w:rsidP="007E255E">
      <w:pPr>
        <w:ind w:left="567"/>
        <w:contextualSpacing/>
        <w:jc w:val="both"/>
        <w:rPr>
          <w:rFonts w:ascii="Bookman Old Style" w:eastAsia="MS Mincho" w:hAnsi="Bookman Old Style" w:cs="Arial"/>
          <w:i/>
          <w:iCs/>
          <w:sz w:val="20"/>
          <w:szCs w:val="20"/>
        </w:rPr>
      </w:pPr>
    </w:p>
    <w:p w14:paraId="3BC885EE" w14:textId="6CE287E0" w:rsidR="00047184" w:rsidRDefault="00047184" w:rsidP="007E255E">
      <w:pPr>
        <w:ind w:left="567"/>
        <w:contextualSpacing/>
        <w:jc w:val="both"/>
        <w:rPr>
          <w:rFonts w:ascii="Bookman Old Style" w:eastAsia="MS Mincho" w:hAnsi="Bookman Old Style" w:cs="Arial"/>
          <w:i/>
          <w:iCs/>
          <w:sz w:val="20"/>
          <w:szCs w:val="20"/>
        </w:rPr>
      </w:pPr>
      <w:r w:rsidRPr="00047184">
        <w:rPr>
          <w:rFonts w:ascii="Bookman Old Style" w:eastAsia="MS Mincho" w:hAnsi="Bookman Old Style" w:cs="Arial"/>
          <w:i/>
          <w:iCs/>
          <w:sz w:val="20"/>
          <w:szCs w:val="20"/>
        </w:rPr>
        <w:t>Informamos que con posterioridad a la comunicación CREG E-2021</w:t>
      </w:r>
      <w:r w:rsidR="00097358">
        <w:rPr>
          <w:rFonts w:ascii="Bookman Old Style" w:eastAsia="MS Mincho" w:hAnsi="Bookman Old Style" w:cs="Arial"/>
          <w:i/>
          <w:iCs/>
          <w:sz w:val="20"/>
          <w:szCs w:val="20"/>
        </w:rPr>
        <w:t>-</w:t>
      </w:r>
      <w:r w:rsidRPr="00047184">
        <w:rPr>
          <w:rFonts w:ascii="Bookman Old Style" w:eastAsia="MS Mincho" w:hAnsi="Bookman Old Style" w:cs="Arial"/>
          <w:i/>
          <w:iCs/>
          <w:sz w:val="20"/>
          <w:szCs w:val="20"/>
        </w:rPr>
        <w:t>00008</w:t>
      </w:r>
      <w:r w:rsidR="00097358">
        <w:rPr>
          <w:rFonts w:ascii="Bookman Old Style" w:eastAsia="Bookman Old Style" w:hAnsi="Bookman Old Style" w:cs="Bookman Old Style"/>
          <w:i/>
          <w:iCs/>
          <w:sz w:val="20"/>
          <w:szCs w:val="20"/>
        </w:rPr>
        <w:t>3</w:t>
      </w:r>
      <w:r w:rsidRPr="00047184">
        <w:rPr>
          <w:rFonts w:ascii="Bookman Old Style" w:eastAsia="MS Mincho" w:hAnsi="Bookman Old Style" w:cs="Arial"/>
          <w:i/>
          <w:iCs/>
          <w:sz w:val="20"/>
          <w:szCs w:val="20"/>
        </w:rPr>
        <w:t xml:space="preserve"> del 02 de septiembre de 2020 y a la respuesta entregada por GENSA con radicado CREG E-2021-001266 el 25 de enero de 2021, se realizó una reunión técnica con el equipo de </w:t>
      </w:r>
      <w:r w:rsidR="00097358">
        <w:rPr>
          <w:rFonts w:ascii="Bookman Old Style" w:eastAsia="MS Mincho" w:hAnsi="Bookman Old Style" w:cs="Arial"/>
          <w:i/>
          <w:iCs/>
          <w:sz w:val="20"/>
          <w:szCs w:val="20"/>
        </w:rPr>
        <w:t>D</w:t>
      </w:r>
      <w:r w:rsidRPr="00047184">
        <w:rPr>
          <w:rFonts w:ascii="Bookman Old Style" w:eastAsia="MS Mincho" w:hAnsi="Bookman Old Style" w:cs="Arial"/>
          <w:i/>
          <w:iCs/>
          <w:sz w:val="20"/>
          <w:szCs w:val="20"/>
        </w:rPr>
        <w:t xml:space="preserve">UE CAPITAL y su consultor GERS, con el fin de revisar la información requerida para la realización de los estudios complementarios y la información técnica disponible por GENSA. la cual fue enviada a </w:t>
      </w:r>
      <w:r w:rsidR="000E0DCC">
        <w:rPr>
          <w:rFonts w:ascii="Bookman Old Style" w:eastAsia="MS Mincho" w:hAnsi="Bookman Old Style" w:cs="Arial"/>
          <w:i/>
          <w:iCs/>
          <w:sz w:val="20"/>
          <w:szCs w:val="20"/>
        </w:rPr>
        <w:t>D</w:t>
      </w:r>
      <w:r w:rsidRPr="00047184">
        <w:rPr>
          <w:rFonts w:ascii="Bookman Old Style" w:eastAsia="MS Mincho" w:hAnsi="Bookman Old Style" w:cs="Arial"/>
          <w:i/>
          <w:iCs/>
          <w:sz w:val="20"/>
          <w:szCs w:val="20"/>
        </w:rPr>
        <w:t>UE CAPITAL electrónicamente los días 20 y 21 de enero y 3 de febrero de 2021.</w:t>
      </w:r>
    </w:p>
    <w:p w14:paraId="5713D2E4" w14:textId="77777777" w:rsidR="000E0DCC" w:rsidRPr="00047184" w:rsidRDefault="000E0DCC" w:rsidP="007E255E">
      <w:pPr>
        <w:ind w:left="567"/>
        <w:contextualSpacing/>
        <w:jc w:val="both"/>
        <w:rPr>
          <w:rFonts w:ascii="Bookman Old Style" w:eastAsia="MS Mincho" w:hAnsi="Bookman Old Style" w:cs="Arial"/>
          <w:i/>
          <w:iCs/>
          <w:sz w:val="20"/>
          <w:szCs w:val="20"/>
        </w:rPr>
      </w:pPr>
    </w:p>
    <w:p w14:paraId="16C6C39F" w14:textId="2E8E679F" w:rsidR="00047184" w:rsidRDefault="00047184" w:rsidP="007E255E">
      <w:pPr>
        <w:ind w:left="567"/>
        <w:contextualSpacing/>
        <w:jc w:val="both"/>
        <w:rPr>
          <w:rFonts w:ascii="Bookman Old Style" w:eastAsia="MS Mincho" w:hAnsi="Bookman Old Style" w:cs="Arial"/>
          <w:i/>
          <w:iCs/>
          <w:sz w:val="20"/>
          <w:szCs w:val="20"/>
        </w:rPr>
      </w:pPr>
      <w:r w:rsidRPr="00047184">
        <w:rPr>
          <w:rFonts w:ascii="Bookman Old Style" w:eastAsia="MS Mincho" w:hAnsi="Bookman Old Style" w:cs="Arial"/>
          <w:i/>
          <w:iCs/>
          <w:sz w:val="20"/>
          <w:szCs w:val="20"/>
        </w:rPr>
        <w:t>Adicionalmente, GENSA ha realizado gestiones con los fabricantes de las unidades de generación diésel y unidades hidráulicas, con el fin de contar con la totalidad de información requerida, sin embargo, por aspectos de confidencialidad, no es posible acceder a la totalidad de dicha información.</w:t>
      </w:r>
    </w:p>
    <w:p w14:paraId="6DD14DB9" w14:textId="77777777" w:rsidR="000E0DCC" w:rsidRPr="00047184" w:rsidRDefault="000E0DCC" w:rsidP="007E255E">
      <w:pPr>
        <w:ind w:left="567"/>
        <w:contextualSpacing/>
        <w:jc w:val="both"/>
        <w:rPr>
          <w:rFonts w:ascii="Bookman Old Style" w:eastAsia="MS Mincho" w:hAnsi="Bookman Old Style" w:cs="Arial"/>
          <w:i/>
          <w:iCs/>
          <w:sz w:val="20"/>
          <w:szCs w:val="20"/>
        </w:rPr>
      </w:pPr>
    </w:p>
    <w:p w14:paraId="1AF3E063" w14:textId="5DD819B5" w:rsidR="00047184" w:rsidRDefault="00047184" w:rsidP="007E255E">
      <w:pPr>
        <w:ind w:left="567"/>
        <w:contextualSpacing/>
        <w:jc w:val="both"/>
        <w:rPr>
          <w:rFonts w:ascii="Bookman Old Style" w:eastAsia="MS Mincho" w:hAnsi="Bookman Old Style" w:cs="Arial"/>
          <w:i/>
          <w:iCs/>
          <w:sz w:val="20"/>
          <w:szCs w:val="20"/>
        </w:rPr>
      </w:pPr>
      <w:r w:rsidRPr="00047184">
        <w:rPr>
          <w:rFonts w:ascii="Bookman Old Style" w:eastAsia="MS Mincho" w:hAnsi="Bookman Old Style" w:cs="Arial"/>
          <w:i/>
          <w:iCs/>
          <w:sz w:val="20"/>
          <w:szCs w:val="20"/>
        </w:rPr>
        <w:t>Sin perjuicio de lo anterior, a continuación· respondemos las consultas real</w:t>
      </w:r>
      <w:r w:rsidR="000E0DCC">
        <w:rPr>
          <w:rFonts w:ascii="Bookman Old Style" w:eastAsia="MS Mincho" w:hAnsi="Bookman Old Style" w:cs="Arial"/>
          <w:i/>
          <w:iCs/>
          <w:sz w:val="20"/>
          <w:szCs w:val="20"/>
        </w:rPr>
        <w:t>i</w:t>
      </w:r>
      <w:r w:rsidRPr="00047184">
        <w:rPr>
          <w:rFonts w:ascii="Bookman Old Style" w:eastAsia="MS Mincho" w:hAnsi="Bookman Old Style" w:cs="Arial"/>
          <w:i/>
          <w:iCs/>
          <w:sz w:val="20"/>
          <w:szCs w:val="20"/>
        </w:rPr>
        <w:t>zadas por DUE CAPITAL. en el mismo orden en que las mismas fueron efectuadas:</w:t>
      </w:r>
      <w:r w:rsidR="000E0DCC">
        <w:rPr>
          <w:rFonts w:ascii="Bookman Old Style" w:eastAsia="MS Mincho" w:hAnsi="Bookman Old Style" w:cs="Arial"/>
          <w:i/>
          <w:iCs/>
          <w:sz w:val="20"/>
          <w:szCs w:val="20"/>
        </w:rPr>
        <w:t xml:space="preserve"> (…)</w:t>
      </w:r>
    </w:p>
    <w:p w14:paraId="0480FEE4" w14:textId="77777777" w:rsidR="00A733B7" w:rsidRDefault="00A733B7" w:rsidP="007E255E">
      <w:pPr>
        <w:ind w:left="567"/>
        <w:contextualSpacing/>
        <w:jc w:val="both"/>
        <w:rPr>
          <w:rFonts w:ascii="Bookman Old Style" w:eastAsia="MS Mincho" w:hAnsi="Bookman Old Style" w:cs="Arial"/>
          <w:i/>
          <w:iCs/>
          <w:sz w:val="20"/>
          <w:szCs w:val="20"/>
        </w:rPr>
      </w:pPr>
    </w:p>
    <w:p w14:paraId="33F81781" w14:textId="116C5ED6" w:rsidR="00A733B7" w:rsidRDefault="00D61A8A" w:rsidP="007E255E">
      <w:pPr>
        <w:ind w:left="567"/>
        <w:contextualSpacing/>
        <w:jc w:val="both"/>
        <w:rPr>
          <w:rFonts w:ascii="Bookman Old Style" w:eastAsia="MS Mincho" w:hAnsi="Bookman Old Style" w:cs="Arial"/>
          <w:i/>
          <w:iCs/>
          <w:sz w:val="20"/>
          <w:szCs w:val="20"/>
        </w:rPr>
      </w:pPr>
      <w:r>
        <w:rPr>
          <w:rFonts w:ascii="Bookman Old Style" w:eastAsia="MS Mincho" w:hAnsi="Bookman Old Style" w:cs="Arial"/>
          <w:i/>
          <w:iCs/>
          <w:sz w:val="20"/>
          <w:szCs w:val="20"/>
        </w:rPr>
        <w:t xml:space="preserve">1.9 </w:t>
      </w:r>
      <w:r w:rsidR="00543EAA" w:rsidRPr="00543EAA">
        <w:rPr>
          <w:rFonts w:ascii="Bookman Old Style" w:eastAsia="MS Mincho" w:hAnsi="Bookman Old Style" w:cs="Arial"/>
          <w:i/>
          <w:iCs/>
          <w:sz w:val="20"/>
          <w:szCs w:val="20"/>
        </w:rPr>
        <w:t>Máxima capacidad para corrientes de falla que pueden soportar cada uno de los barrajes del área de influencia, ya sea por características constructivas de las mismas o por las especificaciones de CTs o interruptores asociados.</w:t>
      </w:r>
    </w:p>
    <w:p w14:paraId="5B5ABC9B" w14:textId="77777777" w:rsidR="00A733B7" w:rsidRDefault="00A733B7" w:rsidP="007E255E">
      <w:pPr>
        <w:ind w:left="567"/>
        <w:contextualSpacing/>
        <w:jc w:val="both"/>
        <w:rPr>
          <w:rFonts w:ascii="Bookman Old Style" w:eastAsia="MS Mincho" w:hAnsi="Bookman Old Style" w:cs="Arial"/>
          <w:i/>
          <w:iCs/>
          <w:sz w:val="20"/>
          <w:szCs w:val="20"/>
        </w:rPr>
      </w:pPr>
    </w:p>
    <w:p w14:paraId="18047B65" w14:textId="00A5DAB7" w:rsidR="00641AC8" w:rsidRDefault="00531AA4" w:rsidP="007E255E">
      <w:pPr>
        <w:ind w:left="567"/>
        <w:contextualSpacing/>
        <w:jc w:val="both"/>
        <w:rPr>
          <w:rFonts w:ascii="Bookman Old Style" w:eastAsia="MS Mincho" w:hAnsi="Bookman Old Style" w:cs="Arial"/>
          <w:i/>
          <w:iCs/>
          <w:sz w:val="20"/>
          <w:szCs w:val="20"/>
        </w:rPr>
      </w:pPr>
      <w:r w:rsidRPr="00531AA4">
        <w:rPr>
          <w:rFonts w:ascii="Bookman Old Style" w:eastAsia="MS Mincho" w:hAnsi="Bookman Old Style" w:cs="Arial"/>
          <w:i/>
          <w:iCs/>
          <w:sz w:val="20"/>
          <w:szCs w:val="20"/>
        </w:rPr>
        <w:t xml:space="preserve">GENSA no cuenta con dicha </w:t>
      </w:r>
      <w:r>
        <w:rPr>
          <w:rFonts w:ascii="Bookman Old Style" w:eastAsia="MS Mincho" w:hAnsi="Bookman Old Style" w:cs="Arial"/>
          <w:i/>
          <w:iCs/>
          <w:sz w:val="20"/>
          <w:szCs w:val="20"/>
        </w:rPr>
        <w:t>i</w:t>
      </w:r>
      <w:r w:rsidRPr="00531AA4">
        <w:rPr>
          <w:rFonts w:ascii="Bookman Old Style" w:eastAsia="MS Mincho" w:hAnsi="Bookman Old Style" w:cs="Arial"/>
          <w:i/>
          <w:iCs/>
          <w:sz w:val="20"/>
          <w:szCs w:val="20"/>
        </w:rPr>
        <w:t>nform</w:t>
      </w:r>
      <w:r>
        <w:rPr>
          <w:rFonts w:ascii="Bookman Old Style" w:eastAsia="MS Mincho" w:hAnsi="Bookman Old Style" w:cs="Arial"/>
          <w:i/>
          <w:iCs/>
          <w:sz w:val="20"/>
          <w:szCs w:val="20"/>
        </w:rPr>
        <w:t>a</w:t>
      </w:r>
      <w:r w:rsidRPr="00531AA4">
        <w:rPr>
          <w:rFonts w:ascii="Bookman Old Style" w:eastAsia="MS Mincho" w:hAnsi="Bookman Old Style" w:cs="Arial"/>
          <w:i/>
          <w:iCs/>
          <w:sz w:val="20"/>
          <w:szCs w:val="20"/>
        </w:rPr>
        <w:t xml:space="preserve">ción, </w:t>
      </w:r>
      <w:r>
        <w:rPr>
          <w:rFonts w:ascii="Bookman Old Style" w:eastAsia="MS Mincho" w:hAnsi="Bookman Old Style" w:cs="Arial"/>
          <w:i/>
          <w:iCs/>
          <w:sz w:val="20"/>
          <w:szCs w:val="20"/>
        </w:rPr>
        <w:t xml:space="preserve">posee únicamente </w:t>
      </w:r>
      <w:r w:rsidR="0008604C">
        <w:rPr>
          <w:rFonts w:ascii="Bookman Old Style" w:eastAsia="MS Mincho" w:hAnsi="Bookman Old Style" w:cs="Arial"/>
          <w:i/>
          <w:iCs/>
          <w:sz w:val="20"/>
          <w:szCs w:val="20"/>
        </w:rPr>
        <w:t xml:space="preserve">los diagramas unifiliares de la central y las características de los equipos de baja, media tensión y barraje de </w:t>
      </w:r>
      <w:r w:rsidRPr="00531AA4">
        <w:rPr>
          <w:rFonts w:ascii="Bookman Old Style" w:eastAsia="MS Mincho" w:hAnsi="Bookman Old Style" w:cs="Arial"/>
          <w:i/>
          <w:iCs/>
          <w:sz w:val="20"/>
          <w:szCs w:val="20"/>
        </w:rPr>
        <w:t xml:space="preserve">sincronismo </w:t>
      </w:r>
      <w:r w:rsidR="008303E6">
        <w:rPr>
          <w:rFonts w:ascii="Bookman Old Style" w:eastAsia="MS Mincho" w:hAnsi="Bookman Old Style" w:cs="Arial"/>
          <w:i/>
          <w:iCs/>
          <w:sz w:val="20"/>
          <w:szCs w:val="20"/>
        </w:rPr>
        <w:t>i</w:t>
      </w:r>
      <w:r w:rsidRPr="00531AA4">
        <w:rPr>
          <w:rFonts w:ascii="Bookman Old Style" w:eastAsia="MS Mincho" w:hAnsi="Bookman Old Style" w:cs="Arial"/>
          <w:i/>
          <w:iCs/>
          <w:sz w:val="20"/>
          <w:szCs w:val="20"/>
        </w:rPr>
        <w:t>ncluyendo un</w:t>
      </w:r>
      <w:r w:rsidR="008303E6">
        <w:rPr>
          <w:rFonts w:ascii="Bookman Old Style" w:eastAsia="MS Mincho" w:hAnsi="Bookman Old Style" w:cs="Arial"/>
          <w:i/>
          <w:iCs/>
          <w:sz w:val="20"/>
          <w:szCs w:val="20"/>
        </w:rPr>
        <w:t xml:space="preserve">a modernización realizada recientemente, información que </w:t>
      </w:r>
      <w:r w:rsidRPr="00531AA4">
        <w:rPr>
          <w:rFonts w:ascii="Bookman Old Style" w:eastAsia="MS Mincho" w:hAnsi="Bookman Old Style" w:cs="Arial"/>
          <w:i/>
          <w:iCs/>
          <w:sz w:val="20"/>
          <w:szCs w:val="20"/>
        </w:rPr>
        <w:t xml:space="preserve">se entregará a DUE CAPITAL, sin </w:t>
      </w:r>
      <w:r w:rsidR="00641AC8">
        <w:rPr>
          <w:rFonts w:ascii="Bookman Old Style" w:eastAsia="MS Mincho" w:hAnsi="Bookman Old Style" w:cs="Arial"/>
          <w:i/>
          <w:iCs/>
          <w:sz w:val="20"/>
          <w:szCs w:val="20"/>
        </w:rPr>
        <w:t>e</w:t>
      </w:r>
      <w:r w:rsidRPr="00531AA4">
        <w:rPr>
          <w:rFonts w:ascii="Bookman Old Style" w:eastAsia="MS Mincho" w:hAnsi="Bookman Old Style" w:cs="Arial"/>
          <w:i/>
          <w:iCs/>
          <w:sz w:val="20"/>
          <w:szCs w:val="20"/>
        </w:rPr>
        <w:t>mb</w:t>
      </w:r>
      <w:r w:rsidR="00641AC8">
        <w:rPr>
          <w:rFonts w:ascii="Bookman Old Style" w:eastAsia="MS Mincho" w:hAnsi="Bookman Old Style" w:cs="Arial"/>
          <w:i/>
          <w:iCs/>
          <w:sz w:val="20"/>
          <w:szCs w:val="20"/>
        </w:rPr>
        <w:t>a</w:t>
      </w:r>
      <w:r w:rsidRPr="00531AA4">
        <w:rPr>
          <w:rFonts w:ascii="Bookman Old Style" w:eastAsia="MS Mincho" w:hAnsi="Bookman Old Style" w:cs="Arial"/>
          <w:i/>
          <w:iCs/>
          <w:sz w:val="20"/>
          <w:szCs w:val="20"/>
        </w:rPr>
        <w:t xml:space="preserve">rgo, </w:t>
      </w:r>
      <w:r w:rsidR="00641AC8">
        <w:rPr>
          <w:rFonts w:ascii="Bookman Old Style" w:eastAsia="MS Mincho" w:hAnsi="Bookman Old Style" w:cs="Arial"/>
          <w:i/>
          <w:iCs/>
          <w:sz w:val="20"/>
          <w:szCs w:val="20"/>
        </w:rPr>
        <w:t xml:space="preserve">cualquier información adicional que se requiera debe ser buscada </w:t>
      </w:r>
      <w:r w:rsidR="00423661">
        <w:rPr>
          <w:rFonts w:ascii="Bookman Old Style" w:eastAsia="MS Mincho" w:hAnsi="Bookman Old Style" w:cs="Arial"/>
          <w:i/>
          <w:iCs/>
          <w:sz w:val="20"/>
          <w:szCs w:val="20"/>
        </w:rPr>
        <w:t xml:space="preserve">y analizada directamente por el promotor del proyecto solar, en este caso DUE CAPITAL. Por parte de GENSA </w:t>
      </w:r>
      <w:r w:rsidR="00B072FF">
        <w:rPr>
          <w:rFonts w:ascii="Bookman Old Style" w:eastAsia="MS Mincho" w:hAnsi="Bookman Old Style" w:cs="Arial"/>
          <w:i/>
          <w:iCs/>
          <w:sz w:val="20"/>
          <w:szCs w:val="20"/>
        </w:rPr>
        <w:t xml:space="preserve">se tiene toda la disposición de atender visitas técnicas en sus instalaciones, así como se ha hecho en otras oportunidades. </w:t>
      </w:r>
      <w:r w:rsidR="00963DDE">
        <w:rPr>
          <w:rFonts w:ascii="Bookman Old Style" w:eastAsia="MS Mincho" w:hAnsi="Bookman Old Style" w:cs="Arial"/>
          <w:i/>
          <w:iCs/>
          <w:sz w:val="20"/>
          <w:szCs w:val="20"/>
        </w:rPr>
        <w:t>(…)</w:t>
      </w:r>
    </w:p>
    <w:p w14:paraId="04789D9C" w14:textId="77777777" w:rsidR="00641AC8" w:rsidRDefault="00641AC8" w:rsidP="007E255E">
      <w:pPr>
        <w:ind w:left="567"/>
        <w:contextualSpacing/>
        <w:jc w:val="both"/>
        <w:rPr>
          <w:rFonts w:ascii="Bookman Old Style" w:eastAsia="MS Mincho" w:hAnsi="Bookman Old Style" w:cs="Arial"/>
          <w:i/>
          <w:iCs/>
          <w:sz w:val="20"/>
          <w:szCs w:val="20"/>
        </w:rPr>
      </w:pPr>
    </w:p>
    <w:p w14:paraId="4F882872" w14:textId="25C5179D" w:rsidR="00A733B7" w:rsidRDefault="00963DDE" w:rsidP="007E255E">
      <w:pPr>
        <w:ind w:left="567"/>
        <w:contextualSpacing/>
        <w:jc w:val="both"/>
        <w:rPr>
          <w:rFonts w:ascii="Bookman Old Style" w:eastAsia="MS Mincho" w:hAnsi="Bookman Old Style" w:cs="Arial"/>
          <w:i/>
          <w:iCs/>
          <w:sz w:val="20"/>
          <w:szCs w:val="20"/>
        </w:rPr>
      </w:pPr>
      <w:r>
        <w:rPr>
          <w:rFonts w:ascii="Bookman Old Style" w:eastAsia="MS Mincho" w:hAnsi="Bookman Old Style" w:cs="Arial"/>
          <w:i/>
          <w:iCs/>
          <w:sz w:val="20"/>
          <w:szCs w:val="20"/>
        </w:rPr>
        <w:t xml:space="preserve">1.11 </w:t>
      </w:r>
      <w:r w:rsidRPr="00963DDE">
        <w:rPr>
          <w:rFonts w:ascii="Bookman Old Style" w:eastAsia="MS Mincho" w:hAnsi="Bookman Old Style" w:cs="Arial"/>
          <w:i/>
          <w:iCs/>
          <w:sz w:val="20"/>
          <w:szCs w:val="20"/>
        </w:rPr>
        <w:t>Medición de armónicos de tensión para las barras ubicadas dentro del área de influencia del proyecto.</w:t>
      </w:r>
    </w:p>
    <w:p w14:paraId="38F646B9" w14:textId="77777777" w:rsidR="00A733B7" w:rsidRDefault="00A733B7" w:rsidP="007E255E">
      <w:pPr>
        <w:ind w:left="567"/>
        <w:contextualSpacing/>
        <w:jc w:val="both"/>
        <w:rPr>
          <w:rFonts w:ascii="Bookman Old Style" w:eastAsia="MS Mincho" w:hAnsi="Bookman Old Style" w:cs="Arial"/>
          <w:i/>
          <w:iCs/>
          <w:sz w:val="20"/>
          <w:szCs w:val="20"/>
        </w:rPr>
      </w:pPr>
    </w:p>
    <w:p w14:paraId="407B7FA1" w14:textId="301C2C67" w:rsidR="00A733B7" w:rsidRDefault="00D9232D" w:rsidP="007E255E">
      <w:pPr>
        <w:ind w:left="567"/>
        <w:contextualSpacing/>
        <w:jc w:val="both"/>
        <w:rPr>
          <w:rFonts w:ascii="Bookman Old Style" w:eastAsia="MS Mincho" w:hAnsi="Bookman Old Style" w:cs="Arial"/>
          <w:i/>
          <w:iCs/>
          <w:sz w:val="20"/>
          <w:szCs w:val="20"/>
        </w:rPr>
      </w:pPr>
      <w:r w:rsidRPr="00D9232D">
        <w:rPr>
          <w:rFonts w:ascii="Bookman Old Style" w:eastAsia="MS Mincho" w:hAnsi="Bookman Old Style" w:cs="Arial"/>
          <w:i/>
          <w:iCs/>
          <w:sz w:val="20"/>
          <w:szCs w:val="20"/>
        </w:rPr>
        <w:t xml:space="preserve">GENSA no cuenta con esta </w:t>
      </w:r>
      <w:r>
        <w:rPr>
          <w:rFonts w:ascii="Bookman Old Style" w:eastAsia="MS Mincho" w:hAnsi="Bookman Old Style" w:cs="Arial"/>
          <w:i/>
          <w:iCs/>
          <w:sz w:val="20"/>
          <w:szCs w:val="20"/>
        </w:rPr>
        <w:t>i</w:t>
      </w:r>
      <w:r w:rsidRPr="00D9232D">
        <w:rPr>
          <w:rFonts w:ascii="Bookman Old Style" w:eastAsia="MS Mincho" w:hAnsi="Bookman Old Style" w:cs="Arial"/>
          <w:i/>
          <w:iCs/>
          <w:sz w:val="20"/>
          <w:szCs w:val="20"/>
        </w:rPr>
        <w:t>nformación, ni ha real</w:t>
      </w:r>
      <w:r>
        <w:rPr>
          <w:rFonts w:ascii="Bookman Old Style" w:eastAsia="MS Mincho" w:hAnsi="Bookman Old Style" w:cs="Arial"/>
          <w:i/>
          <w:iCs/>
          <w:sz w:val="20"/>
          <w:szCs w:val="20"/>
        </w:rPr>
        <w:t>i</w:t>
      </w:r>
      <w:r w:rsidRPr="00D9232D">
        <w:rPr>
          <w:rFonts w:ascii="Bookman Old Style" w:eastAsia="MS Mincho" w:hAnsi="Bookman Old Style" w:cs="Arial"/>
          <w:i/>
          <w:iCs/>
          <w:sz w:val="20"/>
          <w:szCs w:val="20"/>
        </w:rPr>
        <w:t>zado mediciones con terceros, dado que no ha sido necesario para la ejecución de sus ac</w:t>
      </w:r>
      <w:r>
        <w:rPr>
          <w:rFonts w:ascii="Bookman Old Style" w:eastAsia="MS Mincho" w:hAnsi="Bookman Old Style" w:cs="Arial"/>
          <w:i/>
          <w:iCs/>
          <w:sz w:val="20"/>
          <w:szCs w:val="20"/>
        </w:rPr>
        <w:t>t</w:t>
      </w:r>
      <w:r w:rsidRPr="00D9232D">
        <w:rPr>
          <w:rFonts w:ascii="Bookman Old Style" w:eastAsia="MS Mincho" w:hAnsi="Bookman Old Style" w:cs="Arial"/>
          <w:i/>
          <w:iCs/>
          <w:sz w:val="20"/>
          <w:szCs w:val="20"/>
        </w:rPr>
        <w:t>ividades de generación de energ</w:t>
      </w:r>
      <w:r>
        <w:rPr>
          <w:rFonts w:ascii="Bookman Old Style" w:eastAsia="MS Mincho" w:hAnsi="Bookman Old Style" w:cs="Arial"/>
          <w:i/>
          <w:iCs/>
          <w:sz w:val="20"/>
          <w:szCs w:val="20"/>
        </w:rPr>
        <w:t>í</w:t>
      </w:r>
      <w:r w:rsidRPr="00D9232D">
        <w:rPr>
          <w:rFonts w:ascii="Bookman Old Style" w:eastAsia="MS Mincho" w:hAnsi="Bookman Old Style" w:cs="Arial"/>
          <w:i/>
          <w:iCs/>
          <w:sz w:val="20"/>
          <w:szCs w:val="20"/>
        </w:rPr>
        <w:t>a eléctrica. En el caso de ser necesarias, el promotor del proyecto puede gestionar la realiza</w:t>
      </w:r>
      <w:r w:rsidR="00C62083">
        <w:rPr>
          <w:rFonts w:ascii="Bookman Old Style" w:eastAsia="MS Mincho" w:hAnsi="Bookman Old Style" w:cs="Arial"/>
          <w:i/>
          <w:iCs/>
          <w:sz w:val="20"/>
          <w:szCs w:val="20"/>
        </w:rPr>
        <w:t>ci</w:t>
      </w:r>
      <w:r w:rsidRPr="00D9232D">
        <w:rPr>
          <w:rFonts w:ascii="Bookman Old Style" w:eastAsia="MS Mincho" w:hAnsi="Bookman Old Style" w:cs="Arial"/>
          <w:i/>
          <w:iCs/>
          <w:sz w:val="20"/>
          <w:szCs w:val="20"/>
        </w:rPr>
        <w:t>ón de las medi</w:t>
      </w:r>
      <w:r w:rsidR="00C62083">
        <w:rPr>
          <w:rFonts w:ascii="Bookman Old Style" w:eastAsia="MS Mincho" w:hAnsi="Bookman Old Style" w:cs="Arial"/>
          <w:i/>
          <w:iCs/>
          <w:sz w:val="20"/>
          <w:szCs w:val="20"/>
        </w:rPr>
        <w:t>ci</w:t>
      </w:r>
      <w:r w:rsidRPr="00D9232D">
        <w:rPr>
          <w:rFonts w:ascii="Bookman Old Style" w:eastAsia="MS Mincho" w:hAnsi="Bookman Old Style" w:cs="Arial"/>
          <w:i/>
          <w:iCs/>
          <w:sz w:val="20"/>
          <w:szCs w:val="20"/>
        </w:rPr>
        <w:t>ones y coordinar lo respectivo con GENSA.</w:t>
      </w:r>
      <w:r w:rsidR="00241C9A">
        <w:rPr>
          <w:rFonts w:ascii="Bookman Old Style" w:eastAsia="MS Mincho" w:hAnsi="Bookman Old Style" w:cs="Arial"/>
          <w:i/>
          <w:iCs/>
          <w:sz w:val="20"/>
          <w:szCs w:val="20"/>
        </w:rPr>
        <w:t xml:space="preserve"> (…)</w:t>
      </w:r>
    </w:p>
    <w:p w14:paraId="49F1C697" w14:textId="77777777" w:rsidR="00A733B7" w:rsidRDefault="00A733B7" w:rsidP="007E255E">
      <w:pPr>
        <w:ind w:left="567"/>
        <w:contextualSpacing/>
        <w:jc w:val="both"/>
        <w:rPr>
          <w:rFonts w:ascii="Bookman Old Style" w:eastAsia="MS Mincho" w:hAnsi="Bookman Old Style" w:cs="Arial"/>
          <w:i/>
          <w:iCs/>
          <w:sz w:val="20"/>
          <w:szCs w:val="20"/>
        </w:rPr>
      </w:pPr>
    </w:p>
    <w:p w14:paraId="3077AB20" w14:textId="4DD1595A" w:rsidR="002723BB" w:rsidRPr="005C6472" w:rsidRDefault="00895C8E" w:rsidP="007E255E">
      <w:pPr>
        <w:ind w:left="567"/>
        <w:contextualSpacing/>
        <w:jc w:val="both"/>
        <w:rPr>
          <w:rFonts w:ascii="Bookman Old Style" w:eastAsia="MS Mincho" w:hAnsi="Bookman Old Style" w:cs="Arial"/>
          <w:sz w:val="20"/>
          <w:szCs w:val="20"/>
        </w:rPr>
      </w:pPr>
      <w:r w:rsidRPr="00241C9A">
        <w:rPr>
          <w:rFonts w:ascii="Bookman Old Style" w:eastAsia="MS Mincho" w:hAnsi="Bookman Old Style" w:cs="Arial"/>
          <w:i/>
          <w:iCs/>
          <w:sz w:val="20"/>
          <w:szCs w:val="20"/>
        </w:rPr>
        <w:t xml:space="preserve">De otro lado confirmamos la posibilidad de realizar estudios con modelos estándar, en lugar de utilizar </w:t>
      </w:r>
      <w:r w:rsidR="00E24258" w:rsidRPr="00241C9A">
        <w:rPr>
          <w:rFonts w:ascii="Bookman Old Style" w:eastAsia="MS Mincho" w:hAnsi="Bookman Old Style" w:cs="Arial"/>
          <w:i/>
          <w:iCs/>
          <w:sz w:val="20"/>
          <w:szCs w:val="20"/>
        </w:rPr>
        <w:t xml:space="preserve">los específicos de las unidades presentes en el sistema de generación de Mitú, esto dada la dificultad en la consecución de la información. </w:t>
      </w:r>
      <w:r w:rsidR="0009177B" w:rsidRPr="00241C9A">
        <w:rPr>
          <w:rFonts w:ascii="Bookman Old Style" w:eastAsia="MS Mincho" w:hAnsi="Bookman Old Style" w:cs="Arial"/>
          <w:i/>
          <w:iCs/>
          <w:sz w:val="20"/>
          <w:szCs w:val="20"/>
        </w:rPr>
        <w:t xml:space="preserve">También se considera que los demás estudios y análisis operativos requeridos, se deberán desarrollar, definir y analizar en conjunto entre GENSA y el promotor del proyecto </w:t>
      </w:r>
      <w:r w:rsidR="00CA2EE5" w:rsidRPr="00241C9A">
        <w:rPr>
          <w:rFonts w:ascii="Bookman Old Style" w:eastAsia="MS Mincho" w:hAnsi="Bookman Old Style" w:cs="Arial"/>
          <w:i/>
          <w:iCs/>
          <w:sz w:val="20"/>
          <w:szCs w:val="20"/>
        </w:rPr>
        <w:t>en la fase de ingeniería de detalle de los sistemas de control e hibridación del proyecto solar, de manera que todos los ajustes u obras complementarias se definan y ejecuten para garantizar la estabilidad del sistema hibrido a implementar</w:t>
      </w:r>
      <w:r w:rsidR="005C6472" w:rsidRPr="00241C9A">
        <w:rPr>
          <w:rFonts w:ascii="Bookman Old Style" w:eastAsia="MS Mincho" w:hAnsi="Bookman Old Style" w:cs="Arial"/>
          <w:i/>
          <w:iCs/>
          <w:sz w:val="20"/>
          <w:szCs w:val="20"/>
        </w:rPr>
        <w:t>. (…)</w:t>
      </w:r>
      <w:r w:rsidR="00CA2EE5" w:rsidRPr="005C6472">
        <w:rPr>
          <w:rFonts w:ascii="Bookman Old Style" w:eastAsia="MS Mincho" w:hAnsi="Bookman Old Style" w:cs="Arial"/>
          <w:i/>
          <w:iCs/>
          <w:sz w:val="20"/>
          <w:szCs w:val="20"/>
        </w:rPr>
        <w:t>”</w:t>
      </w:r>
    </w:p>
    <w:p w14:paraId="27AECCAF" w14:textId="77777777" w:rsidR="003A1744" w:rsidRDefault="003A1744" w:rsidP="00E57F55">
      <w:pPr>
        <w:ind w:left="284"/>
        <w:contextualSpacing/>
        <w:jc w:val="both"/>
        <w:rPr>
          <w:rFonts w:ascii="Bookman Old Style" w:eastAsia="MS Mincho" w:hAnsi="Bookman Old Style" w:cs="Arial"/>
        </w:rPr>
      </w:pPr>
    </w:p>
    <w:p w14:paraId="7E537A69" w14:textId="23F23B48" w:rsidR="00F83880" w:rsidRDefault="008C1AD7"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Mediante Auto I-2021-000811</w:t>
      </w:r>
      <w:r w:rsidR="00E342FF" w:rsidRPr="0086458B">
        <w:rPr>
          <w:rFonts w:ascii="Bookman Old Style" w:eastAsia="MS Mincho" w:hAnsi="Bookman Old Style" w:cs="Arial"/>
          <w:lang w:val="es-CO"/>
        </w:rPr>
        <w:t xml:space="preserve"> del 19 de abril de 2021</w:t>
      </w:r>
      <w:r w:rsidR="008137CF" w:rsidRPr="0086458B">
        <w:rPr>
          <w:rFonts w:ascii="Bookman Old Style" w:eastAsia="MS Mincho" w:hAnsi="Bookman Old Style" w:cs="Arial"/>
          <w:lang w:val="es-CO"/>
        </w:rPr>
        <w:t>,</w:t>
      </w:r>
      <w:r w:rsidRPr="0086458B">
        <w:rPr>
          <w:rFonts w:ascii="Bookman Old Style" w:eastAsia="MS Mincho" w:hAnsi="Bookman Old Style" w:cs="Arial"/>
        </w:rPr>
        <w:t xml:space="preserve"> se vinculó de oficio a la </w:t>
      </w:r>
      <w:r w:rsidR="008137CF" w:rsidRPr="0086458B">
        <w:rPr>
          <w:rFonts w:ascii="Bookman Old Style" w:eastAsia="MS Mincho" w:hAnsi="Bookman Old Style" w:cs="Arial"/>
        </w:rPr>
        <w:t xml:space="preserve">presente </w:t>
      </w:r>
      <w:r w:rsidRPr="0086458B">
        <w:rPr>
          <w:rFonts w:ascii="Bookman Old Style" w:eastAsia="MS Mincho" w:hAnsi="Bookman Old Style" w:cs="Arial"/>
        </w:rPr>
        <w:t xml:space="preserve">actuación administrativa al </w:t>
      </w:r>
      <w:r w:rsidR="001643BC">
        <w:rPr>
          <w:rFonts w:ascii="Bookman Old Style" w:eastAsia="MS Mincho" w:hAnsi="Bookman Old Style" w:cs="Arial"/>
        </w:rPr>
        <w:t>MME</w:t>
      </w:r>
      <w:r w:rsidR="007E255E">
        <w:rPr>
          <w:rFonts w:ascii="Bookman Old Style" w:eastAsia="MS Mincho" w:hAnsi="Bookman Old Style" w:cs="Arial"/>
        </w:rPr>
        <w:t>,</w:t>
      </w:r>
      <w:r w:rsidR="001643BC">
        <w:rPr>
          <w:rFonts w:ascii="Bookman Old Style" w:eastAsia="MS Mincho" w:hAnsi="Bookman Old Style" w:cs="Arial"/>
        </w:rPr>
        <w:t xml:space="preserve"> </w:t>
      </w:r>
      <w:r w:rsidR="00887F1F" w:rsidRPr="0086458B">
        <w:rPr>
          <w:rFonts w:ascii="Bookman Old Style" w:eastAsia="MS Mincho" w:hAnsi="Bookman Old Style" w:cs="Arial"/>
        </w:rPr>
        <w:t>teniendo en cuenta</w:t>
      </w:r>
      <w:r w:rsidR="00F83880" w:rsidRPr="0086458B">
        <w:rPr>
          <w:rFonts w:ascii="Bookman Old Style" w:eastAsia="MS Mincho" w:hAnsi="Bookman Old Style" w:cs="Arial"/>
        </w:rPr>
        <w:t xml:space="preserve"> que la decisión de imposición de servidumbre sobre activos que son de propiedad de dicho </w:t>
      </w:r>
      <w:r w:rsidR="000E3C7A">
        <w:rPr>
          <w:rFonts w:ascii="Bookman Old Style" w:eastAsia="MS Mincho" w:hAnsi="Bookman Old Style" w:cs="Arial"/>
        </w:rPr>
        <w:t>m</w:t>
      </w:r>
      <w:r w:rsidR="00F83880" w:rsidRPr="0086458B">
        <w:rPr>
          <w:rFonts w:ascii="Bookman Old Style" w:eastAsia="MS Mincho" w:hAnsi="Bookman Old Style" w:cs="Arial"/>
        </w:rPr>
        <w:t>inisterio puede tener incidencia en la situación jurídica que se deriva del desarrollo del contrato GGC 209-2013, de conformidad con lo previsto en el numeral 2 del artículo 38 del Código de Procedimiento Administrativo y de lo Contencioso Administrativo</w:t>
      </w:r>
      <w:r w:rsidR="008137CF" w:rsidRPr="0086458B">
        <w:rPr>
          <w:rStyle w:val="Refdenotaalpie"/>
          <w:rFonts w:ascii="Bookman Old Style" w:eastAsia="MS Mincho" w:hAnsi="Bookman Old Style" w:cs="Arial"/>
        </w:rPr>
        <w:footnoteReference w:id="2"/>
      </w:r>
      <w:r w:rsidR="00F83880" w:rsidRPr="0086458B">
        <w:rPr>
          <w:rFonts w:ascii="Bookman Old Style" w:eastAsia="MS Mincho" w:hAnsi="Bookman Old Style" w:cs="Arial"/>
        </w:rPr>
        <w:t>.</w:t>
      </w:r>
    </w:p>
    <w:p w14:paraId="305654D8" w14:textId="77777777" w:rsidR="003A1744" w:rsidRPr="0086458B" w:rsidRDefault="003A1744" w:rsidP="00E57F55">
      <w:pPr>
        <w:ind w:left="284"/>
        <w:contextualSpacing/>
        <w:jc w:val="both"/>
        <w:rPr>
          <w:rFonts w:ascii="Bookman Old Style" w:eastAsia="MS Mincho" w:hAnsi="Bookman Old Style" w:cs="Arial"/>
        </w:rPr>
      </w:pPr>
    </w:p>
    <w:p w14:paraId="0B77066D" w14:textId="3C082E38" w:rsidR="00082972" w:rsidRPr="00AF647E" w:rsidRDefault="17DA1500" w:rsidP="00E57F55">
      <w:pPr>
        <w:ind w:left="284"/>
        <w:contextualSpacing/>
        <w:jc w:val="both"/>
        <w:rPr>
          <w:rFonts w:ascii="Bookman Old Style" w:eastAsia="MS Mincho" w:hAnsi="Bookman Old Style" w:cs="Arial"/>
          <w:lang w:val="es-CO"/>
        </w:rPr>
      </w:pPr>
      <w:r w:rsidRPr="00AF647E">
        <w:rPr>
          <w:rFonts w:ascii="Bookman Old Style" w:eastAsia="MS Mincho" w:hAnsi="Bookman Old Style" w:cs="Arial"/>
          <w:lang w:val="es-CO"/>
        </w:rPr>
        <w:t>Mediante radicado CREG E-2021-</w:t>
      </w:r>
      <w:r w:rsidR="0A48EE7B" w:rsidRPr="00AF647E">
        <w:rPr>
          <w:rFonts w:ascii="Bookman Old Style" w:eastAsia="MS Mincho" w:hAnsi="Bookman Old Style" w:cs="Arial"/>
          <w:lang w:val="es-CO"/>
        </w:rPr>
        <w:t>004726</w:t>
      </w:r>
      <w:r w:rsidR="00377AE6" w:rsidRPr="00AF647E">
        <w:rPr>
          <w:rFonts w:ascii="Bookman Old Style" w:eastAsia="MS Mincho" w:hAnsi="Bookman Old Style" w:cs="Arial"/>
          <w:lang w:val="es-CO"/>
        </w:rPr>
        <w:t xml:space="preserve">, DUE </w:t>
      </w:r>
      <w:r w:rsidR="2B688004" w:rsidRPr="00AF647E">
        <w:rPr>
          <w:rFonts w:ascii="Bookman Old Style" w:eastAsia="MS Mincho" w:hAnsi="Bookman Old Style" w:cs="Arial"/>
          <w:lang w:val="es-CO"/>
        </w:rPr>
        <w:t>se pronunció sobre la documentación puesta en conocimiento mediante el Auto I-2021-000811</w:t>
      </w:r>
      <w:r w:rsidR="000D79F2">
        <w:rPr>
          <w:rFonts w:ascii="Bookman Old Style" w:eastAsia="MS Mincho" w:hAnsi="Bookman Old Style" w:cs="Arial"/>
          <w:lang w:val="es-CO"/>
        </w:rPr>
        <w:t xml:space="preserve"> solicitando</w:t>
      </w:r>
      <w:r w:rsidR="2B688004" w:rsidRPr="00AF647E">
        <w:rPr>
          <w:rFonts w:ascii="Bookman Old Style" w:eastAsia="MS Mincho" w:hAnsi="Bookman Old Style" w:cs="Arial"/>
          <w:lang w:val="es-CO"/>
        </w:rPr>
        <w:t>:</w:t>
      </w:r>
    </w:p>
    <w:p w14:paraId="5A06571C" w14:textId="77777777" w:rsidR="003A1744" w:rsidRPr="00AF647E" w:rsidRDefault="003A1744" w:rsidP="00E57F55">
      <w:pPr>
        <w:ind w:left="284"/>
        <w:contextualSpacing/>
        <w:jc w:val="both"/>
        <w:rPr>
          <w:rFonts w:ascii="Bookman Old Style" w:eastAsia="MS Mincho" w:hAnsi="Bookman Old Style" w:cs="Arial"/>
          <w:lang w:val="es-CO"/>
        </w:rPr>
      </w:pPr>
    </w:p>
    <w:p w14:paraId="3CA09F85" w14:textId="49028B69" w:rsidR="00417996" w:rsidRPr="00377AE6" w:rsidRDefault="001375D2" w:rsidP="007E255E">
      <w:pPr>
        <w:ind w:left="567"/>
        <w:contextualSpacing/>
        <w:jc w:val="both"/>
        <w:rPr>
          <w:rFonts w:ascii="Bookman Old Style" w:eastAsia="MS Mincho" w:hAnsi="Bookman Old Style" w:cs="Arial"/>
          <w:i/>
          <w:iCs/>
          <w:sz w:val="20"/>
          <w:szCs w:val="20"/>
          <w:lang w:val="es-CO"/>
        </w:rPr>
      </w:pPr>
      <w:r w:rsidRPr="00377AE6">
        <w:rPr>
          <w:rFonts w:ascii="Bookman Old Style" w:eastAsia="MS Mincho" w:hAnsi="Bookman Old Style" w:cs="Arial"/>
          <w:i/>
          <w:iCs/>
          <w:sz w:val="20"/>
          <w:szCs w:val="20"/>
          <w:lang w:val="es-CO"/>
        </w:rPr>
        <w:t>“</w:t>
      </w:r>
      <w:r w:rsidR="00AF647E">
        <w:rPr>
          <w:rFonts w:ascii="Bookman Old Style" w:eastAsia="MS Mincho" w:hAnsi="Bookman Old Style" w:cs="Arial"/>
          <w:i/>
          <w:iCs/>
          <w:sz w:val="20"/>
          <w:szCs w:val="20"/>
          <w:lang w:val="es-CO"/>
        </w:rPr>
        <w:t xml:space="preserve">(…) </w:t>
      </w:r>
      <w:r w:rsidR="00417996" w:rsidRPr="00377AE6">
        <w:rPr>
          <w:rFonts w:ascii="Bookman Old Style" w:eastAsia="MS Mincho" w:hAnsi="Bookman Old Style" w:cs="Arial"/>
          <w:i/>
          <w:iCs/>
          <w:sz w:val="20"/>
          <w:szCs w:val="20"/>
          <w:lang w:val="es-CO"/>
        </w:rPr>
        <w:t>a) Dar por terminada la etapa probatoria de la presente actuación administrativa, o en subsidio acceder a la solución planteada por DUE en el derecho de petición del 11 de febrero de 2021 en el sentido de permitir la elaboración de los estudios usando un modelo estándar.</w:t>
      </w:r>
    </w:p>
    <w:p w14:paraId="3F360483" w14:textId="77777777" w:rsidR="003A1744" w:rsidRPr="00377AE6" w:rsidRDefault="003A1744" w:rsidP="007E255E">
      <w:pPr>
        <w:ind w:left="567"/>
        <w:contextualSpacing/>
        <w:jc w:val="both"/>
        <w:rPr>
          <w:rFonts w:ascii="Bookman Old Style" w:eastAsia="MS Mincho" w:hAnsi="Bookman Old Style" w:cs="Arial"/>
          <w:i/>
          <w:iCs/>
          <w:sz w:val="20"/>
          <w:szCs w:val="20"/>
          <w:lang w:val="es-CO"/>
        </w:rPr>
      </w:pPr>
    </w:p>
    <w:p w14:paraId="32AD89F1" w14:textId="752C4E8C" w:rsidR="00FA09EC" w:rsidRPr="00377AE6" w:rsidRDefault="00417996" w:rsidP="007E255E">
      <w:pPr>
        <w:ind w:left="567"/>
        <w:contextualSpacing/>
        <w:jc w:val="both"/>
        <w:rPr>
          <w:rFonts w:ascii="Bookman Old Style" w:eastAsia="MS Mincho" w:hAnsi="Bookman Old Style" w:cs="Arial"/>
          <w:i/>
          <w:iCs/>
          <w:sz w:val="20"/>
          <w:szCs w:val="20"/>
          <w:lang w:val="es-CO"/>
        </w:rPr>
      </w:pPr>
      <w:r w:rsidRPr="00377AE6">
        <w:rPr>
          <w:rFonts w:ascii="Bookman Old Style" w:eastAsia="MS Mincho" w:hAnsi="Bookman Old Style" w:cs="Arial"/>
          <w:i/>
          <w:iCs/>
          <w:sz w:val="20"/>
          <w:szCs w:val="20"/>
          <w:lang w:val="es-CO"/>
        </w:rPr>
        <w:t>b) Emitir una decisión de fondo en la que se declare la imposición de servidumbre de conexión eléctrica a favor de la planta solar fotovoltáica con almacenamiento denominada Matakavi (activo dominante) y a cargo de la torre</w:t>
      </w:r>
      <w:r w:rsidR="00FE1A23" w:rsidRPr="00377AE6">
        <w:rPr>
          <w:rFonts w:ascii="Bookman Old Style" w:hAnsi="Bookman Old Style" w:cs="CenturyGothic"/>
          <w:i/>
          <w:iCs/>
          <w:sz w:val="20"/>
          <w:szCs w:val="20"/>
          <w:lang w:val="es-CO" w:eastAsia="es-CO"/>
        </w:rPr>
        <w:t xml:space="preserve"> </w:t>
      </w:r>
      <w:r w:rsidR="00FE1A23" w:rsidRPr="00377AE6">
        <w:rPr>
          <w:rFonts w:ascii="Bookman Old Style" w:eastAsia="MS Mincho" w:hAnsi="Bookman Old Style" w:cs="Arial"/>
          <w:i/>
          <w:iCs/>
          <w:sz w:val="20"/>
          <w:szCs w:val="20"/>
          <w:lang w:val="es-CO"/>
        </w:rPr>
        <w:t>117 de la línea que conecta la central hidroeléctrica de Mitú con la central diésel (activo sirviente).</w:t>
      </w:r>
    </w:p>
    <w:p w14:paraId="447B184D" w14:textId="77777777" w:rsidR="003A1744" w:rsidRPr="00377AE6" w:rsidRDefault="003A1744" w:rsidP="007E255E">
      <w:pPr>
        <w:ind w:left="567"/>
        <w:contextualSpacing/>
        <w:jc w:val="both"/>
        <w:rPr>
          <w:rFonts w:ascii="Bookman Old Style" w:eastAsia="MS Mincho" w:hAnsi="Bookman Old Style" w:cs="Arial"/>
          <w:i/>
          <w:iCs/>
          <w:sz w:val="20"/>
          <w:szCs w:val="20"/>
          <w:lang w:val="es-CO"/>
        </w:rPr>
      </w:pPr>
    </w:p>
    <w:p w14:paraId="1372E3BB" w14:textId="59D53D3F" w:rsidR="00FD6E99" w:rsidRDefault="00FD6E99" w:rsidP="007E255E">
      <w:pPr>
        <w:ind w:left="567"/>
        <w:contextualSpacing/>
        <w:jc w:val="both"/>
        <w:rPr>
          <w:rFonts w:ascii="Bookman Old Style" w:eastAsia="MS Mincho" w:hAnsi="Bookman Old Style" w:cs="Arial"/>
          <w:i/>
          <w:iCs/>
          <w:sz w:val="20"/>
          <w:szCs w:val="20"/>
          <w:lang w:val="es-CO"/>
        </w:rPr>
      </w:pPr>
      <w:r w:rsidRPr="00377AE6">
        <w:rPr>
          <w:rFonts w:ascii="Bookman Old Style" w:eastAsia="MS Mincho" w:hAnsi="Bookman Old Style" w:cs="Arial"/>
          <w:i/>
          <w:iCs/>
          <w:sz w:val="20"/>
          <w:szCs w:val="20"/>
          <w:lang w:val="es-CO"/>
        </w:rPr>
        <w:t>c) En consecuencia, señalar que las condiciones técnicas en que se hará la conexión del generador Matakavi a dicha red, que son las que constan en el estudio de conexión que se acompañó con la solicitud de DUE.</w:t>
      </w:r>
    </w:p>
    <w:p w14:paraId="0B607790" w14:textId="77777777" w:rsidR="004B0CF9" w:rsidRPr="00377AE6" w:rsidRDefault="004B0CF9" w:rsidP="007E255E">
      <w:pPr>
        <w:ind w:left="567"/>
        <w:contextualSpacing/>
        <w:jc w:val="both"/>
        <w:rPr>
          <w:rFonts w:ascii="Bookman Old Style" w:eastAsia="MS Mincho" w:hAnsi="Bookman Old Style" w:cs="Arial"/>
          <w:i/>
          <w:iCs/>
          <w:sz w:val="20"/>
          <w:szCs w:val="20"/>
          <w:lang w:val="es-CO"/>
        </w:rPr>
      </w:pPr>
    </w:p>
    <w:p w14:paraId="5C6ADD3E" w14:textId="397A67E3" w:rsidR="00FD6E99" w:rsidRPr="00377AE6" w:rsidRDefault="1D7C237A" w:rsidP="007E255E">
      <w:pPr>
        <w:ind w:left="567"/>
        <w:contextualSpacing/>
        <w:jc w:val="both"/>
        <w:rPr>
          <w:rFonts w:ascii="Bookman Old Style" w:eastAsia="MS Mincho" w:hAnsi="Bookman Old Style" w:cs="Arial"/>
          <w:i/>
          <w:iCs/>
          <w:sz w:val="20"/>
          <w:szCs w:val="20"/>
          <w:lang w:val="es-CO"/>
        </w:rPr>
      </w:pPr>
      <w:r w:rsidRPr="00377AE6">
        <w:rPr>
          <w:rFonts w:ascii="Bookman Old Style" w:eastAsia="MS Mincho" w:hAnsi="Bookman Old Style" w:cs="Arial"/>
          <w:i/>
          <w:iCs/>
          <w:sz w:val="20"/>
          <w:szCs w:val="20"/>
          <w:lang w:val="es-CO"/>
        </w:rPr>
        <w:t>d) Indicar de manera expresa que las inversiones relacionadas con la conexión, como construcción de líneas y adecuación de los activos estarán a cargo exclusivo de DUE, por lo cual no habrá lugar a pagos a cargo de DUE</w:t>
      </w:r>
      <w:r w:rsidR="005107D2">
        <w:rPr>
          <w:rFonts w:ascii="Bookman Old Style" w:eastAsia="MS Mincho" w:hAnsi="Bookman Old Style" w:cs="Arial"/>
          <w:i/>
          <w:iCs/>
          <w:sz w:val="20"/>
          <w:szCs w:val="20"/>
          <w:lang w:val="es-CO"/>
        </w:rPr>
        <w:t>. (…)</w:t>
      </w:r>
      <w:r w:rsidR="23F801B7" w:rsidRPr="00377AE6">
        <w:rPr>
          <w:rFonts w:ascii="Bookman Old Style" w:eastAsia="MS Mincho" w:hAnsi="Bookman Old Style" w:cs="Arial"/>
          <w:i/>
          <w:iCs/>
          <w:sz w:val="20"/>
          <w:szCs w:val="20"/>
          <w:lang w:val="es-CO"/>
        </w:rPr>
        <w:t>”</w:t>
      </w:r>
    </w:p>
    <w:p w14:paraId="1452683A" w14:textId="6CDA0245" w:rsidR="52648E45" w:rsidRPr="0086458B" w:rsidRDefault="52648E45" w:rsidP="00E57F55">
      <w:pPr>
        <w:ind w:left="284"/>
        <w:contextualSpacing/>
        <w:jc w:val="both"/>
        <w:rPr>
          <w:rFonts w:ascii="Bookman Old Style" w:eastAsia="MS Mincho" w:hAnsi="Bookman Old Style" w:cs="Arial"/>
        </w:rPr>
      </w:pPr>
    </w:p>
    <w:p w14:paraId="785B78A3" w14:textId="073FF78A" w:rsidR="00B65DF3" w:rsidRDefault="0F8AFECA"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Mediante</w:t>
      </w:r>
      <w:r w:rsidR="000D79F2">
        <w:rPr>
          <w:rFonts w:ascii="Bookman Old Style" w:eastAsia="MS Mincho" w:hAnsi="Bookman Old Style" w:cs="Arial"/>
        </w:rPr>
        <w:t xml:space="preserve"> comunicación con </w:t>
      </w:r>
      <w:r w:rsidRPr="0086458B">
        <w:rPr>
          <w:rFonts w:ascii="Bookman Old Style" w:eastAsia="MS Mincho" w:hAnsi="Bookman Old Style" w:cs="Arial"/>
        </w:rPr>
        <w:t>radicado CREG</w:t>
      </w:r>
      <w:r w:rsidR="46377C00" w:rsidRPr="0086458B">
        <w:rPr>
          <w:rFonts w:ascii="Bookman Old Style" w:eastAsia="MS Mincho" w:hAnsi="Bookman Old Style" w:cs="Arial"/>
        </w:rPr>
        <w:t xml:space="preserve"> E-2021-005439</w:t>
      </w:r>
      <w:r w:rsidR="008C12C3">
        <w:rPr>
          <w:rFonts w:ascii="Bookman Old Style" w:eastAsia="MS Mincho" w:hAnsi="Bookman Old Style" w:cs="Arial"/>
        </w:rPr>
        <w:t>, DUE</w:t>
      </w:r>
      <w:r w:rsidRPr="0086458B">
        <w:rPr>
          <w:rFonts w:ascii="Bookman Old Style" w:eastAsia="MS Mincho" w:hAnsi="Bookman Old Style" w:cs="Arial"/>
        </w:rPr>
        <w:t xml:space="preserve"> se </w:t>
      </w:r>
      <w:r w:rsidR="46377C00" w:rsidRPr="0086458B">
        <w:rPr>
          <w:rFonts w:ascii="Bookman Old Style" w:eastAsia="MS Mincho" w:hAnsi="Bookman Old Style" w:cs="Arial"/>
        </w:rPr>
        <w:t>pronunció</w:t>
      </w:r>
      <w:r w:rsidRPr="0086458B">
        <w:rPr>
          <w:rFonts w:ascii="Bookman Old Style" w:eastAsia="MS Mincho" w:hAnsi="Bookman Old Style" w:cs="Arial"/>
        </w:rPr>
        <w:t xml:space="preserve"> sobre lo manifestado por </w:t>
      </w:r>
      <w:r w:rsidRPr="0086458B">
        <w:rPr>
          <w:rFonts w:ascii="Bookman Old Style" w:eastAsia="MS Mincho" w:hAnsi="Bookman Old Style" w:cs="Arial"/>
          <w:lang w:val="es-CO"/>
        </w:rPr>
        <w:t xml:space="preserve">GENSA </w:t>
      </w:r>
      <w:r w:rsidRPr="0086458B">
        <w:rPr>
          <w:rFonts w:ascii="Bookman Old Style" w:eastAsia="MS Mincho" w:hAnsi="Bookman Old Style" w:cs="Arial"/>
        </w:rPr>
        <w:t>en el radicado CREG E-2021-004699</w:t>
      </w:r>
      <w:r w:rsidR="46377C00" w:rsidRPr="0086458B">
        <w:rPr>
          <w:rFonts w:ascii="Bookman Old Style" w:eastAsia="MS Mincho" w:hAnsi="Bookman Old Style" w:cs="Arial"/>
        </w:rPr>
        <w:t xml:space="preserve"> indicando</w:t>
      </w:r>
      <w:r w:rsidR="00B65DF3">
        <w:rPr>
          <w:rFonts w:ascii="Bookman Old Style" w:eastAsia="MS Mincho" w:hAnsi="Bookman Old Style" w:cs="Arial"/>
        </w:rPr>
        <w:t>:</w:t>
      </w:r>
    </w:p>
    <w:p w14:paraId="11CBD3F8" w14:textId="77777777" w:rsidR="00B65DF3" w:rsidRDefault="00B65DF3" w:rsidP="00E57F55">
      <w:pPr>
        <w:ind w:left="284"/>
        <w:contextualSpacing/>
        <w:jc w:val="both"/>
        <w:rPr>
          <w:rFonts w:ascii="Bookman Old Style" w:eastAsia="MS Mincho" w:hAnsi="Bookman Old Style" w:cs="Arial"/>
        </w:rPr>
      </w:pPr>
    </w:p>
    <w:p w14:paraId="35AA85B6" w14:textId="3B67A828" w:rsidR="002358B6" w:rsidRDefault="0033517E" w:rsidP="007E255E">
      <w:pPr>
        <w:ind w:left="567"/>
        <w:contextualSpacing/>
        <w:jc w:val="both"/>
        <w:rPr>
          <w:rFonts w:ascii="Bookman Old Style" w:eastAsia="MS Mincho" w:hAnsi="Bookman Old Style" w:cs="Arial"/>
          <w:i/>
          <w:iCs/>
          <w:sz w:val="20"/>
          <w:szCs w:val="20"/>
        </w:rPr>
      </w:pPr>
      <w:r w:rsidRPr="0033517E">
        <w:rPr>
          <w:rFonts w:ascii="Bookman Old Style" w:eastAsia="MS Mincho" w:hAnsi="Bookman Old Style" w:cs="Arial"/>
          <w:i/>
          <w:iCs/>
          <w:sz w:val="20"/>
          <w:szCs w:val="20"/>
        </w:rPr>
        <w:t>“(…)</w:t>
      </w:r>
      <w:r w:rsidR="009257C9">
        <w:rPr>
          <w:rFonts w:ascii="Bookman Old Style" w:eastAsia="MS Mincho" w:hAnsi="Bookman Old Style" w:cs="Arial"/>
          <w:i/>
          <w:iCs/>
          <w:sz w:val="20"/>
          <w:szCs w:val="20"/>
        </w:rPr>
        <w:t xml:space="preserve"> GENSA </w:t>
      </w:r>
      <w:r w:rsidR="009257C9" w:rsidRPr="009257C9">
        <w:rPr>
          <w:rFonts w:ascii="Bookman Old Style" w:eastAsia="MS Mincho" w:hAnsi="Bookman Old Style" w:cs="Arial"/>
          <w:i/>
          <w:iCs/>
          <w:sz w:val="20"/>
          <w:szCs w:val="20"/>
        </w:rPr>
        <w:t>reconoce la dificultad en el levantamiento de la información requerida para</w:t>
      </w:r>
      <w:r w:rsidR="002358B6">
        <w:rPr>
          <w:rFonts w:ascii="Bookman Old Style" w:eastAsia="MS Mincho" w:hAnsi="Bookman Old Style" w:cs="Arial"/>
          <w:i/>
          <w:iCs/>
          <w:sz w:val="20"/>
          <w:szCs w:val="20"/>
        </w:rPr>
        <w:t xml:space="preserve"> </w:t>
      </w:r>
      <w:r w:rsidR="002358B6" w:rsidRPr="002358B6">
        <w:rPr>
          <w:rFonts w:ascii="Bookman Old Style" w:eastAsia="MS Mincho" w:hAnsi="Bookman Old Style" w:cs="Arial"/>
          <w:i/>
          <w:iCs/>
          <w:sz w:val="20"/>
          <w:szCs w:val="20"/>
        </w:rPr>
        <w:t>elaborar los estudios solicitados por ésta a través de la CREG ya que parte de ella es inexistente. A modo de ejemplo, no se cuenta con la máxima capacidad para corrientes de falla que puedan soportar los barrajes de influencia (punto 1.9). Tampoco se cuenta con la medición de armónicos de tensión para las barras ubicadas dentro del área de mayor influencia (punto 1.11).</w:t>
      </w:r>
    </w:p>
    <w:p w14:paraId="3F99B7C1" w14:textId="77777777" w:rsidR="00AC00FE" w:rsidRPr="002358B6" w:rsidRDefault="00AC00FE" w:rsidP="007E255E">
      <w:pPr>
        <w:ind w:left="567"/>
        <w:contextualSpacing/>
        <w:jc w:val="both"/>
        <w:rPr>
          <w:rFonts w:ascii="Bookman Old Style" w:eastAsia="MS Mincho" w:hAnsi="Bookman Old Style" w:cs="Arial"/>
          <w:i/>
          <w:iCs/>
          <w:sz w:val="20"/>
          <w:szCs w:val="20"/>
        </w:rPr>
      </w:pPr>
    </w:p>
    <w:p w14:paraId="17FDE358" w14:textId="04BA552A" w:rsidR="0033517E" w:rsidRDefault="002358B6" w:rsidP="007E255E">
      <w:pPr>
        <w:ind w:left="567"/>
        <w:contextualSpacing/>
        <w:jc w:val="both"/>
        <w:rPr>
          <w:rFonts w:ascii="Bookman Old Style" w:eastAsia="MS Mincho" w:hAnsi="Bookman Old Style" w:cs="Arial"/>
          <w:i/>
          <w:iCs/>
          <w:sz w:val="20"/>
          <w:szCs w:val="20"/>
        </w:rPr>
      </w:pPr>
      <w:r w:rsidRPr="002358B6">
        <w:rPr>
          <w:rFonts w:ascii="Bookman Old Style" w:eastAsia="MS Mincho" w:hAnsi="Bookman Old Style" w:cs="Arial"/>
          <w:i/>
          <w:iCs/>
          <w:sz w:val="20"/>
          <w:szCs w:val="20"/>
        </w:rPr>
        <w:t>Precisamente, dada la dificultad en el levantamiento de gran parte de la información, GENSA coincide con nosotros en que deben realizarse los estudios con modelos estándar y no con los modelos específicos de las unidades presentes en el sistema de generación de Mitú, como lo hemos propuesto a la Comisión y ahora lo reiteramos.</w:t>
      </w:r>
      <w:r w:rsidR="00042357">
        <w:rPr>
          <w:rFonts w:ascii="Bookman Old Style" w:eastAsia="MS Mincho" w:hAnsi="Bookman Old Style" w:cs="Arial"/>
          <w:i/>
          <w:iCs/>
          <w:sz w:val="20"/>
          <w:szCs w:val="20"/>
        </w:rPr>
        <w:t xml:space="preserve"> (…)</w:t>
      </w:r>
    </w:p>
    <w:p w14:paraId="7543FBCB" w14:textId="77777777" w:rsidR="00042357" w:rsidRDefault="00042357" w:rsidP="007E255E">
      <w:pPr>
        <w:ind w:left="567"/>
        <w:contextualSpacing/>
        <w:jc w:val="both"/>
        <w:rPr>
          <w:rFonts w:ascii="Bookman Old Style" w:eastAsia="MS Mincho" w:hAnsi="Bookman Old Style" w:cs="Arial"/>
          <w:i/>
          <w:iCs/>
          <w:sz w:val="20"/>
          <w:szCs w:val="20"/>
        </w:rPr>
      </w:pPr>
    </w:p>
    <w:p w14:paraId="556FC1B7" w14:textId="4EEBC31A" w:rsidR="00042357" w:rsidRPr="0033517E" w:rsidRDefault="00042357" w:rsidP="007E255E">
      <w:pPr>
        <w:ind w:left="567"/>
        <w:contextualSpacing/>
        <w:jc w:val="both"/>
        <w:rPr>
          <w:rFonts w:ascii="Bookman Old Style" w:eastAsia="MS Mincho" w:hAnsi="Bookman Old Style" w:cs="Arial"/>
          <w:i/>
          <w:iCs/>
          <w:sz w:val="20"/>
          <w:szCs w:val="20"/>
        </w:rPr>
      </w:pPr>
      <w:r w:rsidRPr="00042357">
        <w:rPr>
          <w:rFonts w:ascii="Bookman Old Style" w:eastAsia="MS Mincho" w:hAnsi="Bookman Old Style" w:cs="Arial"/>
          <w:i/>
          <w:iCs/>
          <w:sz w:val="20"/>
          <w:szCs w:val="20"/>
        </w:rPr>
        <w:t>DUE acusa recibo del diagrama unifilar enviado por GENSA y toma nota de los parámetros técnicos señalados en los puntos 1.3, 1.4, 1.6, 1.7, 1.8 sobre los cuales dicha entidad considera que debe elaborarse el estudio. En relación con la información mencionada en el punto 1.1, DUE se encuentra a la espera de recibir la información anunciada a la mayor brevedad para proceder a revisar integralmente la información y poder determinar la posibilidad técnica de realizar el estudio y cual sería su intervalo de confianza.</w:t>
      </w:r>
      <w:r w:rsidR="007F60C3">
        <w:rPr>
          <w:rFonts w:ascii="Bookman Old Style" w:eastAsia="MS Mincho" w:hAnsi="Bookman Old Style" w:cs="Arial"/>
          <w:i/>
          <w:iCs/>
          <w:sz w:val="20"/>
          <w:szCs w:val="20"/>
        </w:rPr>
        <w:t xml:space="preserve"> (…)”</w:t>
      </w:r>
    </w:p>
    <w:p w14:paraId="1D0F83A5" w14:textId="77777777" w:rsidR="003A1744" w:rsidRPr="0086458B" w:rsidRDefault="003A1744" w:rsidP="00E57F55">
      <w:pPr>
        <w:ind w:left="284"/>
        <w:contextualSpacing/>
        <w:jc w:val="both"/>
        <w:rPr>
          <w:rFonts w:ascii="Bookman Old Style" w:eastAsia="MS Mincho" w:hAnsi="Bookman Old Style" w:cs="Arial"/>
        </w:rPr>
      </w:pPr>
    </w:p>
    <w:p w14:paraId="2BD1464D" w14:textId="57977B01" w:rsidR="00313A92" w:rsidRDefault="489DA868" w:rsidP="00E729E6">
      <w:pPr>
        <w:ind w:left="284"/>
        <w:contextualSpacing/>
        <w:jc w:val="both"/>
        <w:rPr>
          <w:rFonts w:ascii="Bookman Old Style" w:eastAsia="MS Mincho" w:hAnsi="Bookman Old Style" w:cs="Arial"/>
          <w:lang w:val="es-CO"/>
        </w:rPr>
      </w:pPr>
      <w:r w:rsidRPr="0086458B">
        <w:rPr>
          <w:rFonts w:ascii="Bookman Old Style" w:eastAsia="MS Mincho" w:hAnsi="Bookman Old Style" w:cs="Arial"/>
        </w:rPr>
        <w:t xml:space="preserve">Mediante </w:t>
      </w:r>
      <w:r w:rsidR="1CAE8514" w:rsidRPr="0086458B">
        <w:rPr>
          <w:rFonts w:ascii="Bookman Old Style" w:eastAsia="MS Mincho" w:hAnsi="Bookman Old Style" w:cs="Arial"/>
        </w:rPr>
        <w:t>Auto</w:t>
      </w:r>
      <w:r w:rsidR="376DE187" w:rsidRPr="0086458B">
        <w:rPr>
          <w:rFonts w:ascii="Bookman Old Style" w:eastAsia="MS Mincho" w:hAnsi="Bookman Old Style" w:cs="Arial"/>
        </w:rPr>
        <w:t xml:space="preserve"> </w:t>
      </w:r>
      <w:r w:rsidR="4DD6E0CF" w:rsidRPr="0086458B">
        <w:rPr>
          <w:rFonts w:ascii="Bookman Old Style" w:eastAsia="MS Mincho" w:hAnsi="Bookman Old Style" w:cs="Arial"/>
        </w:rPr>
        <w:t>I-202</w:t>
      </w:r>
      <w:r w:rsidR="376DE187" w:rsidRPr="0086458B">
        <w:rPr>
          <w:rFonts w:ascii="Bookman Old Style" w:eastAsia="MS Mincho" w:hAnsi="Bookman Old Style" w:cs="Arial"/>
        </w:rPr>
        <w:t>1-00</w:t>
      </w:r>
      <w:r w:rsidR="1CAE8514" w:rsidRPr="0086458B">
        <w:rPr>
          <w:rFonts w:ascii="Bookman Old Style" w:eastAsia="MS Mincho" w:hAnsi="Bookman Old Style" w:cs="Arial"/>
        </w:rPr>
        <w:t xml:space="preserve">1628 </w:t>
      </w:r>
      <w:r w:rsidR="646CB3C1" w:rsidRPr="0086458B">
        <w:rPr>
          <w:rFonts w:ascii="Bookman Old Style" w:eastAsia="MS Mincho" w:hAnsi="Bookman Old Style" w:cs="Arial"/>
        </w:rPr>
        <w:t xml:space="preserve">del </w:t>
      </w:r>
      <w:r w:rsidR="66E0937C" w:rsidRPr="0086458B">
        <w:rPr>
          <w:rFonts w:ascii="Bookman Old Style" w:eastAsia="MS Mincho" w:hAnsi="Bookman Old Style" w:cs="Arial"/>
        </w:rPr>
        <w:t>09 de junio de 2021</w:t>
      </w:r>
      <w:r w:rsidR="00DA2849">
        <w:rPr>
          <w:rFonts w:ascii="Bookman Old Style" w:eastAsia="MS Mincho" w:hAnsi="Bookman Old Style" w:cs="Arial"/>
        </w:rPr>
        <w:t>,</w:t>
      </w:r>
      <w:r w:rsidR="6929381F" w:rsidRPr="0086458B">
        <w:rPr>
          <w:rFonts w:ascii="Bookman Old Style" w:eastAsia="MS Mincho" w:hAnsi="Bookman Old Style" w:cs="Arial"/>
        </w:rPr>
        <w:t xml:space="preserve"> </w:t>
      </w:r>
      <w:r w:rsidR="00E80EA8">
        <w:rPr>
          <w:rFonts w:ascii="Bookman Old Style" w:eastAsia="MS Mincho" w:hAnsi="Bookman Old Style" w:cs="Arial"/>
        </w:rPr>
        <w:t xml:space="preserve">la CREG </w:t>
      </w:r>
      <w:r w:rsidR="10A4E209" w:rsidRPr="0086458B">
        <w:rPr>
          <w:rFonts w:ascii="Bookman Old Style" w:eastAsia="MS Mincho" w:hAnsi="Bookman Old Style" w:cs="Arial"/>
        </w:rPr>
        <w:t>decretó la práctica de diferentes pruebas</w:t>
      </w:r>
      <w:r w:rsidR="00091FF7">
        <w:rPr>
          <w:rFonts w:ascii="Bookman Old Style" w:eastAsia="MS Mincho" w:hAnsi="Bookman Old Style" w:cs="Arial"/>
        </w:rPr>
        <w:t>. E</w:t>
      </w:r>
      <w:r w:rsidR="10A4E209" w:rsidRPr="0086458B">
        <w:rPr>
          <w:rFonts w:ascii="Bookman Old Style" w:eastAsia="MS Mincho" w:hAnsi="Bookman Old Style" w:cs="Arial"/>
        </w:rPr>
        <w:t xml:space="preserve">n ese sentido, </w:t>
      </w:r>
      <w:r w:rsidR="0DE9A53B" w:rsidRPr="0086458B">
        <w:rPr>
          <w:rFonts w:ascii="Bookman Old Style" w:eastAsia="MS Mincho" w:hAnsi="Bookman Old Style" w:cs="Arial"/>
        </w:rPr>
        <w:t xml:space="preserve">se </w:t>
      </w:r>
      <w:r w:rsidR="293C8208" w:rsidRPr="0086458B">
        <w:rPr>
          <w:rFonts w:ascii="Bookman Old Style" w:eastAsia="MS Mincho" w:hAnsi="Bookman Old Style" w:cs="Arial"/>
        </w:rPr>
        <w:t xml:space="preserve">citó </w:t>
      </w:r>
      <w:r w:rsidR="735E8815" w:rsidRPr="0086458B">
        <w:rPr>
          <w:rFonts w:ascii="Bookman Old Style" w:eastAsia="MS Mincho" w:hAnsi="Bookman Old Style" w:cs="Arial"/>
        </w:rPr>
        <w:t xml:space="preserve">a </w:t>
      </w:r>
      <w:r w:rsidR="735E8815" w:rsidRPr="0086458B">
        <w:rPr>
          <w:rFonts w:ascii="Bookman Old Style" w:eastAsia="MS Mincho" w:hAnsi="Bookman Old Style" w:cs="Arial"/>
          <w:lang w:val="es-CO"/>
        </w:rPr>
        <w:t>GENSA</w:t>
      </w:r>
      <w:r w:rsidR="735E8815" w:rsidRPr="0086458B">
        <w:rPr>
          <w:rFonts w:ascii="Bookman Old Style" w:eastAsia="MS Mincho" w:hAnsi="Bookman Old Style" w:cs="Arial"/>
        </w:rPr>
        <w:t xml:space="preserve">, </w:t>
      </w:r>
      <w:r w:rsidR="00C270CD">
        <w:rPr>
          <w:rFonts w:ascii="Bookman Old Style" w:eastAsia="MS Mincho" w:hAnsi="Bookman Old Style" w:cs="Arial"/>
        </w:rPr>
        <w:t>DUE</w:t>
      </w:r>
      <w:r w:rsidR="29FD9CAD" w:rsidRPr="0086458B">
        <w:rPr>
          <w:rFonts w:ascii="Bookman Old Style" w:eastAsia="MS Mincho" w:hAnsi="Bookman Old Style" w:cs="Arial"/>
        </w:rPr>
        <w:t xml:space="preserve">, </w:t>
      </w:r>
      <w:r w:rsidR="00C270CD">
        <w:rPr>
          <w:rFonts w:ascii="Bookman Old Style" w:eastAsia="MS Mincho" w:hAnsi="Bookman Old Style" w:cs="Arial"/>
        </w:rPr>
        <w:t xml:space="preserve">MME </w:t>
      </w:r>
      <w:r w:rsidR="1AAA0469" w:rsidRPr="0086458B">
        <w:rPr>
          <w:rFonts w:ascii="Bookman Old Style" w:eastAsia="MS Mincho" w:hAnsi="Bookman Old Style" w:cs="Arial"/>
        </w:rPr>
        <w:t xml:space="preserve">y la Gobernación a </w:t>
      </w:r>
      <w:r w:rsidR="6929381F" w:rsidRPr="0086458B">
        <w:rPr>
          <w:rFonts w:ascii="Bookman Old Style" w:eastAsia="MS Mincho" w:hAnsi="Bookman Old Style" w:cs="Arial"/>
        </w:rPr>
        <w:t xml:space="preserve">una </w:t>
      </w:r>
      <w:r w:rsidR="293C8208" w:rsidRPr="0086458B">
        <w:rPr>
          <w:rFonts w:ascii="Bookman Old Style" w:eastAsia="MS Mincho" w:hAnsi="Bookman Old Style" w:cs="Arial"/>
        </w:rPr>
        <w:t xml:space="preserve">audiencia virtual </w:t>
      </w:r>
      <w:r w:rsidR="0DE9A53B" w:rsidRPr="0086458B">
        <w:rPr>
          <w:rFonts w:ascii="Bookman Old Style" w:eastAsia="MS Mincho" w:hAnsi="Bookman Old Style" w:cs="Arial"/>
        </w:rPr>
        <w:t xml:space="preserve">a realizarse </w:t>
      </w:r>
      <w:r w:rsidR="293C8208" w:rsidRPr="0086458B">
        <w:rPr>
          <w:rFonts w:ascii="Bookman Old Style" w:eastAsia="MS Mincho" w:hAnsi="Bookman Old Style" w:cs="Arial"/>
          <w:lang w:val="es-CO"/>
        </w:rPr>
        <w:t>el 23 de junio de 2021</w:t>
      </w:r>
      <w:r w:rsidR="00E12570">
        <w:rPr>
          <w:rFonts w:ascii="Bookman Old Style" w:eastAsia="MS Mincho" w:hAnsi="Bookman Old Style" w:cs="Arial"/>
          <w:lang w:val="es-CO"/>
        </w:rPr>
        <w:t>.</w:t>
      </w:r>
    </w:p>
    <w:p w14:paraId="30736FDF" w14:textId="77777777" w:rsidR="00313A92" w:rsidRDefault="00313A92" w:rsidP="00E729E6">
      <w:pPr>
        <w:ind w:left="284"/>
        <w:contextualSpacing/>
        <w:jc w:val="both"/>
        <w:rPr>
          <w:rFonts w:ascii="Bookman Old Style" w:eastAsia="MS Mincho" w:hAnsi="Bookman Old Style" w:cs="Arial"/>
          <w:lang w:val="es-CO"/>
        </w:rPr>
      </w:pPr>
    </w:p>
    <w:p w14:paraId="276CB170" w14:textId="101B8565" w:rsidR="0077474C" w:rsidRDefault="00E12570" w:rsidP="00E729E6">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Adicionalmente se </w:t>
      </w:r>
      <w:r w:rsidR="003D1250">
        <w:rPr>
          <w:rFonts w:ascii="Bookman Old Style" w:eastAsia="MS Mincho" w:hAnsi="Bookman Old Style" w:cs="Arial"/>
          <w:lang w:val="es-CO"/>
        </w:rPr>
        <w:t xml:space="preserve">le requirió </w:t>
      </w:r>
      <w:r w:rsidR="7E56A8AD" w:rsidRPr="0086458B">
        <w:rPr>
          <w:rFonts w:ascii="Bookman Old Style" w:eastAsia="MS Mincho" w:hAnsi="Bookman Old Style" w:cs="Arial"/>
          <w:lang w:val="es-CO"/>
        </w:rPr>
        <w:t xml:space="preserve">a </w:t>
      </w:r>
      <w:r>
        <w:rPr>
          <w:rFonts w:ascii="Bookman Old Style" w:eastAsia="MS Mincho" w:hAnsi="Bookman Old Style" w:cs="Arial"/>
          <w:lang w:val="es-CO"/>
        </w:rPr>
        <w:t xml:space="preserve">GENSA </w:t>
      </w:r>
      <w:r w:rsidR="007C34AC">
        <w:rPr>
          <w:rFonts w:ascii="Bookman Old Style" w:eastAsia="MS Mincho" w:hAnsi="Bookman Old Style" w:cs="Arial"/>
          <w:lang w:val="es-CO"/>
        </w:rPr>
        <w:t>que</w:t>
      </w:r>
      <w:r w:rsidR="00473562">
        <w:rPr>
          <w:rFonts w:ascii="Bookman Old Style" w:eastAsia="MS Mincho" w:hAnsi="Bookman Old Style" w:cs="Arial"/>
          <w:lang w:val="es-CO"/>
        </w:rPr>
        <w:t>,</w:t>
      </w:r>
      <w:r w:rsidR="007C34AC">
        <w:rPr>
          <w:rFonts w:ascii="Bookman Old Style" w:eastAsia="MS Mincho" w:hAnsi="Bookman Old Style" w:cs="Arial"/>
          <w:lang w:val="es-CO"/>
        </w:rPr>
        <w:t xml:space="preserve"> a más tardar el 18 de junio</w:t>
      </w:r>
      <w:r w:rsidR="005F6EB2">
        <w:rPr>
          <w:rFonts w:ascii="Bookman Old Style" w:eastAsia="MS Mincho" w:hAnsi="Bookman Old Style" w:cs="Arial"/>
          <w:lang w:val="es-CO"/>
        </w:rPr>
        <w:t xml:space="preserve"> de 2021</w:t>
      </w:r>
      <w:r w:rsidR="00473562">
        <w:rPr>
          <w:rFonts w:ascii="Bookman Old Style" w:eastAsia="MS Mincho" w:hAnsi="Bookman Old Style" w:cs="Arial"/>
          <w:lang w:val="es-CO"/>
        </w:rPr>
        <w:t>,</w:t>
      </w:r>
      <w:r w:rsidR="007C34AC">
        <w:rPr>
          <w:rFonts w:ascii="Bookman Old Style" w:eastAsia="MS Mincho" w:hAnsi="Bookman Old Style" w:cs="Arial"/>
          <w:lang w:val="es-CO"/>
        </w:rPr>
        <w:t xml:space="preserve"> remitiera </w:t>
      </w:r>
      <w:r w:rsidR="004473A9">
        <w:rPr>
          <w:rFonts w:ascii="Bookman Old Style" w:eastAsia="MS Mincho" w:hAnsi="Bookman Old Style" w:cs="Arial"/>
          <w:lang w:val="es-CO"/>
        </w:rPr>
        <w:t xml:space="preserve">información y documentación pendiente para </w:t>
      </w:r>
      <w:r w:rsidR="00290EF5">
        <w:rPr>
          <w:rFonts w:ascii="Bookman Old Style" w:eastAsia="MS Mincho" w:hAnsi="Bookman Old Style" w:cs="Arial"/>
          <w:lang w:val="es-CO"/>
        </w:rPr>
        <w:t xml:space="preserve">la terminación del estudio de conexión en los términos solicitados por ella misma y, adicionalmente, </w:t>
      </w:r>
      <w:r w:rsidR="004B3191">
        <w:rPr>
          <w:rFonts w:ascii="Bookman Old Style" w:eastAsia="MS Mincho" w:hAnsi="Bookman Old Style" w:cs="Arial"/>
          <w:lang w:val="es-CO"/>
        </w:rPr>
        <w:t xml:space="preserve">que </w:t>
      </w:r>
      <w:r w:rsidR="00E729E6" w:rsidRPr="00E729E6">
        <w:rPr>
          <w:rFonts w:ascii="Bookman Old Style" w:eastAsia="MS Mincho" w:hAnsi="Bookman Old Style" w:cs="Arial"/>
          <w:i/>
          <w:iCs/>
          <w:lang w:val="es-CO"/>
        </w:rPr>
        <w:t>“(…) En relación con los puntos de conexión y de medición entre generador y distribuidor para el mercado relevante de comercialización de Mitú, allegue el o los contratos de conexión suscritos, según lo previsto en el parágrafo 2 del artículo 5, de la Resolución CREG 038 de 2018. (…)”</w:t>
      </w:r>
      <w:r w:rsidR="00E729E6">
        <w:rPr>
          <w:rFonts w:ascii="Bookman Old Style" w:eastAsia="MS Mincho" w:hAnsi="Bookman Old Style" w:cs="Arial"/>
          <w:lang w:val="es-CO"/>
        </w:rPr>
        <w:t>.</w:t>
      </w:r>
    </w:p>
    <w:p w14:paraId="198B0708" w14:textId="77777777" w:rsidR="0077474C" w:rsidRDefault="0077474C" w:rsidP="00E57F55">
      <w:pPr>
        <w:ind w:left="284"/>
        <w:contextualSpacing/>
        <w:jc w:val="both"/>
        <w:rPr>
          <w:rFonts w:ascii="Bookman Old Style" w:eastAsia="MS Mincho" w:hAnsi="Bookman Old Style" w:cs="Arial"/>
          <w:lang w:val="es-CO"/>
        </w:rPr>
      </w:pPr>
    </w:p>
    <w:p w14:paraId="6E542398" w14:textId="34C0C0BB" w:rsidR="0077474C" w:rsidRDefault="002A5869" w:rsidP="00E57F5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Por su parte</w:t>
      </w:r>
      <w:r w:rsidR="00983188">
        <w:rPr>
          <w:rFonts w:ascii="Bookman Old Style" w:eastAsia="MS Mincho" w:hAnsi="Bookman Old Style" w:cs="Arial"/>
          <w:lang w:val="es-CO"/>
        </w:rPr>
        <w:t xml:space="preserve">, a la Gobernación se le requirió </w:t>
      </w:r>
      <w:r w:rsidR="00950ED3">
        <w:rPr>
          <w:rFonts w:ascii="Bookman Old Style" w:eastAsia="MS Mincho" w:hAnsi="Bookman Old Style" w:cs="Arial"/>
          <w:lang w:val="es-CO"/>
        </w:rPr>
        <w:t>que, a más tardar el 18 de junio</w:t>
      </w:r>
      <w:r w:rsidR="005F6EB2">
        <w:rPr>
          <w:rFonts w:ascii="Bookman Old Style" w:eastAsia="MS Mincho" w:hAnsi="Bookman Old Style" w:cs="Arial"/>
          <w:lang w:val="es-CO"/>
        </w:rPr>
        <w:t xml:space="preserve"> de 2021</w:t>
      </w:r>
      <w:r w:rsidR="00950ED3">
        <w:rPr>
          <w:rFonts w:ascii="Bookman Old Style" w:eastAsia="MS Mincho" w:hAnsi="Bookman Old Style" w:cs="Arial"/>
          <w:lang w:val="es-CO"/>
        </w:rPr>
        <w:t xml:space="preserve">, remitiera </w:t>
      </w:r>
      <w:r w:rsidR="00983188">
        <w:rPr>
          <w:rFonts w:ascii="Bookman Old Style" w:eastAsia="MS Mincho" w:hAnsi="Bookman Old Style" w:cs="Arial"/>
          <w:lang w:val="es-CO"/>
        </w:rPr>
        <w:t>un informe</w:t>
      </w:r>
      <w:r w:rsidR="00950ED3">
        <w:rPr>
          <w:rFonts w:ascii="Bookman Old Style" w:eastAsia="MS Mincho" w:hAnsi="Bookman Old Style" w:cs="Arial"/>
          <w:lang w:val="es-CO"/>
        </w:rPr>
        <w:t xml:space="preserve"> en el que se debía contestar </w:t>
      </w:r>
      <w:r w:rsidR="00B15C1B">
        <w:rPr>
          <w:rFonts w:ascii="Bookman Old Style" w:eastAsia="MS Mincho" w:hAnsi="Bookman Old Style" w:cs="Arial"/>
          <w:lang w:val="es-CO"/>
        </w:rPr>
        <w:t xml:space="preserve">un cuestionario sobre </w:t>
      </w:r>
      <w:r w:rsidR="009F49A9">
        <w:rPr>
          <w:rFonts w:ascii="Bookman Old Style" w:eastAsia="MS Mincho" w:hAnsi="Bookman Old Style" w:cs="Arial"/>
          <w:lang w:val="es-CO"/>
        </w:rPr>
        <w:t>actividad</w:t>
      </w:r>
      <w:r w:rsidR="009D4FB2">
        <w:rPr>
          <w:rFonts w:ascii="Bookman Old Style" w:eastAsia="MS Mincho" w:hAnsi="Bookman Old Style" w:cs="Arial"/>
          <w:lang w:val="es-CO"/>
        </w:rPr>
        <w:t>es</w:t>
      </w:r>
      <w:r w:rsidR="009F49A9">
        <w:rPr>
          <w:rFonts w:ascii="Bookman Old Style" w:eastAsia="MS Mincho" w:hAnsi="Bookman Old Style" w:cs="Arial"/>
          <w:lang w:val="es-CO"/>
        </w:rPr>
        <w:t xml:space="preserve"> </w:t>
      </w:r>
      <w:r w:rsidR="009D4FB2">
        <w:rPr>
          <w:rFonts w:ascii="Bookman Old Style" w:eastAsia="MS Mincho" w:hAnsi="Bookman Old Style" w:cs="Arial"/>
          <w:lang w:val="es-CO"/>
        </w:rPr>
        <w:t xml:space="preserve">con la </w:t>
      </w:r>
      <w:r w:rsidR="009F49A9">
        <w:rPr>
          <w:rFonts w:ascii="Bookman Old Style" w:eastAsia="MS Mincho" w:hAnsi="Bookman Old Style" w:cs="Arial"/>
          <w:lang w:val="es-CO"/>
        </w:rPr>
        <w:t>distribu</w:t>
      </w:r>
      <w:r w:rsidR="009D4FB2">
        <w:rPr>
          <w:rFonts w:ascii="Bookman Old Style" w:eastAsia="MS Mincho" w:hAnsi="Bookman Old Style" w:cs="Arial"/>
          <w:lang w:val="es-CO"/>
        </w:rPr>
        <w:t xml:space="preserve">ción </w:t>
      </w:r>
      <w:r w:rsidR="009F49A9">
        <w:rPr>
          <w:rFonts w:ascii="Bookman Old Style" w:eastAsia="MS Mincho" w:hAnsi="Bookman Old Style" w:cs="Arial"/>
          <w:lang w:val="es-CO"/>
        </w:rPr>
        <w:t>y comercializa</w:t>
      </w:r>
      <w:r w:rsidR="009D4FB2">
        <w:rPr>
          <w:rFonts w:ascii="Bookman Old Style" w:eastAsia="MS Mincho" w:hAnsi="Bookman Old Style" w:cs="Arial"/>
          <w:lang w:val="es-CO"/>
        </w:rPr>
        <w:t>ción de energía eléctrica en el mercado relevante de Mitú.</w:t>
      </w:r>
    </w:p>
    <w:p w14:paraId="1EE66581" w14:textId="77777777" w:rsidR="0077474C" w:rsidRDefault="0077474C" w:rsidP="00E57F55">
      <w:pPr>
        <w:ind w:left="284"/>
        <w:contextualSpacing/>
        <w:jc w:val="both"/>
        <w:rPr>
          <w:rFonts w:ascii="Bookman Old Style" w:eastAsia="MS Mincho" w:hAnsi="Bookman Old Style" w:cs="Arial"/>
          <w:lang w:val="es-CO"/>
        </w:rPr>
      </w:pPr>
    </w:p>
    <w:p w14:paraId="4EF02ED4" w14:textId="4ABF76F3" w:rsidR="00370268" w:rsidRDefault="005F6EB2" w:rsidP="00370268">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Finalmente, al MME se le requirió que</w:t>
      </w:r>
      <w:r w:rsidR="00297354">
        <w:rPr>
          <w:rFonts w:ascii="Bookman Old Style" w:eastAsia="MS Mincho" w:hAnsi="Bookman Old Style" w:cs="Arial"/>
          <w:lang w:val="es-CO"/>
        </w:rPr>
        <w:t>,</w:t>
      </w:r>
      <w:r>
        <w:rPr>
          <w:rFonts w:ascii="Bookman Old Style" w:eastAsia="MS Mincho" w:hAnsi="Bookman Old Style" w:cs="Arial"/>
          <w:lang w:val="es-CO"/>
        </w:rPr>
        <w:t xml:space="preserve"> a más tardar el 18 de junio de 2021, </w:t>
      </w:r>
      <w:r w:rsidR="00552EF4">
        <w:rPr>
          <w:rFonts w:ascii="Bookman Old Style" w:eastAsia="MS Mincho" w:hAnsi="Bookman Old Style" w:cs="Arial"/>
          <w:lang w:val="es-CO"/>
        </w:rPr>
        <w:t xml:space="preserve">remitiera un informe </w:t>
      </w:r>
      <w:r w:rsidR="003B168D">
        <w:rPr>
          <w:rFonts w:ascii="Bookman Old Style" w:eastAsia="MS Mincho" w:hAnsi="Bookman Old Style" w:cs="Arial"/>
          <w:lang w:val="es-CO"/>
        </w:rPr>
        <w:t>relacionado con</w:t>
      </w:r>
      <w:r w:rsidR="005D2719">
        <w:rPr>
          <w:rFonts w:ascii="Bookman Old Style" w:eastAsia="MS Mincho" w:hAnsi="Bookman Old Style" w:cs="Arial"/>
          <w:lang w:val="es-CO"/>
        </w:rPr>
        <w:t xml:space="preserve"> algunos </w:t>
      </w:r>
      <w:r w:rsidR="003B168D">
        <w:rPr>
          <w:rFonts w:ascii="Bookman Old Style" w:eastAsia="MS Mincho" w:hAnsi="Bookman Old Style" w:cs="Arial"/>
          <w:lang w:val="es-CO"/>
        </w:rPr>
        <w:t xml:space="preserve">aspectos del </w:t>
      </w:r>
      <w:r w:rsidR="00601DFD">
        <w:rPr>
          <w:rFonts w:ascii="Bookman Old Style" w:eastAsia="MS Mincho" w:hAnsi="Bookman Old Style" w:cs="Arial"/>
          <w:lang w:val="es-CO"/>
        </w:rPr>
        <w:t>“</w:t>
      </w:r>
      <w:r w:rsidR="00601DFD" w:rsidRPr="00601DFD">
        <w:rPr>
          <w:rFonts w:ascii="Bookman Old Style" w:eastAsia="MS Mincho" w:hAnsi="Bookman Old Style" w:cs="Arial"/>
          <w:lang w:val="es-CO"/>
        </w:rPr>
        <w:t>Sistema de Generación Eléctrica</w:t>
      </w:r>
      <w:r w:rsidR="00601DFD">
        <w:rPr>
          <w:rFonts w:ascii="Bookman Old Style" w:eastAsia="MS Mincho" w:hAnsi="Bookman Old Style" w:cs="Arial"/>
          <w:lang w:val="es-CO"/>
        </w:rPr>
        <w:t xml:space="preserve"> de Mitú”</w:t>
      </w:r>
      <w:r w:rsidR="00EF54AC">
        <w:rPr>
          <w:rFonts w:ascii="Bookman Old Style" w:eastAsia="MS Mincho" w:hAnsi="Bookman Old Style" w:cs="Arial"/>
          <w:lang w:val="es-CO"/>
        </w:rPr>
        <w:t xml:space="preserve">, </w:t>
      </w:r>
      <w:r w:rsidR="00EF54AC" w:rsidRPr="00EF54AC">
        <w:rPr>
          <w:rFonts w:ascii="Bookman Old Style" w:eastAsia="MS Mincho" w:hAnsi="Bookman Old Style" w:cs="Arial"/>
          <w:lang w:val="es-CO"/>
        </w:rPr>
        <w:t>el contrato especial 209 de 2013</w:t>
      </w:r>
      <w:r w:rsidR="00F52E33">
        <w:rPr>
          <w:rFonts w:ascii="Bookman Old Style" w:eastAsia="MS Mincho" w:hAnsi="Bookman Old Style" w:cs="Arial"/>
          <w:lang w:val="es-CO"/>
        </w:rPr>
        <w:t xml:space="preserve">, </w:t>
      </w:r>
      <w:r w:rsidR="005F6CE7">
        <w:rPr>
          <w:rFonts w:ascii="Bookman Old Style" w:eastAsia="MS Mincho" w:hAnsi="Bookman Old Style" w:cs="Arial"/>
          <w:lang w:val="es-CO"/>
        </w:rPr>
        <w:t>su comunicación de radicado CREG E-2021</w:t>
      </w:r>
      <w:r w:rsidR="00FA31EA">
        <w:rPr>
          <w:rFonts w:ascii="Bookman Old Style" w:eastAsia="MS Mincho" w:hAnsi="Bookman Old Style" w:cs="Arial"/>
          <w:lang w:val="es-CO"/>
        </w:rPr>
        <w:t xml:space="preserve">-003201 y </w:t>
      </w:r>
      <w:r w:rsidR="002677D3">
        <w:rPr>
          <w:rFonts w:ascii="Bookman Old Style" w:eastAsia="MS Mincho" w:hAnsi="Bookman Old Style" w:cs="Arial"/>
          <w:lang w:val="es-CO"/>
        </w:rPr>
        <w:t xml:space="preserve">las </w:t>
      </w:r>
      <w:r w:rsidR="000A1D19" w:rsidRPr="000A1D19">
        <w:rPr>
          <w:rFonts w:ascii="Bookman Old Style" w:eastAsia="MS Mincho" w:hAnsi="Bookman Old Style" w:cs="Arial"/>
          <w:lang w:val="es-CO"/>
        </w:rPr>
        <w:t>derivaciones de la “Línea de Transmisión de la</w:t>
      </w:r>
      <w:r w:rsidR="002677D3">
        <w:rPr>
          <w:rFonts w:ascii="Bookman Old Style" w:eastAsia="MS Mincho" w:hAnsi="Bookman Old Style" w:cs="Arial"/>
          <w:lang w:val="es-CO"/>
        </w:rPr>
        <w:t xml:space="preserve"> </w:t>
      </w:r>
      <w:r w:rsidR="000A1D19" w:rsidRPr="000A1D19">
        <w:rPr>
          <w:rFonts w:ascii="Bookman Old Style" w:eastAsia="MS Mincho" w:hAnsi="Bookman Old Style" w:cs="Arial"/>
          <w:lang w:val="es-CO"/>
        </w:rPr>
        <w:t>MCH Mitú a la Subestación Eléctrica de Mitú” operada por GENSA</w:t>
      </w:r>
      <w:r w:rsidR="00370268">
        <w:rPr>
          <w:rFonts w:ascii="Bookman Old Style" w:eastAsia="MS Mincho" w:hAnsi="Bookman Old Style" w:cs="Arial"/>
          <w:lang w:val="es-CO"/>
        </w:rPr>
        <w:t>.</w:t>
      </w:r>
    </w:p>
    <w:p w14:paraId="22AED320" w14:textId="77777777" w:rsidR="005F6EB2" w:rsidRDefault="005F6EB2" w:rsidP="00E57F55">
      <w:pPr>
        <w:ind w:left="284"/>
        <w:contextualSpacing/>
        <w:jc w:val="both"/>
        <w:rPr>
          <w:rFonts w:ascii="Bookman Old Style" w:eastAsia="MS Mincho" w:hAnsi="Bookman Old Style" w:cs="Arial"/>
          <w:lang w:val="es-CO"/>
        </w:rPr>
      </w:pPr>
    </w:p>
    <w:p w14:paraId="6B39A046" w14:textId="49BC3946" w:rsidR="004D5A5C" w:rsidRDefault="005F1C7A"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 xml:space="preserve">Mediante </w:t>
      </w:r>
      <w:r w:rsidR="009176BE">
        <w:rPr>
          <w:rFonts w:ascii="Bookman Old Style" w:eastAsia="MS Mincho" w:hAnsi="Bookman Old Style" w:cs="Arial"/>
        </w:rPr>
        <w:t xml:space="preserve">comunicaciones con </w:t>
      </w:r>
      <w:r w:rsidR="000A3DBD" w:rsidRPr="0086458B">
        <w:rPr>
          <w:rFonts w:ascii="Bookman Old Style" w:eastAsia="MS Mincho" w:hAnsi="Bookman Old Style" w:cs="Arial"/>
        </w:rPr>
        <w:t xml:space="preserve">radicados CREG </w:t>
      </w:r>
      <w:r w:rsidR="0063426B" w:rsidRPr="0086458B">
        <w:rPr>
          <w:rFonts w:ascii="Bookman Old Style" w:eastAsia="MS Mincho" w:hAnsi="Bookman Old Style" w:cs="Arial"/>
        </w:rPr>
        <w:t>S-2021-002476</w:t>
      </w:r>
      <w:r w:rsidR="0063426B">
        <w:rPr>
          <w:rFonts w:ascii="Bookman Old Style" w:eastAsia="MS Mincho" w:hAnsi="Bookman Old Style" w:cs="Arial"/>
        </w:rPr>
        <w:t>,</w:t>
      </w:r>
      <w:r w:rsidR="0063426B" w:rsidRPr="0086458B">
        <w:rPr>
          <w:rFonts w:ascii="Bookman Old Style" w:eastAsia="MS Mincho" w:hAnsi="Bookman Old Style" w:cs="Arial"/>
        </w:rPr>
        <w:t xml:space="preserve"> </w:t>
      </w:r>
      <w:r w:rsidR="004D5A5C" w:rsidRPr="0086458B">
        <w:rPr>
          <w:rFonts w:ascii="Bookman Old Style" w:eastAsia="MS Mincho" w:hAnsi="Bookman Old Style" w:cs="Arial"/>
        </w:rPr>
        <w:t>S</w:t>
      </w:r>
      <w:r w:rsidR="00C816F5" w:rsidRPr="0086458B">
        <w:rPr>
          <w:rFonts w:ascii="Bookman Old Style" w:eastAsia="MS Mincho" w:hAnsi="Bookman Old Style" w:cs="Arial"/>
        </w:rPr>
        <w:t>-2021-00</w:t>
      </w:r>
      <w:r w:rsidR="005639AB" w:rsidRPr="0086458B">
        <w:rPr>
          <w:rFonts w:ascii="Bookman Old Style" w:eastAsia="MS Mincho" w:hAnsi="Bookman Old Style" w:cs="Arial"/>
        </w:rPr>
        <w:t>2486</w:t>
      </w:r>
      <w:r w:rsidR="00B13278" w:rsidRPr="0086458B">
        <w:rPr>
          <w:rFonts w:ascii="Bookman Old Style" w:eastAsia="MS Mincho" w:hAnsi="Bookman Old Style" w:cs="Arial"/>
        </w:rPr>
        <w:t>, S-2021-00</w:t>
      </w:r>
      <w:r w:rsidR="005639AB" w:rsidRPr="0086458B">
        <w:rPr>
          <w:rFonts w:ascii="Bookman Old Style" w:eastAsia="MS Mincho" w:hAnsi="Bookman Old Style" w:cs="Arial"/>
        </w:rPr>
        <w:t>2487</w:t>
      </w:r>
      <w:r w:rsidR="005412A1">
        <w:rPr>
          <w:rFonts w:ascii="Bookman Old Style" w:eastAsia="MS Mincho" w:hAnsi="Bookman Old Style" w:cs="Arial"/>
        </w:rPr>
        <w:t xml:space="preserve"> y</w:t>
      </w:r>
      <w:r w:rsidR="00B13278" w:rsidRPr="0086458B">
        <w:rPr>
          <w:rFonts w:ascii="Bookman Old Style" w:eastAsia="MS Mincho" w:hAnsi="Bookman Old Style" w:cs="Arial"/>
        </w:rPr>
        <w:t xml:space="preserve"> S-2021-00</w:t>
      </w:r>
      <w:r w:rsidR="005639AB" w:rsidRPr="0086458B">
        <w:rPr>
          <w:rFonts w:ascii="Bookman Old Style" w:eastAsia="MS Mincho" w:hAnsi="Bookman Old Style" w:cs="Arial"/>
        </w:rPr>
        <w:t>2488</w:t>
      </w:r>
      <w:r w:rsidR="00931CAC">
        <w:rPr>
          <w:rFonts w:ascii="Bookman Old Style" w:eastAsia="MS Mincho" w:hAnsi="Bookman Old Style" w:cs="Arial"/>
        </w:rPr>
        <w:t>,</w:t>
      </w:r>
      <w:r w:rsidR="00B13278" w:rsidRPr="0086458B">
        <w:rPr>
          <w:rFonts w:ascii="Bookman Old Style" w:eastAsia="MS Mincho" w:hAnsi="Bookman Old Style" w:cs="Arial"/>
        </w:rPr>
        <w:t xml:space="preserve"> </w:t>
      </w:r>
      <w:r w:rsidR="000A3DBD" w:rsidRPr="0086458B">
        <w:rPr>
          <w:rFonts w:ascii="Bookman Old Style" w:eastAsia="MS Mincho" w:hAnsi="Bookman Old Style" w:cs="Arial"/>
        </w:rPr>
        <w:t xml:space="preserve">se comunicó el precitado </w:t>
      </w:r>
      <w:r w:rsidR="00F628C6">
        <w:rPr>
          <w:rFonts w:ascii="Bookman Old Style" w:eastAsia="MS Mincho" w:hAnsi="Bookman Old Style" w:cs="Arial"/>
        </w:rPr>
        <w:t>A</w:t>
      </w:r>
      <w:r w:rsidR="000A3DBD" w:rsidRPr="0086458B">
        <w:rPr>
          <w:rFonts w:ascii="Bookman Old Style" w:eastAsia="MS Mincho" w:hAnsi="Bookman Old Style" w:cs="Arial"/>
        </w:rPr>
        <w:t xml:space="preserve">uto </w:t>
      </w:r>
      <w:r w:rsidR="00F628C6">
        <w:rPr>
          <w:rFonts w:ascii="Bookman Old Style" w:eastAsia="MS Mincho" w:hAnsi="Bookman Old Style" w:cs="Arial"/>
        </w:rPr>
        <w:t xml:space="preserve">de pruebas </w:t>
      </w:r>
      <w:r w:rsidR="000A3DBD" w:rsidRPr="0086458B">
        <w:rPr>
          <w:rFonts w:ascii="Bookman Old Style" w:eastAsia="MS Mincho" w:hAnsi="Bookman Old Style" w:cs="Arial"/>
        </w:rPr>
        <w:t>a</w:t>
      </w:r>
      <w:r w:rsidR="00462F2F" w:rsidRPr="0086458B">
        <w:rPr>
          <w:rFonts w:ascii="Bookman Old Style" w:eastAsia="MS Mincho" w:hAnsi="Bookman Old Style" w:cs="Arial"/>
        </w:rPr>
        <w:t xml:space="preserve"> </w:t>
      </w:r>
      <w:r w:rsidR="002666DC">
        <w:rPr>
          <w:rFonts w:ascii="Bookman Old Style" w:eastAsia="MS Mincho" w:hAnsi="Bookman Old Style" w:cs="Arial"/>
        </w:rPr>
        <w:t xml:space="preserve">la </w:t>
      </w:r>
      <w:r w:rsidR="002666DC" w:rsidRPr="0086458B">
        <w:rPr>
          <w:rFonts w:ascii="Bookman Old Style" w:eastAsia="MS Mincho" w:hAnsi="Bookman Old Style" w:cs="Arial"/>
        </w:rPr>
        <w:t>Gobernación</w:t>
      </w:r>
      <w:r w:rsidR="002666DC">
        <w:rPr>
          <w:rFonts w:ascii="Bookman Old Style" w:eastAsia="MS Mincho" w:hAnsi="Bookman Old Style" w:cs="Arial"/>
        </w:rPr>
        <w:t xml:space="preserve">, </w:t>
      </w:r>
      <w:r w:rsidR="00F628C6">
        <w:rPr>
          <w:rFonts w:ascii="Bookman Old Style" w:eastAsia="MS Mincho" w:hAnsi="Bookman Old Style" w:cs="Arial"/>
        </w:rPr>
        <w:t>DUE</w:t>
      </w:r>
      <w:r w:rsidR="00F33574" w:rsidRPr="0086458B">
        <w:rPr>
          <w:rFonts w:ascii="Bookman Old Style" w:eastAsia="MS Mincho" w:hAnsi="Bookman Old Style" w:cs="Arial"/>
        </w:rPr>
        <w:t xml:space="preserve">, </w:t>
      </w:r>
      <w:r w:rsidR="003D501E" w:rsidRPr="0086458B">
        <w:rPr>
          <w:rFonts w:ascii="Bookman Old Style" w:eastAsia="MS Mincho" w:hAnsi="Bookman Old Style" w:cs="Arial"/>
        </w:rPr>
        <w:t>GENSA</w:t>
      </w:r>
      <w:r w:rsidR="003E0341">
        <w:rPr>
          <w:rFonts w:ascii="Bookman Old Style" w:eastAsia="MS Mincho" w:hAnsi="Bookman Old Style" w:cs="Arial"/>
        </w:rPr>
        <w:t xml:space="preserve"> y </w:t>
      </w:r>
      <w:r w:rsidR="00F628C6">
        <w:rPr>
          <w:rFonts w:ascii="Bookman Old Style" w:eastAsia="MS Mincho" w:hAnsi="Bookman Old Style" w:cs="Arial"/>
        </w:rPr>
        <w:t>MME</w:t>
      </w:r>
      <w:r w:rsidR="000A3DBD" w:rsidRPr="0086458B">
        <w:rPr>
          <w:rFonts w:ascii="Bookman Old Style" w:eastAsia="MS Mincho" w:hAnsi="Bookman Old Style" w:cs="Arial"/>
        </w:rPr>
        <w:t>, respectivamente</w:t>
      </w:r>
      <w:r w:rsidRPr="0086458B">
        <w:rPr>
          <w:rFonts w:ascii="Bookman Old Style" w:eastAsia="MS Mincho" w:hAnsi="Bookman Old Style" w:cs="Arial"/>
        </w:rPr>
        <w:t>.</w:t>
      </w:r>
    </w:p>
    <w:p w14:paraId="4B390012" w14:textId="77777777" w:rsidR="003A1744" w:rsidRPr="0086458B" w:rsidRDefault="003A1744" w:rsidP="00E57F55">
      <w:pPr>
        <w:ind w:left="284"/>
        <w:contextualSpacing/>
        <w:jc w:val="both"/>
        <w:rPr>
          <w:rFonts w:ascii="Bookman Old Style" w:eastAsia="MS Mincho" w:hAnsi="Bookman Old Style" w:cs="Arial"/>
        </w:rPr>
      </w:pPr>
    </w:p>
    <w:p w14:paraId="28E1529A" w14:textId="7030E4DD" w:rsidR="00404552" w:rsidRDefault="008B2C22"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 xml:space="preserve">Mediante </w:t>
      </w:r>
      <w:r w:rsidR="00404552" w:rsidRPr="0086458B">
        <w:rPr>
          <w:rFonts w:ascii="Bookman Old Style" w:eastAsia="MS Mincho" w:hAnsi="Bookman Old Style" w:cs="Arial"/>
        </w:rPr>
        <w:t>comunicaci</w:t>
      </w:r>
      <w:r w:rsidRPr="0086458B">
        <w:rPr>
          <w:rFonts w:ascii="Bookman Old Style" w:eastAsia="MS Mincho" w:hAnsi="Bookman Old Style" w:cs="Arial"/>
        </w:rPr>
        <w:t>ones con</w:t>
      </w:r>
      <w:r w:rsidR="00404552" w:rsidRPr="0086458B">
        <w:rPr>
          <w:rFonts w:ascii="Bookman Old Style" w:eastAsia="MS Mincho" w:hAnsi="Bookman Old Style" w:cs="Arial"/>
        </w:rPr>
        <w:t xml:space="preserve"> radicado</w:t>
      </w:r>
      <w:r w:rsidR="007E255E">
        <w:rPr>
          <w:rFonts w:ascii="Bookman Old Style" w:eastAsia="MS Mincho" w:hAnsi="Bookman Old Style" w:cs="Arial"/>
        </w:rPr>
        <w:t>s</w:t>
      </w:r>
      <w:r w:rsidR="00404552" w:rsidRPr="0086458B">
        <w:rPr>
          <w:rFonts w:ascii="Bookman Old Style" w:eastAsia="MS Mincho" w:hAnsi="Bookman Old Style" w:cs="Arial"/>
        </w:rPr>
        <w:t xml:space="preserve"> CREG E-2021-00</w:t>
      </w:r>
      <w:r w:rsidR="00E227D2" w:rsidRPr="0086458B">
        <w:rPr>
          <w:rFonts w:ascii="Bookman Old Style" w:eastAsia="MS Mincho" w:hAnsi="Bookman Old Style" w:cs="Arial"/>
        </w:rPr>
        <w:t>6899</w:t>
      </w:r>
      <w:r w:rsidR="00392C4C" w:rsidRPr="0086458B">
        <w:rPr>
          <w:rFonts w:ascii="Bookman Old Style" w:eastAsia="MS Mincho" w:hAnsi="Bookman Old Style" w:cs="Arial"/>
        </w:rPr>
        <w:t xml:space="preserve"> </w:t>
      </w:r>
      <w:r w:rsidR="003A2779" w:rsidRPr="0086458B">
        <w:rPr>
          <w:rFonts w:ascii="Bookman Old Style" w:eastAsia="MS Mincho" w:hAnsi="Bookman Old Style" w:cs="Arial"/>
        </w:rPr>
        <w:t>y E-2021-006900</w:t>
      </w:r>
      <w:r w:rsidR="007E255E">
        <w:rPr>
          <w:rFonts w:ascii="Bookman Old Style" w:eastAsia="MS Mincho" w:hAnsi="Bookman Old Style" w:cs="Arial"/>
        </w:rPr>
        <w:t>,</w:t>
      </w:r>
      <w:r w:rsidR="003A2779" w:rsidRPr="0086458B">
        <w:rPr>
          <w:rFonts w:ascii="Bookman Old Style" w:eastAsia="MS Mincho" w:hAnsi="Bookman Old Style" w:cs="Arial"/>
        </w:rPr>
        <w:t xml:space="preserve"> </w:t>
      </w:r>
      <w:r w:rsidR="004B47C6">
        <w:rPr>
          <w:rFonts w:ascii="Bookman Old Style" w:eastAsia="MS Mincho" w:hAnsi="Bookman Old Style" w:cs="Arial"/>
        </w:rPr>
        <w:t xml:space="preserve">DUE allegó </w:t>
      </w:r>
      <w:r w:rsidR="00392C4C" w:rsidRPr="0086458B">
        <w:rPr>
          <w:rFonts w:ascii="Bookman Old Style" w:eastAsia="MS Mincho" w:hAnsi="Bookman Old Style" w:cs="Arial"/>
        </w:rPr>
        <w:t>las imágenes relacionadas en los radicados</w:t>
      </w:r>
      <w:r w:rsidR="00BD7955" w:rsidRPr="0086458B">
        <w:rPr>
          <w:rFonts w:ascii="Bookman Old Style" w:eastAsia="MS Mincho" w:hAnsi="Bookman Old Style" w:cs="Arial"/>
        </w:rPr>
        <w:t xml:space="preserve"> CREG</w:t>
      </w:r>
      <w:r w:rsidR="00392C4C" w:rsidRPr="0086458B">
        <w:rPr>
          <w:rFonts w:ascii="Bookman Old Style" w:eastAsia="MS Mincho" w:hAnsi="Bookman Old Style" w:cs="Arial"/>
        </w:rPr>
        <w:t xml:space="preserve"> E-2020-001041 y E-2020-001587</w:t>
      </w:r>
      <w:r w:rsidRPr="0086458B">
        <w:rPr>
          <w:rFonts w:ascii="Bookman Old Style" w:eastAsia="MS Mincho" w:hAnsi="Bookman Old Style" w:cs="Arial"/>
        </w:rPr>
        <w:t xml:space="preserve"> solicitadas mediante </w:t>
      </w:r>
      <w:r w:rsidR="00462F2F" w:rsidRPr="0086458B">
        <w:rPr>
          <w:rFonts w:ascii="Bookman Old Style" w:eastAsia="MS Mincho" w:hAnsi="Bookman Old Style" w:cs="Arial"/>
        </w:rPr>
        <w:t xml:space="preserve">el </w:t>
      </w:r>
      <w:r w:rsidRPr="0086458B">
        <w:rPr>
          <w:rFonts w:ascii="Bookman Old Style" w:eastAsia="MS Mincho" w:hAnsi="Bookman Old Style" w:cs="Arial"/>
        </w:rPr>
        <w:t>Auto I-2021-001628</w:t>
      </w:r>
      <w:r w:rsidR="003A2779" w:rsidRPr="0086458B">
        <w:rPr>
          <w:rFonts w:ascii="Bookman Old Style" w:eastAsia="MS Mincho" w:hAnsi="Bookman Old Style" w:cs="Arial"/>
        </w:rPr>
        <w:t xml:space="preserve">. </w:t>
      </w:r>
    </w:p>
    <w:p w14:paraId="62084565" w14:textId="77777777" w:rsidR="003A1744" w:rsidRPr="0086458B" w:rsidRDefault="003A1744" w:rsidP="00E57F55">
      <w:pPr>
        <w:ind w:left="284"/>
        <w:contextualSpacing/>
        <w:jc w:val="both"/>
        <w:rPr>
          <w:rFonts w:ascii="Bookman Old Style" w:eastAsia="MS Mincho" w:hAnsi="Bookman Old Style" w:cs="Arial"/>
        </w:rPr>
      </w:pPr>
    </w:p>
    <w:p w14:paraId="1ADCE240" w14:textId="7F4E187A" w:rsidR="007F0690" w:rsidRDefault="007F0690"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Med</w:t>
      </w:r>
      <w:r w:rsidR="00442E8E" w:rsidRPr="0086458B">
        <w:rPr>
          <w:rFonts w:ascii="Bookman Old Style" w:eastAsia="MS Mincho" w:hAnsi="Bookman Old Style" w:cs="Arial"/>
        </w:rPr>
        <w:t>iante</w:t>
      </w:r>
      <w:r w:rsidR="00EF3A97">
        <w:rPr>
          <w:rFonts w:ascii="Bookman Old Style" w:eastAsia="MS Mincho" w:hAnsi="Bookman Old Style" w:cs="Arial"/>
        </w:rPr>
        <w:t xml:space="preserve"> comunicaciones con </w:t>
      </w:r>
      <w:r w:rsidR="00442E8E" w:rsidRPr="0086458B">
        <w:rPr>
          <w:rFonts w:ascii="Bookman Old Style" w:eastAsia="MS Mincho" w:hAnsi="Bookman Old Style" w:cs="Arial"/>
        </w:rPr>
        <w:t>radicado</w:t>
      </w:r>
      <w:r w:rsidR="007E255E">
        <w:rPr>
          <w:rFonts w:ascii="Bookman Old Style" w:eastAsia="MS Mincho" w:hAnsi="Bookman Old Style" w:cs="Arial"/>
        </w:rPr>
        <w:t>s</w:t>
      </w:r>
      <w:r w:rsidR="00D51638" w:rsidRPr="0086458B">
        <w:rPr>
          <w:rFonts w:ascii="Bookman Old Style" w:eastAsia="MS Mincho" w:hAnsi="Bookman Old Style" w:cs="Arial"/>
        </w:rPr>
        <w:t xml:space="preserve"> </w:t>
      </w:r>
      <w:r w:rsidR="00442E8E" w:rsidRPr="0086458B">
        <w:rPr>
          <w:rFonts w:ascii="Bookman Old Style" w:eastAsia="MS Mincho" w:hAnsi="Bookman Old Style" w:cs="Arial"/>
        </w:rPr>
        <w:t>CREG E-2021-00</w:t>
      </w:r>
      <w:r w:rsidR="0015639C" w:rsidRPr="0086458B">
        <w:rPr>
          <w:rFonts w:ascii="Bookman Old Style" w:eastAsia="MS Mincho" w:hAnsi="Bookman Old Style" w:cs="Arial"/>
        </w:rPr>
        <w:t xml:space="preserve">7083 </w:t>
      </w:r>
      <w:r w:rsidR="00CA7EB0" w:rsidRPr="0086458B">
        <w:rPr>
          <w:rFonts w:ascii="Bookman Old Style" w:eastAsia="MS Mincho" w:hAnsi="Bookman Old Style" w:cs="Arial"/>
        </w:rPr>
        <w:t>y E-2021-007084</w:t>
      </w:r>
      <w:r w:rsidR="00292999">
        <w:rPr>
          <w:rFonts w:ascii="Bookman Old Style" w:eastAsia="MS Mincho" w:hAnsi="Bookman Old Style" w:cs="Arial"/>
        </w:rPr>
        <w:t>,</w:t>
      </w:r>
      <w:r w:rsidR="00CA7EB0" w:rsidRPr="0086458B">
        <w:rPr>
          <w:rFonts w:ascii="Bookman Old Style" w:eastAsia="MS Mincho" w:hAnsi="Bookman Old Style" w:cs="Arial"/>
        </w:rPr>
        <w:t xml:space="preserve"> el </w:t>
      </w:r>
      <w:r w:rsidR="00A00020">
        <w:rPr>
          <w:rFonts w:ascii="Bookman Old Style" w:eastAsia="MS Mincho" w:hAnsi="Bookman Old Style" w:cs="Arial"/>
        </w:rPr>
        <w:t xml:space="preserve">MME </w:t>
      </w:r>
      <w:r w:rsidR="00CA7EB0" w:rsidRPr="0086458B">
        <w:rPr>
          <w:rFonts w:ascii="Bookman Old Style" w:eastAsia="MS Mincho" w:hAnsi="Bookman Old Style" w:cs="Arial"/>
        </w:rPr>
        <w:t xml:space="preserve">rindió </w:t>
      </w:r>
      <w:r w:rsidR="007B45D8" w:rsidRPr="0086458B">
        <w:rPr>
          <w:rFonts w:ascii="Bookman Old Style" w:eastAsia="MS Mincho" w:hAnsi="Bookman Old Style" w:cs="Arial"/>
        </w:rPr>
        <w:t xml:space="preserve">el </w:t>
      </w:r>
      <w:r w:rsidR="00CA7EB0" w:rsidRPr="0086458B">
        <w:rPr>
          <w:rFonts w:ascii="Bookman Old Style" w:eastAsia="MS Mincho" w:hAnsi="Bookman Old Style" w:cs="Arial"/>
        </w:rPr>
        <w:t xml:space="preserve">informe </w:t>
      </w:r>
      <w:r w:rsidR="00972C0C" w:rsidRPr="0086458B">
        <w:rPr>
          <w:rFonts w:ascii="Bookman Old Style" w:eastAsia="MS Mincho" w:hAnsi="Bookman Old Style" w:cs="Arial"/>
        </w:rPr>
        <w:t>solicitado mediante Auto I-2021-001628</w:t>
      </w:r>
      <w:r w:rsidR="006D0BB8" w:rsidRPr="0086458B">
        <w:rPr>
          <w:rFonts w:ascii="Bookman Old Style" w:eastAsia="MS Mincho" w:hAnsi="Bookman Old Style" w:cs="Arial"/>
        </w:rPr>
        <w:t xml:space="preserve"> señalando entre otros</w:t>
      </w:r>
      <w:r w:rsidR="006B5C18" w:rsidRPr="0086458B">
        <w:rPr>
          <w:rFonts w:ascii="Bookman Old Style" w:eastAsia="MS Mincho" w:hAnsi="Bookman Old Style" w:cs="Arial"/>
        </w:rPr>
        <w:t xml:space="preserve"> aspectos</w:t>
      </w:r>
      <w:r w:rsidR="006D0BB8" w:rsidRPr="0086458B">
        <w:rPr>
          <w:rFonts w:ascii="Bookman Old Style" w:eastAsia="MS Mincho" w:hAnsi="Bookman Old Style" w:cs="Arial"/>
        </w:rPr>
        <w:t xml:space="preserve"> lo siguiente:</w:t>
      </w:r>
    </w:p>
    <w:p w14:paraId="6787B78F" w14:textId="77777777" w:rsidR="003A1744" w:rsidRPr="0086458B" w:rsidRDefault="003A1744" w:rsidP="00E57F55">
      <w:pPr>
        <w:ind w:left="284"/>
        <w:contextualSpacing/>
        <w:jc w:val="both"/>
        <w:rPr>
          <w:rFonts w:ascii="Bookman Old Style" w:eastAsia="MS Mincho" w:hAnsi="Bookman Old Style" w:cs="Arial"/>
        </w:rPr>
      </w:pPr>
    </w:p>
    <w:p w14:paraId="519C2DD1" w14:textId="2E5F62C2" w:rsidR="006435B9" w:rsidRPr="00045391" w:rsidRDefault="00BC7591" w:rsidP="00292999">
      <w:pPr>
        <w:ind w:left="567"/>
        <w:contextualSpacing/>
        <w:jc w:val="both"/>
        <w:rPr>
          <w:rFonts w:ascii="Bookman Old Style" w:eastAsia="MS Mincho" w:hAnsi="Bookman Old Style" w:cs="Arial"/>
          <w:i/>
          <w:iCs/>
          <w:sz w:val="20"/>
          <w:szCs w:val="20"/>
        </w:rPr>
      </w:pPr>
      <w:r w:rsidRPr="00045391">
        <w:rPr>
          <w:rFonts w:ascii="Bookman Old Style" w:eastAsia="MS Mincho" w:hAnsi="Bookman Old Style" w:cs="Arial"/>
          <w:i/>
          <w:iCs/>
          <w:sz w:val="20"/>
          <w:szCs w:val="20"/>
        </w:rPr>
        <w:t>“</w:t>
      </w:r>
      <w:r w:rsidR="001D366E"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Ta</w:t>
      </w:r>
      <w:r w:rsidR="00FD3AF8" w:rsidRPr="00045391">
        <w:rPr>
          <w:rFonts w:ascii="Bookman Old Style" w:eastAsia="MS Mincho" w:hAnsi="Bookman Old Style" w:cs="Arial"/>
          <w:i/>
          <w:iCs/>
          <w:sz w:val="20"/>
          <w:szCs w:val="20"/>
        </w:rPr>
        <w:t>l</w:t>
      </w:r>
      <w:r w:rsidR="006435B9" w:rsidRPr="00045391">
        <w:rPr>
          <w:rFonts w:ascii="Bookman Old Style" w:eastAsia="MS Mincho" w:hAnsi="Bookman Old Style" w:cs="Arial"/>
          <w:i/>
          <w:iCs/>
          <w:sz w:val="20"/>
          <w:szCs w:val="20"/>
        </w:rPr>
        <w:t xml:space="preserve"> como lo indica el contrato en mención, en la consideración sexta tanto la</w:t>
      </w:r>
      <w:r w:rsidR="00FD3AF8"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MCH Mitú, como la subestación Mitú y su línea de transmisión, así como la</w:t>
      </w:r>
      <w:r w:rsidR="00FD3AF8"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central de generación térmica de Mitú, conforman el SISTEMA DE</w:t>
      </w:r>
      <w:r w:rsidR="00FD3AF8"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GENERACIÓN ELÉCTRICA DE MITÚ que son propiedad del Ministerio de Minas y</w:t>
      </w:r>
      <w:r w:rsidR="00FD3AF8"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 xml:space="preserve">Energía, como lo establece la </w:t>
      </w:r>
      <w:r w:rsidR="0063083B" w:rsidRPr="00045391">
        <w:rPr>
          <w:rFonts w:ascii="Bookman Old Style" w:eastAsia="MS Mincho" w:hAnsi="Bookman Old Style" w:cs="Arial"/>
          <w:i/>
          <w:iCs/>
          <w:sz w:val="20"/>
          <w:szCs w:val="20"/>
        </w:rPr>
        <w:t>c</w:t>
      </w:r>
      <w:r w:rsidR="006435B9" w:rsidRPr="00045391">
        <w:rPr>
          <w:rFonts w:ascii="Bookman Old Style" w:eastAsia="MS Mincho" w:hAnsi="Bookman Old Style" w:cs="Arial"/>
          <w:i/>
          <w:iCs/>
          <w:sz w:val="20"/>
          <w:szCs w:val="20"/>
        </w:rPr>
        <w:t>láusula cuarta numeral primero al indicar que</w:t>
      </w:r>
      <w:r w:rsidR="00FD3AF8"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el Ministerio conserva sobre los bienes objeto del contrato su disposición,</w:t>
      </w:r>
      <w:r w:rsidR="00FD3AF8" w:rsidRPr="00045391">
        <w:rPr>
          <w:rFonts w:ascii="Bookman Old Style" w:eastAsia="MS Mincho" w:hAnsi="Bookman Old Style" w:cs="Arial"/>
          <w:i/>
          <w:iCs/>
          <w:sz w:val="20"/>
          <w:szCs w:val="20"/>
        </w:rPr>
        <w:t xml:space="preserve"> </w:t>
      </w:r>
      <w:r w:rsidR="006435B9" w:rsidRPr="00045391">
        <w:rPr>
          <w:rFonts w:ascii="Bookman Old Style" w:eastAsia="MS Mincho" w:hAnsi="Bookman Old Style" w:cs="Arial"/>
          <w:i/>
          <w:iCs/>
          <w:sz w:val="20"/>
          <w:szCs w:val="20"/>
        </w:rPr>
        <w:t>pero no el uso y goce de los mismos.</w:t>
      </w:r>
      <w:r w:rsidRPr="00045391">
        <w:rPr>
          <w:rFonts w:ascii="Bookman Old Style" w:eastAsia="MS Mincho" w:hAnsi="Bookman Old Style" w:cs="Arial"/>
          <w:i/>
          <w:iCs/>
          <w:sz w:val="20"/>
          <w:szCs w:val="20"/>
        </w:rPr>
        <w:t xml:space="preserve"> </w:t>
      </w:r>
      <w:r w:rsidR="0063083B" w:rsidRPr="00045391">
        <w:rPr>
          <w:rFonts w:ascii="Bookman Old Style" w:eastAsia="MS Mincho" w:hAnsi="Bookman Old Style" w:cs="Arial"/>
          <w:i/>
          <w:iCs/>
          <w:sz w:val="20"/>
          <w:szCs w:val="20"/>
        </w:rPr>
        <w:t>(…)</w:t>
      </w:r>
    </w:p>
    <w:p w14:paraId="2ED812F9" w14:textId="77777777" w:rsidR="00465BB9" w:rsidRDefault="00465BB9" w:rsidP="00292999">
      <w:pPr>
        <w:ind w:left="567"/>
        <w:contextualSpacing/>
        <w:jc w:val="both"/>
        <w:rPr>
          <w:rFonts w:ascii="Bookman Old Style" w:eastAsia="MS Mincho" w:hAnsi="Bookman Old Style" w:cs="Arial"/>
          <w:i/>
          <w:iCs/>
          <w:sz w:val="20"/>
          <w:szCs w:val="20"/>
          <w:lang w:val="es-CO"/>
        </w:rPr>
      </w:pPr>
    </w:p>
    <w:p w14:paraId="275E51BA" w14:textId="1B83273C" w:rsidR="00465BB9" w:rsidRDefault="00716AB3" w:rsidP="00292999">
      <w:pPr>
        <w:ind w:left="567"/>
        <w:contextualSpacing/>
        <w:jc w:val="both"/>
        <w:rPr>
          <w:rFonts w:ascii="Bookman Old Style" w:eastAsia="MS Mincho" w:hAnsi="Bookman Old Style" w:cs="Arial"/>
          <w:i/>
          <w:iCs/>
          <w:sz w:val="20"/>
          <w:szCs w:val="20"/>
          <w:lang w:val="es-CO"/>
        </w:rPr>
      </w:pPr>
      <w:r w:rsidRPr="00716AB3">
        <w:rPr>
          <w:rFonts w:ascii="Bookman Old Style" w:eastAsia="MS Mincho" w:hAnsi="Bookman Old Style" w:cs="Arial"/>
          <w:i/>
          <w:iCs/>
          <w:sz w:val="20"/>
          <w:szCs w:val="20"/>
          <w:lang w:val="es-CO"/>
        </w:rPr>
        <w:t>El Contrato Interadministrativo FAZNI GSA 090 de 2007, suscrito entre el</w:t>
      </w:r>
      <w:r w:rsidR="003309A5">
        <w:rPr>
          <w:rFonts w:ascii="Bookman Old Style" w:eastAsia="MS Mincho" w:hAnsi="Bookman Old Style" w:cs="Arial"/>
          <w:i/>
          <w:iCs/>
          <w:sz w:val="20"/>
          <w:szCs w:val="20"/>
          <w:lang w:val="es-CO"/>
        </w:rPr>
        <w:t xml:space="preserve"> </w:t>
      </w:r>
      <w:r w:rsidRPr="00716AB3">
        <w:rPr>
          <w:rFonts w:ascii="Bookman Old Style" w:eastAsia="MS Mincho" w:hAnsi="Bookman Old Style" w:cs="Arial"/>
          <w:i/>
          <w:iCs/>
          <w:sz w:val="20"/>
          <w:szCs w:val="20"/>
          <w:lang w:val="es-CO"/>
        </w:rPr>
        <w:t>Ministerio de Minas y Energía y GENSA S.A. ESP, tuvo por objeto la</w:t>
      </w:r>
      <w:r w:rsidR="003309A5">
        <w:rPr>
          <w:rFonts w:ascii="Bookman Old Style" w:eastAsia="MS Mincho" w:hAnsi="Bookman Old Style" w:cs="Arial"/>
          <w:i/>
          <w:iCs/>
          <w:sz w:val="20"/>
          <w:szCs w:val="20"/>
          <w:lang w:val="es-CO"/>
        </w:rPr>
        <w:t xml:space="preserve"> </w:t>
      </w:r>
      <w:r w:rsidRPr="00716AB3">
        <w:rPr>
          <w:rFonts w:ascii="Bookman Old Style" w:eastAsia="MS Mincho" w:hAnsi="Bookman Old Style" w:cs="Arial"/>
          <w:i/>
          <w:iCs/>
          <w:sz w:val="20"/>
          <w:szCs w:val="20"/>
          <w:lang w:val="es-CO"/>
        </w:rPr>
        <w:t>administración general y ejecución de los recursos del Fondo FAZNI asignados</w:t>
      </w:r>
      <w:r w:rsidR="003309A5">
        <w:rPr>
          <w:rFonts w:ascii="Bookman Old Style" w:eastAsia="MS Mincho" w:hAnsi="Bookman Old Style" w:cs="Arial"/>
          <w:i/>
          <w:iCs/>
          <w:sz w:val="20"/>
          <w:szCs w:val="20"/>
          <w:lang w:val="es-CO"/>
        </w:rPr>
        <w:t xml:space="preserve"> </w:t>
      </w:r>
      <w:r w:rsidRPr="00716AB3">
        <w:rPr>
          <w:rFonts w:ascii="Bookman Old Style" w:eastAsia="MS Mincho" w:hAnsi="Bookman Old Style" w:cs="Arial"/>
          <w:i/>
          <w:iCs/>
          <w:sz w:val="20"/>
          <w:szCs w:val="20"/>
          <w:lang w:val="es-CO"/>
        </w:rPr>
        <w:t>para varios proyectos de inversión, entre ellos el BFAZNI 118A sobre la</w:t>
      </w:r>
      <w:r w:rsidR="003833F9">
        <w:rPr>
          <w:rFonts w:ascii="Bookman Old Style" w:eastAsia="MS Mincho" w:hAnsi="Bookman Old Style" w:cs="Arial"/>
          <w:i/>
          <w:iCs/>
          <w:sz w:val="20"/>
          <w:szCs w:val="20"/>
          <w:lang w:val="es-CO"/>
        </w:rPr>
        <w:t xml:space="preserve"> </w:t>
      </w:r>
      <w:r w:rsidRPr="00716AB3">
        <w:rPr>
          <w:rFonts w:ascii="Bookman Old Style" w:eastAsia="MS Mincho" w:hAnsi="Bookman Old Style" w:cs="Arial"/>
          <w:i/>
          <w:iCs/>
          <w:sz w:val="20"/>
          <w:szCs w:val="20"/>
          <w:lang w:val="es-CO"/>
        </w:rPr>
        <w:t>ampliación de redes rurales de media y baja tensión en el municipio de Mitú</w:t>
      </w:r>
      <w:r w:rsidR="003833F9">
        <w:rPr>
          <w:rFonts w:ascii="Bookman Old Style" w:eastAsia="MS Mincho" w:hAnsi="Bookman Old Style" w:cs="Arial"/>
          <w:i/>
          <w:iCs/>
          <w:sz w:val="20"/>
          <w:szCs w:val="20"/>
          <w:lang w:val="es-CO"/>
        </w:rPr>
        <w:t xml:space="preserve"> </w:t>
      </w:r>
      <w:r w:rsidRPr="00716AB3">
        <w:rPr>
          <w:rFonts w:ascii="Bookman Old Style" w:eastAsia="MS Mincho" w:hAnsi="Bookman Old Style" w:cs="Arial"/>
          <w:i/>
          <w:iCs/>
          <w:sz w:val="20"/>
          <w:szCs w:val="20"/>
          <w:lang w:val="es-CO"/>
        </w:rPr>
        <w:t>(Vaupés) que se realizó mediante los siguientes contratos derivados:</w:t>
      </w:r>
      <w:r w:rsidR="003833F9">
        <w:rPr>
          <w:rFonts w:ascii="Bookman Old Style" w:eastAsia="MS Mincho" w:hAnsi="Bookman Old Style" w:cs="Arial"/>
          <w:i/>
          <w:iCs/>
          <w:sz w:val="20"/>
          <w:szCs w:val="20"/>
          <w:lang w:val="es-CO"/>
        </w:rPr>
        <w:t xml:space="preserve"> (…) </w:t>
      </w:r>
    </w:p>
    <w:p w14:paraId="7A24EAC2" w14:textId="77777777" w:rsidR="00465BB9" w:rsidRDefault="00465BB9" w:rsidP="00292999">
      <w:pPr>
        <w:ind w:left="567"/>
        <w:contextualSpacing/>
        <w:jc w:val="both"/>
        <w:rPr>
          <w:rFonts w:ascii="Bookman Old Style" w:eastAsia="MS Mincho" w:hAnsi="Bookman Old Style" w:cs="Arial"/>
          <w:i/>
          <w:iCs/>
          <w:sz w:val="20"/>
          <w:szCs w:val="20"/>
          <w:lang w:val="es-CO"/>
        </w:rPr>
      </w:pPr>
    </w:p>
    <w:p w14:paraId="75BF4A32" w14:textId="4E5559C2" w:rsidR="00465BB9" w:rsidRDefault="0061177C" w:rsidP="00292999">
      <w:pPr>
        <w:ind w:left="567"/>
        <w:contextualSpacing/>
        <w:jc w:val="both"/>
        <w:rPr>
          <w:rFonts w:ascii="Bookman Old Style" w:eastAsia="MS Mincho" w:hAnsi="Bookman Old Style" w:cs="Arial"/>
          <w:i/>
          <w:iCs/>
          <w:sz w:val="20"/>
          <w:szCs w:val="20"/>
          <w:lang w:val="es-CO"/>
        </w:rPr>
      </w:pPr>
      <w:r w:rsidRPr="0061177C">
        <w:rPr>
          <w:rFonts w:ascii="Bookman Old Style" w:eastAsia="MS Mincho" w:hAnsi="Bookman Old Style" w:cs="Arial"/>
          <w:i/>
          <w:iCs/>
          <w:sz w:val="20"/>
          <w:szCs w:val="20"/>
          <w:lang w:val="es-CO"/>
        </w:rPr>
        <w:t>Contratar la ampliación de</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redes rurales de Media y Baja</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Tensión en la Comunidad de</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Timbo Betania y Santa Cruz del</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municipio de Mitú,</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departamento del Vaupés.</w:t>
      </w:r>
      <w:r w:rsidR="00FD6565">
        <w:rPr>
          <w:rFonts w:ascii="Bookman Old Style" w:eastAsia="MS Mincho" w:hAnsi="Bookman Old Style" w:cs="Arial"/>
          <w:i/>
          <w:iCs/>
          <w:sz w:val="20"/>
          <w:szCs w:val="20"/>
          <w:lang w:val="es-CO"/>
        </w:rPr>
        <w:t xml:space="preserve"> (…)</w:t>
      </w:r>
    </w:p>
    <w:p w14:paraId="5B2B74E6" w14:textId="77777777" w:rsidR="00465BB9" w:rsidRDefault="00465BB9" w:rsidP="00292999">
      <w:pPr>
        <w:ind w:left="567"/>
        <w:contextualSpacing/>
        <w:jc w:val="both"/>
        <w:rPr>
          <w:rFonts w:ascii="Bookman Old Style" w:eastAsia="MS Mincho" w:hAnsi="Bookman Old Style" w:cs="Arial"/>
          <w:i/>
          <w:iCs/>
          <w:sz w:val="20"/>
          <w:szCs w:val="20"/>
          <w:lang w:val="es-CO"/>
        </w:rPr>
      </w:pPr>
    </w:p>
    <w:p w14:paraId="3A41F0C4" w14:textId="4345ADCD" w:rsidR="00465BB9" w:rsidRDefault="009A3DAF" w:rsidP="00292999">
      <w:pPr>
        <w:ind w:left="567"/>
        <w:contextualSpacing/>
        <w:jc w:val="both"/>
        <w:rPr>
          <w:rFonts w:ascii="Bookman Old Style" w:eastAsia="MS Mincho" w:hAnsi="Bookman Old Style" w:cs="Arial"/>
          <w:i/>
          <w:iCs/>
          <w:sz w:val="20"/>
          <w:szCs w:val="20"/>
          <w:lang w:val="es-CO"/>
        </w:rPr>
      </w:pPr>
      <w:r w:rsidRPr="009A3DAF">
        <w:rPr>
          <w:rFonts w:ascii="Bookman Old Style" w:eastAsia="MS Mincho" w:hAnsi="Bookman Old Style" w:cs="Arial"/>
          <w:i/>
          <w:iCs/>
          <w:sz w:val="20"/>
          <w:szCs w:val="20"/>
          <w:lang w:val="es-CO"/>
        </w:rPr>
        <w:t>El Otrosí No. 4 del contrato interadministrativo FAZNI GSA 090 de 2007</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suscrito entre el Ministerio y GENSA S.A. ESP manifiesta en su consideración</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 xml:space="preserve">4ta: </w:t>
      </w:r>
      <w:r>
        <w:rPr>
          <w:rFonts w:ascii="Bookman Old Style" w:eastAsia="MS Mincho" w:hAnsi="Bookman Old Style" w:cs="Arial"/>
          <w:i/>
          <w:iCs/>
          <w:sz w:val="20"/>
          <w:szCs w:val="20"/>
          <w:lang w:val="es-CO"/>
        </w:rPr>
        <w:t>‘</w:t>
      </w:r>
      <w:r w:rsidRPr="009A3DAF">
        <w:rPr>
          <w:rFonts w:ascii="Bookman Old Style" w:eastAsia="MS Mincho" w:hAnsi="Bookman Old Style" w:cs="Arial"/>
          <w:i/>
          <w:iCs/>
          <w:sz w:val="20"/>
          <w:szCs w:val="20"/>
          <w:lang w:val="es-CO"/>
        </w:rPr>
        <w:t>que según lo informado por la Dirección de Energía, el proyecto incluido</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en el Convenio 90 de 2007 consideró el uso de la infraestructura de</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interconexión de la MCH de Mitú, con el fin de optimizar costos de construcción</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y disminuir el impacto ambientan de las líneas de interconexión, así como el</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costo de operación y mantenimiento de ambas infraestructuras. Lo anterior,</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hasta donde exista eficiencia económica y operativa en la propuesta</w:t>
      </w:r>
      <w:r>
        <w:rPr>
          <w:rFonts w:ascii="Bookman Old Style" w:eastAsia="MS Mincho" w:hAnsi="Bookman Old Style" w:cs="Arial"/>
          <w:i/>
          <w:iCs/>
          <w:sz w:val="20"/>
          <w:szCs w:val="20"/>
          <w:lang w:val="es-CO"/>
        </w:rPr>
        <w:t>’</w:t>
      </w:r>
    </w:p>
    <w:p w14:paraId="6085C390" w14:textId="77777777" w:rsidR="00465BB9" w:rsidRDefault="00465BB9" w:rsidP="00292999">
      <w:pPr>
        <w:ind w:left="567"/>
        <w:contextualSpacing/>
        <w:jc w:val="both"/>
        <w:rPr>
          <w:rFonts w:ascii="Bookman Old Style" w:eastAsia="MS Mincho" w:hAnsi="Bookman Old Style" w:cs="Arial"/>
          <w:i/>
          <w:iCs/>
          <w:sz w:val="20"/>
          <w:szCs w:val="20"/>
          <w:lang w:val="es-CO"/>
        </w:rPr>
      </w:pPr>
    </w:p>
    <w:p w14:paraId="1BC5C53F" w14:textId="4FA0AA21" w:rsidR="00465BB9" w:rsidRDefault="00D75ECD" w:rsidP="00292999">
      <w:pPr>
        <w:ind w:left="567"/>
        <w:contextualSpacing/>
        <w:jc w:val="both"/>
        <w:rPr>
          <w:rFonts w:ascii="Bookman Old Style" w:eastAsia="MS Mincho" w:hAnsi="Bookman Old Style" w:cs="Arial"/>
          <w:i/>
          <w:iCs/>
          <w:sz w:val="20"/>
          <w:szCs w:val="20"/>
          <w:lang w:val="es-CO"/>
        </w:rPr>
      </w:pPr>
      <w:r w:rsidRPr="00D75ECD">
        <w:rPr>
          <w:rFonts w:ascii="Bookman Old Style" w:eastAsia="MS Mincho" w:hAnsi="Bookman Old Style" w:cs="Arial"/>
          <w:i/>
          <w:iCs/>
          <w:sz w:val="20"/>
          <w:szCs w:val="20"/>
          <w:lang w:val="es-CO"/>
        </w:rPr>
        <w:t>En resumen, el Ministerio de Minas y Energía es el propietario de la red de</w:t>
      </w:r>
      <w:r w:rsidR="00BF5869">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distribución de baja tensión en los sectores comprendidos entre la</w:t>
      </w:r>
      <w:r w:rsidR="00BF5869">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Subestación Mitú y las poblaciones de: Caño Mituceño (carretera), Ceima</w:t>
      </w:r>
      <w:r w:rsidR="00BF5869">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Cachivera, Ceima San Pablo, La Sabana, Cucura, Pueblo Nuevo, Yararaca,</w:t>
      </w:r>
      <w:r w:rsidR="005E3344">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Puente de Lata (Torre No. 52), Puerto Paloma, Puerto Esperanza, Tucandira,</w:t>
      </w:r>
      <w:r w:rsidR="009C64F7">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Muratinga, Timbo de Betania y Santa Cruz.</w:t>
      </w:r>
      <w:r w:rsidR="004305D0">
        <w:rPr>
          <w:rFonts w:ascii="Bookman Old Style" w:eastAsia="MS Mincho" w:hAnsi="Bookman Old Style" w:cs="Arial"/>
          <w:i/>
          <w:iCs/>
          <w:sz w:val="20"/>
          <w:szCs w:val="20"/>
          <w:lang w:val="es-CO"/>
        </w:rPr>
        <w:t xml:space="preserve"> (…)</w:t>
      </w:r>
    </w:p>
    <w:p w14:paraId="0CEB7583" w14:textId="77777777" w:rsidR="004305D0" w:rsidRDefault="004305D0" w:rsidP="00292999">
      <w:pPr>
        <w:ind w:left="567"/>
        <w:contextualSpacing/>
        <w:jc w:val="both"/>
        <w:rPr>
          <w:rFonts w:ascii="Bookman Old Style" w:eastAsia="MS Mincho" w:hAnsi="Bookman Old Style" w:cs="Arial"/>
          <w:i/>
          <w:iCs/>
          <w:sz w:val="20"/>
          <w:szCs w:val="20"/>
          <w:lang w:val="es-CO"/>
        </w:rPr>
      </w:pPr>
    </w:p>
    <w:p w14:paraId="06A6879F" w14:textId="011AADAF" w:rsidR="004305D0" w:rsidRDefault="004305D0" w:rsidP="00292999">
      <w:pPr>
        <w:ind w:left="567"/>
        <w:contextualSpacing/>
        <w:jc w:val="both"/>
        <w:rPr>
          <w:rFonts w:ascii="Bookman Old Style" w:eastAsia="MS Mincho" w:hAnsi="Bookman Old Style" w:cs="Arial"/>
          <w:i/>
          <w:iCs/>
          <w:sz w:val="20"/>
          <w:szCs w:val="20"/>
          <w:lang w:val="es-CO"/>
        </w:rPr>
      </w:pPr>
      <w:r w:rsidRPr="004305D0">
        <w:rPr>
          <w:rFonts w:ascii="Bookman Old Style" w:eastAsia="MS Mincho" w:hAnsi="Bookman Old Style" w:cs="Arial"/>
          <w:i/>
          <w:iCs/>
          <w:sz w:val="20"/>
          <w:szCs w:val="20"/>
          <w:lang w:val="es-CO"/>
        </w:rPr>
        <w:t>Los proyectos arriba descritos, fueron entregados a la Gobernación del Vaupés</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para su Administración, Operación y Mantenimiento mediante acta del 23 de</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febrero de 2015, quien es el responsable de los mantenimientos, reparaciones</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o reposiciones a que haya lugar para garantizar la calidad y continuidad del</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servicio.</w:t>
      </w:r>
      <w:r w:rsidR="00101198">
        <w:rPr>
          <w:rFonts w:ascii="Bookman Old Style" w:eastAsia="MS Mincho" w:hAnsi="Bookman Old Style" w:cs="Arial"/>
          <w:i/>
          <w:iCs/>
          <w:sz w:val="20"/>
          <w:szCs w:val="20"/>
          <w:lang w:val="es-CO"/>
        </w:rPr>
        <w:t xml:space="preserve"> (…)</w:t>
      </w:r>
    </w:p>
    <w:p w14:paraId="1699DF10" w14:textId="47846BFE" w:rsidR="52648E45" w:rsidRPr="00045391" w:rsidRDefault="52648E45" w:rsidP="00292999">
      <w:pPr>
        <w:ind w:left="567"/>
        <w:contextualSpacing/>
        <w:jc w:val="both"/>
        <w:rPr>
          <w:rFonts w:ascii="Bookman Old Style" w:eastAsia="MS Mincho" w:hAnsi="Bookman Old Style" w:cs="Arial"/>
          <w:i/>
          <w:iCs/>
          <w:sz w:val="20"/>
          <w:szCs w:val="20"/>
          <w:lang w:val="es-CO"/>
        </w:rPr>
      </w:pPr>
    </w:p>
    <w:p w14:paraId="5E59D758" w14:textId="511C147D" w:rsidR="000E2F39" w:rsidRPr="00045391" w:rsidRDefault="006B5C18" w:rsidP="00292999">
      <w:pPr>
        <w:ind w:left="567"/>
        <w:contextualSpacing/>
        <w:jc w:val="both"/>
        <w:rPr>
          <w:rFonts w:ascii="Bookman Old Style" w:eastAsia="MS Mincho" w:hAnsi="Bookman Old Style" w:cs="Arial"/>
          <w:i/>
          <w:iCs/>
          <w:sz w:val="20"/>
          <w:szCs w:val="20"/>
          <w:lang w:val="es-CO"/>
        </w:rPr>
      </w:pPr>
      <w:r w:rsidRPr="00045391">
        <w:rPr>
          <w:rFonts w:ascii="Bookman Old Style" w:eastAsia="MS Mincho" w:hAnsi="Bookman Old Style" w:cs="Arial"/>
          <w:i/>
          <w:iCs/>
          <w:sz w:val="20"/>
          <w:szCs w:val="20"/>
          <w:lang w:val="es-CO"/>
        </w:rPr>
        <w:t xml:space="preserve">(…) </w:t>
      </w:r>
      <w:r w:rsidR="000E2F39" w:rsidRPr="00045391">
        <w:rPr>
          <w:rFonts w:ascii="Bookman Old Style" w:eastAsia="MS Mincho" w:hAnsi="Bookman Old Style" w:cs="Arial"/>
          <w:i/>
          <w:iCs/>
          <w:sz w:val="20"/>
          <w:szCs w:val="20"/>
          <w:lang w:val="es-CO"/>
        </w:rPr>
        <w:t>Para el caso objeto de la consulta, es de tener en cuenta que se debe contar con un diseño detallado que incluya los aspectos del numeral 10.1.1 que le apliquen, debido a que se trata de una instalación clasificada como especial. Es importante resaltar que el RETIE determina que la profundidad con que se traten los temas dependerá de la complejidad y el nivel de riesgo asociado al tipo de instalación.</w:t>
      </w:r>
    </w:p>
    <w:p w14:paraId="4FA99D5E" w14:textId="75040EF4" w:rsidR="11800250" w:rsidRPr="00045391" w:rsidRDefault="11800250" w:rsidP="00292999">
      <w:pPr>
        <w:ind w:left="567"/>
        <w:contextualSpacing/>
        <w:jc w:val="both"/>
        <w:rPr>
          <w:rFonts w:ascii="Bookman Old Style" w:eastAsia="MS Mincho" w:hAnsi="Bookman Old Style" w:cs="Arial"/>
          <w:i/>
          <w:iCs/>
          <w:sz w:val="20"/>
          <w:szCs w:val="20"/>
          <w:lang w:val="es-CO"/>
        </w:rPr>
      </w:pPr>
    </w:p>
    <w:p w14:paraId="0E8C34FF" w14:textId="15F2C441" w:rsidR="000E2F39" w:rsidRPr="00045391" w:rsidRDefault="000E2F39" w:rsidP="00292999">
      <w:pPr>
        <w:ind w:left="567"/>
        <w:contextualSpacing/>
        <w:jc w:val="both"/>
        <w:rPr>
          <w:rFonts w:ascii="Bookman Old Style" w:eastAsia="MS Mincho" w:hAnsi="Bookman Old Style" w:cs="Arial"/>
          <w:i/>
          <w:iCs/>
          <w:sz w:val="20"/>
          <w:szCs w:val="20"/>
          <w:lang w:val="es-CO"/>
        </w:rPr>
      </w:pPr>
      <w:r w:rsidRPr="00045391">
        <w:rPr>
          <w:rFonts w:ascii="Bookman Old Style" w:eastAsia="MS Mincho" w:hAnsi="Bookman Old Style" w:cs="Arial"/>
          <w:i/>
          <w:iCs/>
          <w:sz w:val="20"/>
          <w:szCs w:val="20"/>
          <w:lang w:val="es-CO"/>
        </w:rPr>
        <w:t>Por otra parte, es preciso aclarar que el RETIE clasifica este tipo de sistemas como instalaciones especiales, de acuerdo a lo establecido en el numeral 28.3. Por lo tanto, una vez instalado el sistema solar fotovoltaico, y previo a su energización, debe contar con una certificación compuesta por una declaración del responsable de la instalación eléctrica según lo establecido en el numeral 34.2, y un dictamen de inspección emitido por un organismo de inspección acreditado por el ONAC, en concordancia con lo establecido en el numeral 34.4.1 del reglamento.</w:t>
      </w:r>
    </w:p>
    <w:p w14:paraId="206028F9" w14:textId="77777777" w:rsidR="003E6A54" w:rsidRPr="00045391" w:rsidRDefault="003E6A54" w:rsidP="00292999">
      <w:pPr>
        <w:ind w:left="567"/>
        <w:contextualSpacing/>
        <w:jc w:val="both"/>
        <w:rPr>
          <w:rFonts w:ascii="Bookman Old Style" w:eastAsia="MS Mincho" w:hAnsi="Bookman Old Style" w:cs="Arial"/>
          <w:i/>
          <w:iCs/>
          <w:sz w:val="20"/>
          <w:szCs w:val="20"/>
          <w:lang w:val="es-CO"/>
        </w:rPr>
      </w:pPr>
    </w:p>
    <w:p w14:paraId="1E154725" w14:textId="1E21A6F5" w:rsidR="00502FB4" w:rsidRPr="00045391" w:rsidRDefault="000E2F39" w:rsidP="00292999">
      <w:pPr>
        <w:ind w:left="567"/>
        <w:contextualSpacing/>
        <w:jc w:val="both"/>
        <w:rPr>
          <w:rFonts w:ascii="Bookman Old Style" w:eastAsia="MS Mincho" w:hAnsi="Bookman Old Style" w:cs="Arial"/>
          <w:sz w:val="20"/>
          <w:szCs w:val="20"/>
          <w:lang w:val="es-CO"/>
        </w:rPr>
      </w:pPr>
      <w:r w:rsidRPr="00045391">
        <w:rPr>
          <w:rFonts w:ascii="Bookman Old Style" w:eastAsia="MS Mincho" w:hAnsi="Bookman Old Style" w:cs="Arial"/>
          <w:i/>
          <w:iCs/>
          <w:sz w:val="20"/>
          <w:szCs w:val="20"/>
          <w:lang w:val="es-CO"/>
        </w:rPr>
        <w:t>Es importante aclarar que los aspectos técnicos que debe cumplir la instalación eléctrica de los sistemas solares fotovoltaicos, se relacionan en la sección 690 de la norma técnica NTC 2050 primera actualización, dado que el RETIE hace obligatorio los primeros 7 capítulos de dicha norma, y además los numerales 20.22 y 20.3.10 relacionados con sistemas solares fotovoltaicos, que referencian los criterios técnicos de instalación de la sección 690 de la NTC 2050.</w:t>
      </w:r>
      <w:r w:rsidR="00522FA4">
        <w:rPr>
          <w:rFonts w:ascii="Bookman Old Style" w:eastAsia="MS Mincho" w:hAnsi="Bookman Old Style" w:cs="Arial"/>
          <w:i/>
          <w:iCs/>
          <w:sz w:val="20"/>
          <w:szCs w:val="20"/>
          <w:lang w:val="es-CO"/>
        </w:rPr>
        <w:t xml:space="preserve"> </w:t>
      </w:r>
      <w:r w:rsidR="00CB4B24" w:rsidRPr="00045391">
        <w:rPr>
          <w:rFonts w:ascii="Bookman Old Style" w:eastAsia="MS Mincho" w:hAnsi="Bookman Old Style" w:cs="Arial"/>
          <w:i/>
          <w:iCs/>
          <w:sz w:val="20"/>
          <w:szCs w:val="20"/>
          <w:lang w:val="es-CO"/>
        </w:rPr>
        <w:t>(…)”</w:t>
      </w:r>
    </w:p>
    <w:p w14:paraId="11186B94" w14:textId="1A051E04" w:rsidR="001C082D" w:rsidRPr="0086458B" w:rsidRDefault="008A3CBB" w:rsidP="00E57F5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Mediante </w:t>
      </w:r>
      <w:r w:rsidR="00DC49A6" w:rsidRPr="0086458B">
        <w:rPr>
          <w:rFonts w:ascii="Bookman Old Style" w:eastAsia="MS Mincho" w:hAnsi="Bookman Old Style" w:cs="Arial"/>
          <w:lang w:val="es-CO"/>
        </w:rPr>
        <w:t>comunicación con radicado CREG E-2021-00</w:t>
      </w:r>
      <w:r w:rsidR="00C747E2" w:rsidRPr="0086458B">
        <w:rPr>
          <w:rFonts w:ascii="Bookman Old Style" w:eastAsia="MS Mincho" w:hAnsi="Bookman Old Style" w:cs="Arial"/>
          <w:lang w:val="es-CO"/>
        </w:rPr>
        <w:t>7149</w:t>
      </w:r>
      <w:r w:rsidR="00D70B59">
        <w:rPr>
          <w:rFonts w:ascii="Bookman Old Style" w:eastAsia="MS Mincho" w:hAnsi="Bookman Old Style" w:cs="Arial"/>
          <w:lang w:val="es-CO"/>
        </w:rPr>
        <w:t>, suscrita por</w:t>
      </w:r>
      <w:r w:rsidR="00C747E2" w:rsidRPr="0086458B">
        <w:rPr>
          <w:rFonts w:ascii="Bookman Old Style" w:eastAsia="MS Mincho" w:hAnsi="Bookman Old Style" w:cs="Arial"/>
          <w:lang w:val="es-CO"/>
        </w:rPr>
        <w:t xml:space="preserve"> </w:t>
      </w:r>
      <w:r w:rsidR="00F86F63" w:rsidRPr="0086458B">
        <w:rPr>
          <w:rFonts w:ascii="Bookman Old Style" w:eastAsia="MS Mincho" w:hAnsi="Bookman Old Style" w:cs="Arial"/>
          <w:lang w:val="es-CO"/>
        </w:rPr>
        <w:t>GENSA</w:t>
      </w:r>
      <w:r w:rsidR="00C747E2" w:rsidRPr="0086458B">
        <w:rPr>
          <w:rFonts w:ascii="Bookman Old Style" w:eastAsia="MS Mincho" w:hAnsi="Bookman Old Style" w:cs="Arial"/>
          <w:lang w:val="es-CO"/>
        </w:rPr>
        <w:t xml:space="preserve"> </w:t>
      </w:r>
      <w:r w:rsidR="001D3F08" w:rsidRPr="0086458B">
        <w:rPr>
          <w:rFonts w:ascii="Bookman Old Style" w:eastAsia="MS Mincho" w:hAnsi="Bookman Old Style" w:cs="Arial"/>
          <w:lang w:val="es-CO"/>
        </w:rPr>
        <w:t xml:space="preserve">y </w:t>
      </w:r>
      <w:r w:rsidR="00242CED">
        <w:rPr>
          <w:rFonts w:ascii="Bookman Old Style" w:eastAsia="MS Mincho" w:hAnsi="Bookman Old Style" w:cs="Arial"/>
          <w:lang w:val="es-CO"/>
        </w:rPr>
        <w:t>DUE</w:t>
      </w:r>
      <w:r w:rsidR="00462F2F" w:rsidRPr="0086458B">
        <w:rPr>
          <w:rFonts w:ascii="Bookman Old Style" w:eastAsia="MS Mincho" w:hAnsi="Bookman Old Style" w:cs="Arial"/>
          <w:lang w:val="es-CO"/>
        </w:rPr>
        <w:t>,</w:t>
      </w:r>
      <w:r w:rsidR="001D3F08" w:rsidRPr="0086458B">
        <w:rPr>
          <w:rFonts w:ascii="Bookman Old Style" w:eastAsia="MS Mincho" w:hAnsi="Bookman Old Style" w:cs="Arial"/>
          <w:lang w:val="es-CO"/>
        </w:rPr>
        <w:t xml:space="preserve"> </w:t>
      </w:r>
      <w:r w:rsidR="00B9638E">
        <w:rPr>
          <w:rFonts w:ascii="Bookman Old Style" w:eastAsia="MS Mincho" w:hAnsi="Bookman Old Style" w:cs="Arial"/>
          <w:lang w:val="es-CO"/>
        </w:rPr>
        <w:t xml:space="preserve">se </w:t>
      </w:r>
      <w:r w:rsidR="00C747E2" w:rsidRPr="0086458B">
        <w:rPr>
          <w:rFonts w:ascii="Bookman Old Style" w:eastAsia="MS Mincho" w:hAnsi="Bookman Old Style" w:cs="Arial"/>
          <w:lang w:val="es-CO"/>
        </w:rPr>
        <w:t>solicit</w:t>
      </w:r>
      <w:r w:rsidR="00B9638E">
        <w:rPr>
          <w:rFonts w:ascii="Bookman Old Style" w:eastAsia="MS Mincho" w:hAnsi="Bookman Old Style" w:cs="Arial"/>
          <w:lang w:val="es-CO"/>
        </w:rPr>
        <w:t>ó</w:t>
      </w:r>
      <w:r w:rsidR="00C747E2" w:rsidRPr="0086458B">
        <w:rPr>
          <w:rFonts w:ascii="Bookman Old Style" w:eastAsia="MS Mincho" w:hAnsi="Bookman Old Style" w:cs="Arial"/>
          <w:lang w:val="es-CO"/>
        </w:rPr>
        <w:t xml:space="preserve"> </w:t>
      </w:r>
      <w:r w:rsidR="003864FC" w:rsidRPr="0086458B">
        <w:rPr>
          <w:rFonts w:ascii="Bookman Old Style" w:eastAsia="MS Mincho" w:hAnsi="Bookman Old Style" w:cs="Arial"/>
          <w:lang w:val="es-CO"/>
        </w:rPr>
        <w:t xml:space="preserve">a la </w:t>
      </w:r>
      <w:r w:rsidR="00856EE1">
        <w:rPr>
          <w:rFonts w:ascii="Bookman Old Style" w:eastAsia="MS Mincho" w:hAnsi="Bookman Old Style" w:cs="Arial"/>
          <w:lang w:val="es-CO"/>
        </w:rPr>
        <w:t xml:space="preserve">CREG </w:t>
      </w:r>
      <w:r w:rsidR="003864FC" w:rsidRPr="0086458B">
        <w:rPr>
          <w:rFonts w:ascii="Bookman Old Style" w:eastAsia="MS Mincho" w:hAnsi="Bookman Old Style" w:cs="Arial"/>
          <w:lang w:val="es-CO"/>
        </w:rPr>
        <w:t xml:space="preserve">aplazamiento de la audiencia programada </w:t>
      </w:r>
      <w:r w:rsidR="00A73851" w:rsidRPr="0086458B">
        <w:rPr>
          <w:rFonts w:ascii="Bookman Old Style" w:eastAsia="MS Mincho" w:hAnsi="Bookman Old Style" w:cs="Arial"/>
          <w:lang w:val="es-CO"/>
        </w:rPr>
        <w:t>mediante Auto I-2021-00</w:t>
      </w:r>
      <w:r w:rsidR="00562047" w:rsidRPr="0086458B">
        <w:rPr>
          <w:rFonts w:ascii="Bookman Old Style" w:eastAsia="MS Mincho" w:hAnsi="Bookman Old Style" w:cs="Arial"/>
          <w:lang w:val="es-CO"/>
        </w:rPr>
        <w:t>1628</w:t>
      </w:r>
      <w:r w:rsidR="0025432C">
        <w:rPr>
          <w:rFonts w:ascii="Bookman Old Style" w:eastAsia="MS Mincho" w:hAnsi="Bookman Old Style" w:cs="Arial"/>
          <w:lang w:val="es-CO"/>
        </w:rPr>
        <w:t>, por un término de dos (2) meses</w:t>
      </w:r>
      <w:r w:rsidR="002772DE">
        <w:rPr>
          <w:rFonts w:ascii="Bookman Old Style" w:eastAsia="MS Mincho" w:hAnsi="Bookman Old Style" w:cs="Arial"/>
          <w:lang w:val="es-CO"/>
        </w:rPr>
        <w:t>, argumentándose que</w:t>
      </w:r>
      <w:r w:rsidR="005314D1">
        <w:rPr>
          <w:rFonts w:ascii="Bookman Old Style" w:eastAsia="MS Mincho" w:hAnsi="Bookman Old Style" w:cs="Arial"/>
          <w:lang w:val="es-CO"/>
        </w:rPr>
        <w:t xml:space="preserve"> </w:t>
      </w:r>
      <w:r w:rsidR="005314D1" w:rsidRPr="009B599F">
        <w:rPr>
          <w:rFonts w:ascii="Bookman Old Style" w:eastAsia="MS Mincho" w:hAnsi="Bookman Old Style" w:cs="Arial"/>
          <w:i/>
          <w:iCs/>
          <w:lang w:val="es-CO"/>
        </w:rPr>
        <w:t>“</w:t>
      </w:r>
      <w:r w:rsidR="009B599F" w:rsidRPr="009B599F">
        <w:rPr>
          <w:rFonts w:ascii="Bookman Old Style" w:eastAsia="MS Mincho" w:hAnsi="Bookman Old Style" w:cs="Arial"/>
          <w:i/>
          <w:iCs/>
          <w:lang w:val="es-CO"/>
        </w:rPr>
        <w:t xml:space="preserve">(…) </w:t>
      </w:r>
      <w:r w:rsidR="005314D1" w:rsidRPr="009B599F">
        <w:rPr>
          <w:rFonts w:ascii="Bookman Old Style" w:eastAsia="MS Mincho" w:hAnsi="Bookman Old Style" w:cs="Arial"/>
          <w:i/>
          <w:iCs/>
          <w:lang w:val="es-CO"/>
        </w:rPr>
        <w:t>actualmente, GENSA y el Ministerio de Minas y Energía están buscando una negociación direct</w:t>
      </w:r>
      <w:r w:rsidR="0091486E" w:rsidRPr="009B599F">
        <w:rPr>
          <w:rFonts w:ascii="Bookman Old Style" w:eastAsia="MS Mincho" w:hAnsi="Bookman Old Style" w:cs="Arial"/>
          <w:i/>
          <w:iCs/>
          <w:lang w:val="es-CO"/>
        </w:rPr>
        <w:t>a</w:t>
      </w:r>
      <w:r w:rsidR="005314D1" w:rsidRPr="009B599F">
        <w:rPr>
          <w:rFonts w:ascii="Bookman Old Style" w:eastAsia="MS Mincho" w:hAnsi="Bookman Old Style" w:cs="Arial"/>
          <w:i/>
          <w:iCs/>
          <w:lang w:val="es-CO"/>
        </w:rPr>
        <w:t xml:space="preserve"> con el promotor del proyecto, DUE Capital, la cual permita la inclusión del proyecto solar Matakavi al sistema de generación de Mitú</w:t>
      </w:r>
      <w:r w:rsidR="00EF5524" w:rsidRPr="009B599F">
        <w:rPr>
          <w:rFonts w:ascii="Bookman Old Style" w:eastAsia="MS Mincho" w:hAnsi="Bookman Old Style" w:cs="Arial"/>
          <w:i/>
          <w:iCs/>
          <w:lang w:val="es-CO"/>
        </w:rPr>
        <w:t xml:space="preserve"> (…)”</w:t>
      </w:r>
      <w:r w:rsidR="00EF5524">
        <w:rPr>
          <w:rFonts w:ascii="Bookman Old Style" w:eastAsia="MS Mincho" w:hAnsi="Bookman Old Style" w:cs="Arial"/>
          <w:lang w:val="es-CO"/>
        </w:rPr>
        <w:t xml:space="preserve"> y </w:t>
      </w:r>
      <w:r w:rsidR="00EF5524" w:rsidRPr="00BC6363">
        <w:rPr>
          <w:rFonts w:ascii="Bookman Old Style" w:eastAsia="MS Mincho" w:hAnsi="Bookman Old Style" w:cs="Arial"/>
          <w:i/>
          <w:iCs/>
          <w:lang w:val="es-CO"/>
        </w:rPr>
        <w:t>“(…) una salida concertada reduciría, tanto los tiempos, como los costos, que significa el mantener el conflicto ante la Comisión</w:t>
      </w:r>
      <w:r w:rsidR="00562047" w:rsidRPr="00BC6363">
        <w:rPr>
          <w:rFonts w:ascii="Bookman Old Style" w:eastAsia="MS Mincho" w:hAnsi="Bookman Old Style" w:cs="Arial"/>
          <w:i/>
          <w:iCs/>
          <w:lang w:val="es-CO"/>
        </w:rPr>
        <w:t xml:space="preserve"> </w:t>
      </w:r>
      <w:r w:rsidR="00BC6363" w:rsidRPr="00BC6363">
        <w:rPr>
          <w:rFonts w:ascii="Bookman Old Style" w:eastAsia="MS Mincho" w:hAnsi="Bookman Old Style" w:cs="Arial"/>
          <w:i/>
          <w:iCs/>
          <w:lang w:val="es-CO"/>
        </w:rPr>
        <w:t>(…)”</w:t>
      </w:r>
      <w:r w:rsidR="00BC6363">
        <w:rPr>
          <w:rFonts w:ascii="Bookman Old Style" w:eastAsia="MS Mincho" w:hAnsi="Bookman Old Style" w:cs="Arial"/>
          <w:lang w:val="es-CO"/>
        </w:rPr>
        <w:t>.</w:t>
      </w:r>
    </w:p>
    <w:p w14:paraId="2D29AC77" w14:textId="32CA2EE4" w:rsidR="00FD76CC" w:rsidRPr="0086458B" w:rsidRDefault="00FD76CC" w:rsidP="00E57F55">
      <w:pPr>
        <w:ind w:left="284"/>
        <w:contextualSpacing/>
        <w:jc w:val="both"/>
        <w:rPr>
          <w:rFonts w:ascii="Bookman Old Style" w:eastAsia="MS Mincho" w:hAnsi="Bookman Old Style" w:cs="Arial"/>
          <w:lang w:val="es-CO"/>
        </w:rPr>
      </w:pPr>
    </w:p>
    <w:p w14:paraId="1175BC9E" w14:textId="5903DCD6" w:rsidR="00FD76CC" w:rsidRDefault="00B56A07" w:rsidP="00E57F55">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Mediante Auto I-2021-00</w:t>
      </w:r>
      <w:r w:rsidR="00EC2496" w:rsidRPr="0086458B">
        <w:rPr>
          <w:rFonts w:ascii="Bookman Old Style" w:eastAsia="MS Mincho" w:hAnsi="Bookman Old Style" w:cs="Arial"/>
          <w:lang w:val="es-CO"/>
        </w:rPr>
        <w:t xml:space="preserve">1765 </w:t>
      </w:r>
      <w:r w:rsidR="00D94763" w:rsidRPr="0086458B">
        <w:rPr>
          <w:rFonts w:ascii="Bookman Old Style" w:eastAsia="MS Mincho" w:hAnsi="Bookman Old Style" w:cs="Arial"/>
          <w:lang w:val="es-CO"/>
        </w:rPr>
        <w:t xml:space="preserve">del 22 de junio de 2021, </w:t>
      </w:r>
      <w:r w:rsidR="004B4D09" w:rsidRPr="0086458B">
        <w:rPr>
          <w:rFonts w:ascii="Bookman Old Style" w:eastAsia="MS Mincho" w:hAnsi="Bookman Old Style" w:cs="Arial"/>
          <w:lang w:val="es-CO"/>
        </w:rPr>
        <w:t>se reprogramó</w:t>
      </w:r>
      <w:r w:rsidR="00D41C8E" w:rsidRPr="0086458B">
        <w:rPr>
          <w:rFonts w:ascii="Bookman Old Style" w:eastAsia="MS Mincho" w:hAnsi="Bookman Old Style" w:cs="Arial"/>
          <w:lang w:val="es-CO"/>
        </w:rPr>
        <w:t xml:space="preserve"> la audiencia de pruebas señalada en el artículo primero del Auto I-2021-001628 para el día 13 julio de 2021</w:t>
      </w:r>
      <w:r w:rsidR="000B1AF7">
        <w:rPr>
          <w:rFonts w:ascii="Bookman Old Style" w:eastAsia="MS Mincho" w:hAnsi="Bookman Old Style" w:cs="Arial"/>
          <w:lang w:val="es-CO"/>
        </w:rPr>
        <w:t>, indicando adicionalmente lo siguiente:</w:t>
      </w:r>
    </w:p>
    <w:p w14:paraId="074BA673" w14:textId="77777777" w:rsidR="000B1AF7" w:rsidRDefault="000B1AF7" w:rsidP="00E57F55">
      <w:pPr>
        <w:ind w:left="284"/>
        <w:contextualSpacing/>
        <w:jc w:val="both"/>
        <w:rPr>
          <w:rFonts w:ascii="Bookman Old Style" w:eastAsia="MS Mincho" w:hAnsi="Bookman Old Style" w:cs="Arial"/>
          <w:lang w:val="es-CO"/>
        </w:rPr>
      </w:pPr>
    </w:p>
    <w:p w14:paraId="00550D3E" w14:textId="3FB4AC69" w:rsidR="00513A3D" w:rsidRDefault="003E5B88"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513A3D">
        <w:rPr>
          <w:rFonts w:ascii="Bookman Old Style" w:eastAsia="MS Mincho" w:hAnsi="Bookman Old Style" w:cs="Arial"/>
          <w:i/>
          <w:iCs/>
          <w:sz w:val="20"/>
          <w:szCs w:val="20"/>
          <w:lang w:val="es-CO"/>
        </w:rPr>
        <w:t xml:space="preserve"> </w:t>
      </w:r>
      <w:r w:rsidR="00513A3D" w:rsidRPr="00513A3D">
        <w:rPr>
          <w:rFonts w:ascii="Bookman Old Style" w:eastAsia="MS Mincho" w:hAnsi="Bookman Old Style" w:cs="Arial"/>
          <w:i/>
          <w:iCs/>
          <w:sz w:val="20"/>
          <w:szCs w:val="20"/>
          <w:lang w:val="es-CO"/>
        </w:rPr>
        <w:t>dado que la empresa GENSA S.A. E.S.P. y la Gobernación del Vaupés</w:t>
      </w:r>
      <w:r w:rsidR="00513A3D">
        <w:rPr>
          <w:rFonts w:ascii="Bookman Old Style" w:eastAsia="MS Mincho" w:hAnsi="Bookman Old Style" w:cs="Arial"/>
          <w:i/>
          <w:iCs/>
          <w:sz w:val="20"/>
          <w:szCs w:val="20"/>
          <w:lang w:val="es-CO"/>
        </w:rPr>
        <w:t xml:space="preserve"> </w:t>
      </w:r>
      <w:r w:rsidR="00513A3D" w:rsidRPr="00513A3D">
        <w:rPr>
          <w:rFonts w:ascii="Bookman Old Style" w:eastAsia="MS Mincho" w:hAnsi="Bookman Old Style" w:cs="Arial"/>
          <w:i/>
          <w:iCs/>
          <w:sz w:val="20"/>
          <w:szCs w:val="20"/>
          <w:lang w:val="es-CO"/>
        </w:rPr>
        <w:t>no han dado cumplimiento a lo señalado en los numerales 1 (literales a-f) y 3 (a-i) del</w:t>
      </w:r>
      <w:r w:rsidR="00A5763F">
        <w:rPr>
          <w:rFonts w:ascii="Bookman Old Style" w:eastAsia="MS Mincho" w:hAnsi="Bookman Old Style" w:cs="Arial"/>
          <w:i/>
          <w:iCs/>
          <w:sz w:val="20"/>
          <w:szCs w:val="20"/>
          <w:lang w:val="es-CO"/>
        </w:rPr>
        <w:t xml:space="preserve"> </w:t>
      </w:r>
      <w:r w:rsidR="00513A3D" w:rsidRPr="00513A3D">
        <w:rPr>
          <w:rFonts w:ascii="Bookman Old Style" w:eastAsia="MS Mincho" w:hAnsi="Bookman Old Style" w:cs="Arial"/>
          <w:i/>
          <w:iCs/>
          <w:sz w:val="20"/>
          <w:szCs w:val="20"/>
          <w:lang w:val="es-CO"/>
        </w:rPr>
        <w:t>artículo primero del Auto I-2021-001628, encontrándose el término dispuesto para ello</w:t>
      </w:r>
      <w:r w:rsidR="00A5763F">
        <w:rPr>
          <w:rFonts w:ascii="Bookman Old Style" w:eastAsia="MS Mincho" w:hAnsi="Bookman Old Style" w:cs="Arial"/>
          <w:i/>
          <w:iCs/>
          <w:sz w:val="20"/>
          <w:szCs w:val="20"/>
          <w:lang w:val="es-CO"/>
        </w:rPr>
        <w:t xml:space="preserve"> </w:t>
      </w:r>
      <w:r w:rsidR="00513A3D" w:rsidRPr="00513A3D">
        <w:rPr>
          <w:rFonts w:ascii="Bookman Old Style" w:eastAsia="MS Mincho" w:hAnsi="Bookman Old Style" w:cs="Arial"/>
          <w:i/>
          <w:iCs/>
          <w:sz w:val="20"/>
          <w:szCs w:val="20"/>
          <w:lang w:val="es-CO"/>
        </w:rPr>
        <w:t>más que vencido, se hace necesario requerirlos para que, de manera inmediata,</w:t>
      </w:r>
      <w:r w:rsidR="00A5763F">
        <w:rPr>
          <w:rFonts w:ascii="Bookman Old Style" w:eastAsia="MS Mincho" w:hAnsi="Bookman Old Style" w:cs="Arial"/>
          <w:i/>
          <w:iCs/>
          <w:sz w:val="20"/>
          <w:szCs w:val="20"/>
          <w:lang w:val="es-CO"/>
        </w:rPr>
        <w:t xml:space="preserve"> </w:t>
      </w:r>
      <w:r w:rsidR="00513A3D" w:rsidRPr="00513A3D">
        <w:rPr>
          <w:rFonts w:ascii="Bookman Old Style" w:eastAsia="MS Mincho" w:hAnsi="Bookman Old Style" w:cs="Arial"/>
          <w:i/>
          <w:iCs/>
          <w:sz w:val="20"/>
          <w:szCs w:val="20"/>
          <w:lang w:val="es-CO"/>
        </w:rPr>
        <w:t>realicen sus pronunciamientos.</w:t>
      </w:r>
    </w:p>
    <w:p w14:paraId="071363F4" w14:textId="77777777" w:rsidR="00552FBB" w:rsidRPr="00513A3D" w:rsidRDefault="00552FBB" w:rsidP="00292999">
      <w:pPr>
        <w:ind w:left="567"/>
        <w:contextualSpacing/>
        <w:jc w:val="both"/>
        <w:rPr>
          <w:rFonts w:ascii="Bookman Old Style" w:eastAsia="MS Mincho" w:hAnsi="Bookman Old Style" w:cs="Arial"/>
          <w:i/>
          <w:iCs/>
          <w:sz w:val="20"/>
          <w:szCs w:val="20"/>
          <w:lang w:val="es-CO"/>
        </w:rPr>
      </w:pPr>
    </w:p>
    <w:p w14:paraId="59E9ABC2" w14:textId="77777777" w:rsidR="00513A3D" w:rsidRPr="00513A3D" w:rsidRDefault="00513A3D" w:rsidP="00292999">
      <w:pPr>
        <w:ind w:left="567"/>
        <w:contextualSpacing/>
        <w:jc w:val="both"/>
        <w:rPr>
          <w:rFonts w:ascii="Bookman Old Style" w:eastAsia="MS Mincho" w:hAnsi="Bookman Old Style" w:cs="Arial"/>
          <w:i/>
          <w:iCs/>
          <w:sz w:val="20"/>
          <w:szCs w:val="20"/>
          <w:lang w:val="es-CO"/>
        </w:rPr>
      </w:pPr>
      <w:r w:rsidRPr="00513A3D">
        <w:rPr>
          <w:rFonts w:ascii="Bookman Old Style" w:eastAsia="MS Mincho" w:hAnsi="Bookman Old Style" w:cs="Arial"/>
          <w:i/>
          <w:iCs/>
          <w:sz w:val="20"/>
          <w:szCs w:val="20"/>
          <w:lang w:val="es-CO"/>
        </w:rPr>
        <w:t>En consecuencia, se,</w:t>
      </w:r>
    </w:p>
    <w:p w14:paraId="09082C6F" w14:textId="77777777" w:rsidR="00552FBB" w:rsidRDefault="00552FBB" w:rsidP="00292999">
      <w:pPr>
        <w:ind w:left="567"/>
        <w:contextualSpacing/>
        <w:jc w:val="both"/>
        <w:rPr>
          <w:rFonts w:ascii="Bookman Old Style" w:eastAsia="MS Mincho" w:hAnsi="Bookman Old Style" w:cs="Arial"/>
          <w:i/>
          <w:iCs/>
          <w:sz w:val="20"/>
          <w:szCs w:val="20"/>
          <w:lang w:val="es-CO"/>
        </w:rPr>
      </w:pPr>
    </w:p>
    <w:p w14:paraId="746F2012" w14:textId="0DEE4636" w:rsidR="00513A3D" w:rsidRPr="00513A3D" w:rsidRDefault="00513A3D" w:rsidP="00292999">
      <w:pPr>
        <w:ind w:left="567"/>
        <w:contextualSpacing/>
        <w:jc w:val="both"/>
        <w:rPr>
          <w:rFonts w:ascii="Bookman Old Style" w:eastAsia="MS Mincho" w:hAnsi="Bookman Old Style" w:cs="Arial"/>
          <w:i/>
          <w:iCs/>
          <w:sz w:val="20"/>
          <w:szCs w:val="20"/>
          <w:lang w:val="es-CO"/>
        </w:rPr>
      </w:pPr>
      <w:r w:rsidRPr="00513A3D">
        <w:rPr>
          <w:rFonts w:ascii="Bookman Old Style" w:eastAsia="MS Mincho" w:hAnsi="Bookman Old Style" w:cs="Arial"/>
          <w:i/>
          <w:iCs/>
          <w:sz w:val="20"/>
          <w:szCs w:val="20"/>
          <w:lang w:val="es-CO"/>
        </w:rPr>
        <w:t>RESUELVE:</w:t>
      </w:r>
    </w:p>
    <w:p w14:paraId="57041721" w14:textId="77777777" w:rsidR="000276B0" w:rsidRDefault="000276B0" w:rsidP="00292999">
      <w:pPr>
        <w:ind w:left="567"/>
        <w:contextualSpacing/>
        <w:jc w:val="both"/>
        <w:rPr>
          <w:rFonts w:ascii="Bookman Old Style" w:eastAsia="MS Mincho" w:hAnsi="Bookman Old Style" w:cs="Arial"/>
          <w:i/>
          <w:iCs/>
          <w:sz w:val="20"/>
          <w:szCs w:val="20"/>
          <w:lang w:val="es-CO"/>
        </w:rPr>
      </w:pPr>
    </w:p>
    <w:p w14:paraId="4357CF3A" w14:textId="4F61BA9F" w:rsidR="00513A3D" w:rsidRDefault="00513A3D" w:rsidP="00292999">
      <w:pPr>
        <w:ind w:left="567"/>
        <w:contextualSpacing/>
        <w:jc w:val="both"/>
        <w:rPr>
          <w:rFonts w:ascii="Bookman Old Style" w:eastAsia="MS Mincho" w:hAnsi="Bookman Old Style" w:cs="Arial"/>
          <w:i/>
          <w:iCs/>
          <w:sz w:val="20"/>
          <w:szCs w:val="20"/>
          <w:lang w:val="es-CO"/>
        </w:rPr>
      </w:pPr>
      <w:r w:rsidRPr="00513A3D">
        <w:rPr>
          <w:rFonts w:ascii="Bookman Old Style" w:eastAsia="MS Mincho" w:hAnsi="Bookman Old Style" w:cs="Arial"/>
          <w:i/>
          <w:iCs/>
          <w:sz w:val="20"/>
          <w:szCs w:val="20"/>
          <w:lang w:val="es-CO"/>
        </w:rPr>
        <w:t>PRIMERO. Requerir a GENSA S.A. E.S.P. para que remita al correo electrónico</w:t>
      </w:r>
      <w:r w:rsidR="000276B0">
        <w:rPr>
          <w:rFonts w:ascii="Bookman Old Style" w:eastAsia="MS Mincho" w:hAnsi="Bookman Old Style" w:cs="Arial"/>
          <w:i/>
          <w:iCs/>
          <w:sz w:val="20"/>
          <w:szCs w:val="20"/>
          <w:lang w:val="es-CO"/>
        </w:rPr>
        <w:t xml:space="preserve"> </w:t>
      </w:r>
      <w:r w:rsidRPr="00513A3D">
        <w:rPr>
          <w:rFonts w:ascii="Bookman Old Style" w:eastAsia="MS Mincho" w:hAnsi="Bookman Old Style" w:cs="Arial"/>
          <w:i/>
          <w:iCs/>
          <w:sz w:val="20"/>
          <w:szCs w:val="20"/>
          <w:lang w:val="es-CO"/>
        </w:rPr>
        <w:t>creg@creg.gov.co a más tardar el día 06 de julio de 2021 la información solicitada en el</w:t>
      </w:r>
      <w:r w:rsidR="000276B0">
        <w:rPr>
          <w:rFonts w:ascii="Bookman Old Style" w:eastAsia="MS Mincho" w:hAnsi="Bookman Old Style" w:cs="Arial"/>
          <w:i/>
          <w:iCs/>
          <w:sz w:val="20"/>
          <w:szCs w:val="20"/>
          <w:lang w:val="es-CO"/>
        </w:rPr>
        <w:t xml:space="preserve"> </w:t>
      </w:r>
      <w:r w:rsidRPr="00513A3D">
        <w:rPr>
          <w:rFonts w:ascii="Bookman Old Style" w:eastAsia="MS Mincho" w:hAnsi="Bookman Old Style" w:cs="Arial"/>
          <w:i/>
          <w:iCs/>
          <w:sz w:val="20"/>
          <w:szCs w:val="20"/>
          <w:lang w:val="es-CO"/>
        </w:rPr>
        <w:t>numeral 1 del artículo primero del Auto I-2021-001628.</w:t>
      </w:r>
    </w:p>
    <w:p w14:paraId="29AD630F" w14:textId="77777777" w:rsidR="000276B0" w:rsidRPr="00513A3D" w:rsidRDefault="000276B0" w:rsidP="00292999">
      <w:pPr>
        <w:ind w:left="567"/>
        <w:contextualSpacing/>
        <w:jc w:val="both"/>
        <w:rPr>
          <w:rFonts w:ascii="Bookman Old Style" w:eastAsia="MS Mincho" w:hAnsi="Bookman Old Style" w:cs="Arial"/>
          <w:i/>
          <w:iCs/>
          <w:sz w:val="20"/>
          <w:szCs w:val="20"/>
          <w:lang w:val="es-CO"/>
        </w:rPr>
      </w:pPr>
    </w:p>
    <w:p w14:paraId="44FFBEE0" w14:textId="3A67F72D" w:rsidR="003E5B88" w:rsidRPr="00045391" w:rsidRDefault="00513A3D" w:rsidP="00292999">
      <w:pPr>
        <w:ind w:left="567"/>
        <w:contextualSpacing/>
        <w:jc w:val="both"/>
        <w:rPr>
          <w:rFonts w:ascii="Bookman Old Style" w:eastAsia="MS Mincho" w:hAnsi="Bookman Old Style" w:cs="Arial"/>
          <w:sz w:val="20"/>
          <w:szCs w:val="20"/>
          <w:lang w:val="es-CO"/>
        </w:rPr>
      </w:pPr>
      <w:r w:rsidRPr="00513A3D">
        <w:rPr>
          <w:rFonts w:ascii="Bookman Old Style" w:eastAsia="MS Mincho" w:hAnsi="Bookman Old Style" w:cs="Arial"/>
          <w:i/>
          <w:iCs/>
          <w:sz w:val="20"/>
          <w:szCs w:val="20"/>
          <w:lang w:val="es-CO"/>
        </w:rPr>
        <w:t>SEGUNDO. Requerir a GOBERNACIÓN DEL VAUPÉS para que remita al correo</w:t>
      </w:r>
      <w:r w:rsidR="000276B0">
        <w:rPr>
          <w:rFonts w:ascii="Bookman Old Style" w:eastAsia="MS Mincho" w:hAnsi="Bookman Old Style" w:cs="Arial"/>
          <w:i/>
          <w:iCs/>
          <w:sz w:val="20"/>
          <w:szCs w:val="20"/>
          <w:lang w:val="es-CO"/>
        </w:rPr>
        <w:t xml:space="preserve"> </w:t>
      </w:r>
      <w:r w:rsidRPr="00513A3D">
        <w:rPr>
          <w:rFonts w:ascii="Bookman Old Style" w:eastAsia="MS Mincho" w:hAnsi="Bookman Old Style" w:cs="Arial"/>
          <w:i/>
          <w:iCs/>
          <w:sz w:val="20"/>
          <w:szCs w:val="20"/>
          <w:lang w:val="es-CO"/>
        </w:rPr>
        <w:t>electrónico creg@creg.gov.co a más tardar el día 06 de julio de 2021 la información</w:t>
      </w:r>
      <w:r w:rsidR="000276B0">
        <w:rPr>
          <w:rFonts w:ascii="Bookman Old Style" w:eastAsia="MS Mincho" w:hAnsi="Bookman Old Style" w:cs="Arial"/>
          <w:i/>
          <w:iCs/>
          <w:sz w:val="20"/>
          <w:szCs w:val="20"/>
          <w:lang w:val="es-CO"/>
        </w:rPr>
        <w:t xml:space="preserve"> </w:t>
      </w:r>
      <w:r w:rsidRPr="00513A3D">
        <w:rPr>
          <w:rFonts w:ascii="Bookman Old Style" w:eastAsia="MS Mincho" w:hAnsi="Bookman Old Style" w:cs="Arial"/>
          <w:i/>
          <w:iCs/>
          <w:sz w:val="20"/>
          <w:szCs w:val="20"/>
          <w:lang w:val="es-CO"/>
        </w:rPr>
        <w:t>solicitada en el numeral 3 del artículo primero del Auto I-2021-001628.</w:t>
      </w:r>
      <w:r w:rsidR="00781499">
        <w:rPr>
          <w:rFonts w:ascii="Bookman Old Style" w:eastAsia="MS Mincho" w:hAnsi="Bookman Old Style" w:cs="Arial"/>
          <w:i/>
          <w:iCs/>
          <w:sz w:val="20"/>
          <w:szCs w:val="20"/>
          <w:lang w:val="es-CO"/>
        </w:rPr>
        <w:t xml:space="preserve"> </w:t>
      </w:r>
      <w:r w:rsidR="003E5B88" w:rsidRPr="00045391">
        <w:rPr>
          <w:rFonts w:ascii="Bookman Old Style" w:eastAsia="MS Mincho" w:hAnsi="Bookman Old Style" w:cs="Arial"/>
          <w:i/>
          <w:iCs/>
          <w:sz w:val="20"/>
          <w:szCs w:val="20"/>
          <w:lang w:val="es-CO"/>
        </w:rPr>
        <w:t>(…)”</w:t>
      </w:r>
    </w:p>
    <w:p w14:paraId="69700C98" w14:textId="3E470A67" w:rsidR="00980EEC" w:rsidRPr="0086458B" w:rsidRDefault="00980EEC" w:rsidP="00E57F55">
      <w:pPr>
        <w:ind w:left="284"/>
        <w:contextualSpacing/>
        <w:jc w:val="both"/>
        <w:rPr>
          <w:rFonts w:ascii="Bookman Old Style" w:eastAsia="MS Mincho" w:hAnsi="Bookman Old Style" w:cs="Arial"/>
          <w:lang w:val="es-CO"/>
        </w:rPr>
      </w:pPr>
    </w:p>
    <w:p w14:paraId="0CC452E8" w14:textId="653BF197" w:rsidR="00690F52" w:rsidRPr="0086458B" w:rsidRDefault="002A3BC1" w:rsidP="00E57F55">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 xml:space="preserve">Mediante </w:t>
      </w:r>
      <w:r w:rsidR="0013407F" w:rsidRPr="0086458B">
        <w:rPr>
          <w:rFonts w:ascii="Bookman Old Style" w:eastAsia="MS Mincho" w:hAnsi="Bookman Old Style" w:cs="Arial"/>
          <w:lang w:val="es-CO"/>
        </w:rPr>
        <w:t xml:space="preserve">comunicaciones </w:t>
      </w:r>
      <w:r w:rsidR="00781499">
        <w:rPr>
          <w:rFonts w:ascii="Bookman Old Style" w:eastAsia="MS Mincho" w:hAnsi="Bookman Old Style" w:cs="Arial"/>
          <w:lang w:val="es-CO"/>
        </w:rPr>
        <w:t xml:space="preserve">con radicados </w:t>
      </w:r>
      <w:r w:rsidR="0013407F" w:rsidRPr="0086458B">
        <w:rPr>
          <w:rFonts w:ascii="Bookman Old Style" w:eastAsia="MS Mincho" w:hAnsi="Bookman Old Style" w:cs="Arial"/>
          <w:lang w:val="es-CO"/>
        </w:rPr>
        <w:t>S-2021-002681, S-2021-002682,</w:t>
      </w:r>
      <w:r w:rsidR="00A372DE" w:rsidRPr="0086458B">
        <w:rPr>
          <w:rFonts w:ascii="Bookman Old Style" w:eastAsia="MS Mincho" w:hAnsi="Bookman Old Style" w:cs="Arial"/>
          <w:lang w:val="es-CO"/>
        </w:rPr>
        <w:t xml:space="preserve"> </w:t>
      </w:r>
      <w:r w:rsidR="0013407F" w:rsidRPr="0086458B">
        <w:rPr>
          <w:rFonts w:ascii="Bookman Old Style" w:eastAsia="MS Mincho" w:hAnsi="Bookman Old Style" w:cs="Arial"/>
          <w:lang w:val="es-CO"/>
        </w:rPr>
        <w:t>S-2021-002683 y S-2021-002684</w:t>
      </w:r>
      <w:r w:rsidR="00D66221" w:rsidRPr="0086458B">
        <w:rPr>
          <w:rFonts w:ascii="Bookman Old Style" w:eastAsia="MS Mincho" w:hAnsi="Bookman Old Style" w:cs="Arial"/>
          <w:lang w:val="es-CO"/>
        </w:rPr>
        <w:t xml:space="preserve"> se informó a </w:t>
      </w:r>
      <w:r w:rsidR="00713114">
        <w:rPr>
          <w:rFonts w:ascii="Bookman Old Style" w:eastAsia="MS Mincho" w:hAnsi="Bookman Old Style" w:cs="Arial"/>
          <w:lang w:val="es-CO"/>
        </w:rPr>
        <w:t>DUE</w:t>
      </w:r>
      <w:r w:rsidR="004B4D09" w:rsidRPr="0086458B">
        <w:rPr>
          <w:rFonts w:ascii="Bookman Old Style" w:eastAsia="MS Mincho" w:hAnsi="Bookman Old Style" w:cs="Arial"/>
          <w:lang w:val="es-CO"/>
        </w:rPr>
        <w:t xml:space="preserve">, </w:t>
      </w:r>
      <w:r w:rsidR="00D66221" w:rsidRPr="0086458B">
        <w:rPr>
          <w:rFonts w:ascii="Bookman Old Style" w:eastAsia="MS Mincho" w:hAnsi="Bookman Old Style" w:cs="Arial"/>
          <w:lang w:val="es-CO"/>
        </w:rPr>
        <w:t>GENSA,</w:t>
      </w:r>
      <w:r w:rsidR="00C204BF" w:rsidRPr="0086458B">
        <w:rPr>
          <w:rFonts w:ascii="Bookman Old Style" w:eastAsia="MS Mincho" w:hAnsi="Bookman Old Style" w:cs="Arial"/>
          <w:lang w:val="es-CO"/>
        </w:rPr>
        <w:t xml:space="preserve"> </w:t>
      </w:r>
      <w:r w:rsidR="00D66221" w:rsidRPr="0086458B">
        <w:rPr>
          <w:rFonts w:ascii="Bookman Old Style" w:eastAsia="MS Mincho" w:hAnsi="Bookman Old Style" w:cs="Arial"/>
          <w:lang w:val="es-CO"/>
        </w:rPr>
        <w:t xml:space="preserve">la Gobernación </w:t>
      </w:r>
      <w:r w:rsidR="004B4D09" w:rsidRPr="0086458B">
        <w:rPr>
          <w:rFonts w:ascii="Bookman Old Style" w:eastAsia="MS Mincho" w:hAnsi="Bookman Old Style" w:cs="Arial"/>
          <w:lang w:val="es-CO"/>
        </w:rPr>
        <w:t xml:space="preserve">y </w:t>
      </w:r>
      <w:r w:rsidR="00B31C3D">
        <w:rPr>
          <w:rFonts w:ascii="Bookman Old Style" w:eastAsia="MS Mincho" w:hAnsi="Bookman Old Style" w:cs="Arial"/>
          <w:lang w:val="es-CO"/>
        </w:rPr>
        <w:t>MME</w:t>
      </w:r>
      <w:r w:rsidR="00D66221" w:rsidRPr="0086458B">
        <w:rPr>
          <w:rFonts w:ascii="Bookman Old Style" w:eastAsia="MS Mincho" w:hAnsi="Bookman Old Style" w:cs="Arial"/>
          <w:lang w:val="es-CO"/>
        </w:rPr>
        <w:t xml:space="preserve">, del contenido del </w:t>
      </w:r>
      <w:r w:rsidR="004B4D09" w:rsidRPr="0086458B">
        <w:rPr>
          <w:rFonts w:ascii="Bookman Old Style" w:eastAsia="MS Mincho" w:hAnsi="Bookman Old Style" w:cs="Arial"/>
          <w:lang w:val="es-CO"/>
        </w:rPr>
        <w:t>Auto I-2021-001765</w:t>
      </w:r>
      <w:r w:rsidR="00690F52" w:rsidRPr="0086458B">
        <w:rPr>
          <w:rFonts w:ascii="Bookman Old Style" w:eastAsia="MS Mincho" w:hAnsi="Bookman Old Style" w:cs="Arial"/>
          <w:lang w:val="es-CO"/>
        </w:rPr>
        <w:t>.</w:t>
      </w:r>
    </w:p>
    <w:p w14:paraId="08D708BD" w14:textId="5E1F9661" w:rsidR="005E3D99" w:rsidRPr="0086458B" w:rsidRDefault="005E3D99" w:rsidP="00E57F55">
      <w:pPr>
        <w:ind w:left="284"/>
        <w:contextualSpacing/>
        <w:jc w:val="both"/>
        <w:rPr>
          <w:rFonts w:ascii="Bookman Old Style" w:eastAsia="MS Mincho" w:hAnsi="Bookman Old Style" w:cs="Arial"/>
          <w:lang w:val="es-CO"/>
        </w:rPr>
      </w:pPr>
    </w:p>
    <w:p w14:paraId="0F856019" w14:textId="77777777" w:rsidR="00FC3530" w:rsidRDefault="003B4761" w:rsidP="00E57F55">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Mediante comunicación con radicado CREG</w:t>
      </w:r>
      <w:r w:rsidR="000D2E6E" w:rsidRPr="0086458B">
        <w:rPr>
          <w:rFonts w:ascii="Bookman Old Style" w:eastAsia="MS Mincho" w:hAnsi="Bookman Old Style" w:cs="Arial"/>
          <w:lang w:val="es-CO"/>
        </w:rPr>
        <w:t xml:space="preserve"> </w:t>
      </w:r>
      <w:r w:rsidRPr="0086458B">
        <w:rPr>
          <w:rFonts w:ascii="Bookman Old Style" w:eastAsia="MS Mincho" w:hAnsi="Bookman Old Style" w:cs="Arial"/>
          <w:lang w:val="es-CO"/>
        </w:rPr>
        <w:t>E-2021-00</w:t>
      </w:r>
      <w:r w:rsidR="004B4D09" w:rsidRPr="0086458B">
        <w:rPr>
          <w:rFonts w:ascii="Bookman Old Style" w:eastAsia="MS Mincho" w:hAnsi="Bookman Old Style" w:cs="Arial"/>
          <w:lang w:val="es-CO"/>
        </w:rPr>
        <w:t>773</w:t>
      </w:r>
      <w:r w:rsidR="006908F3">
        <w:rPr>
          <w:rFonts w:ascii="Bookman Old Style" w:eastAsia="MS Mincho" w:hAnsi="Bookman Old Style" w:cs="Arial"/>
          <w:lang w:val="es-CO"/>
        </w:rPr>
        <w:t>1</w:t>
      </w:r>
      <w:r w:rsidR="004B4D09" w:rsidRPr="0086458B">
        <w:rPr>
          <w:rFonts w:ascii="Bookman Old Style" w:eastAsia="MS Mincho" w:hAnsi="Bookman Old Style" w:cs="Arial"/>
          <w:lang w:val="es-CO"/>
        </w:rPr>
        <w:t xml:space="preserve">, </w:t>
      </w:r>
      <w:r w:rsidR="00F3432E" w:rsidRPr="0086458B">
        <w:rPr>
          <w:rFonts w:ascii="Bookman Old Style" w:eastAsia="MS Mincho" w:hAnsi="Bookman Old Style" w:cs="Arial"/>
          <w:lang w:val="es-CO"/>
        </w:rPr>
        <w:t>GENSA dio respuesta al Auto I-</w:t>
      </w:r>
      <w:r w:rsidR="00FF1A70" w:rsidRPr="0086458B">
        <w:rPr>
          <w:rFonts w:ascii="Bookman Old Style" w:eastAsia="MS Mincho" w:hAnsi="Bookman Old Style" w:cs="Arial"/>
          <w:lang w:val="es-CO"/>
        </w:rPr>
        <w:t>2021-001628</w:t>
      </w:r>
      <w:r w:rsidR="00646C7C" w:rsidRPr="0086458B">
        <w:rPr>
          <w:rFonts w:ascii="Bookman Old Style" w:eastAsia="MS Mincho" w:hAnsi="Bookman Old Style" w:cs="Arial"/>
          <w:lang w:val="es-CO"/>
        </w:rPr>
        <w:t xml:space="preserve"> indicando</w:t>
      </w:r>
      <w:r w:rsidR="00FC3530">
        <w:rPr>
          <w:rFonts w:ascii="Bookman Old Style" w:eastAsia="MS Mincho" w:hAnsi="Bookman Old Style" w:cs="Arial"/>
          <w:lang w:val="es-CO"/>
        </w:rPr>
        <w:t>:</w:t>
      </w:r>
    </w:p>
    <w:p w14:paraId="2BB6860F" w14:textId="77777777" w:rsidR="00FC3530" w:rsidRDefault="00FC3530" w:rsidP="00E57F55">
      <w:pPr>
        <w:ind w:left="284"/>
        <w:contextualSpacing/>
        <w:jc w:val="both"/>
        <w:rPr>
          <w:rFonts w:ascii="Bookman Old Style" w:eastAsia="MS Mincho" w:hAnsi="Bookman Old Style" w:cs="Arial"/>
          <w:lang w:val="es-CO"/>
        </w:rPr>
      </w:pPr>
    </w:p>
    <w:p w14:paraId="49BC71A4" w14:textId="1405F959" w:rsidR="00FC3530" w:rsidRDefault="00FC3530"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352591" w:rsidRPr="00352591">
        <w:rPr>
          <w:rFonts w:ascii="Bookman Old Style" w:eastAsia="MS Mincho" w:hAnsi="Bookman Old Style" w:cs="Arial"/>
          <w:i/>
          <w:iCs/>
          <w:sz w:val="20"/>
          <w:szCs w:val="20"/>
          <w:lang w:val="es-CO"/>
        </w:rPr>
        <w:t>los unifilares suministrados a DUE CAPITAL AND SERVICES SAS, son los que GENSA tiene disponibles en la actualidad. Estos unifilares corresponden a las actualizaciones que le ha realizado GENSA al diagrama entregado por el Ministerio de Minas y Energía durante</w:t>
      </w:r>
      <w:r w:rsidR="00E7777C">
        <w:rPr>
          <w:rFonts w:ascii="Bookman Old Style" w:eastAsia="MS Mincho" w:hAnsi="Bookman Old Style" w:cs="Arial"/>
          <w:i/>
          <w:iCs/>
          <w:sz w:val="20"/>
          <w:szCs w:val="20"/>
          <w:lang w:val="es-CO"/>
        </w:rPr>
        <w:t xml:space="preserve"> la </w:t>
      </w:r>
      <w:r w:rsidR="00E7777C" w:rsidRPr="00E7777C">
        <w:rPr>
          <w:rFonts w:ascii="Bookman Old Style" w:eastAsia="MS Mincho" w:hAnsi="Bookman Old Style" w:cs="Arial"/>
          <w:i/>
          <w:iCs/>
          <w:sz w:val="20"/>
          <w:szCs w:val="20"/>
          <w:lang w:val="es-CO"/>
        </w:rPr>
        <w:t xml:space="preserve">entrega </w:t>
      </w:r>
      <w:r w:rsidR="00E7777C">
        <w:rPr>
          <w:rFonts w:ascii="Bookman Old Style" w:eastAsia="MS Mincho" w:hAnsi="Bookman Old Style" w:cs="Arial"/>
          <w:i/>
          <w:iCs/>
          <w:sz w:val="20"/>
          <w:szCs w:val="20"/>
          <w:lang w:val="es-CO"/>
        </w:rPr>
        <w:t xml:space="preserve">de la </w:t>
      </w:r>
      <w:r w:rsidR="009D196C">
        <w:rPr>
          <w:rFonts w:ascii="Bookman Old Style" w:eastAsia="MS Mincho" w:hAnsi="Bookman Old Style" w:cs="Arial"/>
          <w:i/>
          <w:iCs/>
          <w:sz w:val="20"/>
          <w:szCs w:val="20"/>
          <w:lang w:val="es-CO"/>
        </w:rPr>
        <w:t xml:space="preserve">central para la operación de la misma, GENSA ha realizado </w:t>
      </w:r>
      <w:r w:rsidR="007F7919">
        <w:rPr>
          <w:rFonts w:ascii="Bookman Old Style" w:eastAsia="MS Mincho" w:hAnsi="Bookman Old Style" w:cs="Arial"/>
          <w:i/>
          <w:iCs/>
          <w:sz w:val="20"/>
          <w:szCs w:val="20"/>
          <w:lang w:val="es-CO"/>
        </w:rPr>
        <w:t>las actuali</w:t>
      </w:r>
      <w:r w:rsidR="00B2446F">
        <w:rPr>
          <w:rFonts w:ascii="Bookman Old Style" w:eastAsia="MS Mincho" w:hAnsi="Bookman Old Style" w:cs="Arial"/>
          <w:i/>
          <w:iCs/>
          <w:sz w:val="20"/>
          <w:szCs w:val="20"/>
          <w:lang w:val="es-CO"/>
        </w:rPr>
        <w:t>z</w:t>
      </w:r>
      <w:r w:rsidR="007F7919">
        <w:rPr>
          <w:rFonts w:ascii="Bookman Old Style" w:eastAsia="MS Mincho" w:hAnsi="Bookman Old Style" w:cs="Arial"/>
          <w:i/>
          <w:iCs/>
          <w:sz w:val="20"/>
          <w:szCs w:val="20"/>
          <w:lang w:val="es-CO"/>
        </w:rPr>
        <w:t xml:space="preserve">aciones que ha </w:t>
      </w:r>
      <w:r w:rsidR="002604D7" w:rsidRPr="002604D7">
        <w:rPr>
          <w:rFonts w:ascii="Bookman Old Style" w:eastAsia="MS Mincho" w:hAnsi="Bookman Old Style" w:cs="Arial"/>
          <w:i/>
          <w:iCs/>
          <w:sz w:val="20"/>
          <w:szCs w:val="20"/>
          <w:lang w:val="es-CO"/>
        </w:rPr>
        <w:t>requerido para su operación y mantenimiento, pero no ha</w:t>
      </w:r>
      <w:r w:rsidR="00B2446F">
        <w:rPr>
          <w:rFonts w:ascii="Bookman Old Style" w:eastAsia="MS Mincho" w:hAnsi="Bookman Old Style" w:cs="Arial"/>
          <w:i/>
          <w:iCs/>
          <w:sz w:val="20"/>
          <w:szCs w:val="20"/>
          <w:lang w:val="es-CO"/>
        </w:rPr>
        <w:t xml:space="preserve"> llegado al nivel de de</w:t>
      </w:r>
      <w:r w:rsidR="002604D7" w:rsidRPr="002604D7">
        <w:rPr>
          <w:rFonts w:ascii="Bookman Old Style" w:eastAsia="MS Mincho" w:hAnsi="Bookman Old Style" w:cs="Arial"/>
          <w:i/>
          <w:iCs/>
          <w:sz w:val="20"/>
          <w:szCs w:val="20"/>
          <w:lang w:val="es-CO"/>
        </w:rPr>
        <w:t xml:space="preserve">talle exigido en el citado Auto. </w:t>
      </w:r>
      <w:r w:rsidR="00AE70F6">
        <w:rPr>
          <w:rFonts w:ascii="Bookman Old Style" w:eastAsia="MS Mincho" w:hAnsi="Bookman Old Style" w:cs="Arial"/>
          <w:i/>
          <w:iCs/>
          <w:sz w:val="20"/>
          <w:szCs w:val="20"/>
          <w:lang w:val="es-CO"/>
        </w:rPr>
        <w:t>(…)</w:t>
      </w:r>
    </w:p>
    <w:p w14:paraId="3CB2B7E2" w14:textId="77777777" w:rsidR="00AE70F6" w:rsidRDefault="00AE70F6" w:rsidP="00292999">
      <w:pPr>
        <w:ind w:left="567"/>
        <w:contextualSpacing/>
        <w:jc w:val="both"/>
        <w:rPr>
          <w:rFonts w:ascii="Bookman Old Style" w:eastAsia="MS Mincho" w:hAnsi="Bookman Old Style" w:cs="Arial"/>
          <w:i/>
          <w:iCs/>
          <w:sz w:val="20"/>
          <w:szCs w:val="20"/>
          <w:lang w:val="es-CO"/>
        </w:rPr>
      </w:pPr>
    </w:p>
    <w:p w14:paraId="0E4707A3" w14:textId="7CFF48DE" w:rsidR="00AE70F6" w:rsidRDefault="00543384" w:rsidP="00292999">
      <w:pPr>
        <w:ind w:left="567"/>
        <w:contextualSpacing/>
        <w:jc w:val="both"/>
        <w:rPr>
          <w:rFonts w:ascii="Bookman Old Style" w:eastAsia="MS Mincho" w:hAnsi="Bookman Old Style" w:cs="Arial"/>
          <w:i/>
          <w:iCs/>
          <w:sz w:val="20"/>
          <w:szCs w:val="20"/>
          <w:lang w:val="es-CO"/>
        </w:rPr>
      </w:pPr>
      <w:r w:rsidRPr="00543384">
        <w:rPr>
          <w:rFonts w:ascii="Bookman Old Style" w:eastAsia="MS Mincho" w:hAnsi="Bookman Old Style" w:cs="Arial"/>
          <w:i/>
          <w:iCs/>
          <w:sz w:val="20"/>
          <w:szCs w:val="20"/>
          <w:lang w:val="es-CO"/>
        </w:rPr>
        <w:t xml:space="preserve">Es de aclarar que según conversaciones sostenidas con el promotor del proyecto </w:t>
      </w:r>
      <w:r w:rsidR="00C33C8F">
        <w:rPr>
          <w:rFonts w:ascii="Bookman Old Style" w:eastAsia="MS Mincho" w:hAnsi="Bookman Old Style" w:cs="Arial"/>
          <w:i/>
          <w:iCs/>
          <w:sz w:val="20"/>
          <w:szCs w:val="20"/>
          <w:lang w:val="es-CO"/>
        </w:rPr>
        <w:t>D</w:t>
      </w:r>
      <w:r w:rsidRPr="00543384">
        <w:rPr>
          <w:rFonts w:ascii="Bookman Old Style" w:eastAsia="MS Mincho" w:hAnsi="Bookman Old Style" w:cs="Arial"/>
          <w:i/>
          <w:iCs/>
          <w:sz w:val="20"/>
          <w:szCs w:val="20"/>
          <w:lang w:val="es-CO"/>
        </w:rPr>
        <w:t>UE CAPITAL AN</w:t>
      </w:r>
      <w:r w:rsidR="00C33C8F">
        <w:rPr>
          <w:rFonts w:ascii="Bookman Old Style" w:eastAsia="MS Mincho" w:hAnsi="Bookman Old Style" w:cs="Arial"/>
          <w:i/>
          <w:iCs/>
          <w:sz w:val="20"/>
          <w:szCs w:val="20"/>
          <w:lang w:val="es-CO"/>
        </w:rPr>
        <w:t>D</w:t>
      </w:r>
      <w:r w:rsidRPr="00543384">
        <w:rPr>
          <w:rFonts w:ascii="Bookman Old Style" w:eastAsia="MS Mincho" w:hAnsi="Bookman Old Style" w:cs="Arial"/>
          <w:i/>
          <w:iCs/>
          <w:sz w:val="20"/>
          <w:szCs w:val="20"/>
          <w:lang w:val="es-CO"/>
        </w:rPr>
        <w:t xml:space="preserve"> SERVICES SAS, el unifilar suministrado es suficiente para avanzar en el estudio de conexión.</w:t>
      </w:r>
      <w:r w:rsidR="001A4FCC">
        <w:rPr>
          <w:rFonts w:ascii="Bookman Old Style" w:eastAsia="MS Mincho" w:hAnsi="Bookman Old Style" w:cs="Arial"/>
          <w:i/>
          <w:iCs/>
          <w:sz w:val="20"/>
          <w:szCs w:val="20"/>
          <w:lang w:val="es-CO"/>
        </w:rPr>
        <w:t xml:space="preserve"> (…)</w:t>
      </w:r>
    </w:p>
    <w:p w14:paraId="2F42178C" w14:textId="77777777" w:rsidR="000B0B94" w:rsidRDefault="000B0B94" w:rsidP="00292999">
      <w:pPr>
        <w:ind w:left="567"/>
        <w:contextualSpacing/>
        <w:jc w:val="both"/>
        <w:rPr>
          <w:rFonts w:ascii="Bookman Old Style" w:eastAsia="MS Mincho" w:hAnsi="Bookman Old Style" w:cs="Arial"/>
          <w:i/>
          <w:iCs/>
          <w:sz w:val="20"/>
          <w:szCs w:val="20"/>
          <w:lang w:val="es-CO"/>
        </w:rPr>
      </w:pPr>
    </w:p>
    <w:p w14:paraId="0B2A734E" w14:textId="48841211" w:rsidR="000B0B94" w:rsidRDefault="000B0B94" w:rsidP="00292999">
      <w:pPr>
        <w:ind w:left="567"/>
        <w:contextualSpacing/>
        <w:jc w:val="both"/>
        <w:rPr>
          <w:rFonts w:ascii="Bookman Old Style" w:eastAsia="MS Mincho" w:hAnsi="Bookman Old Style" w:cs="Arial"/>
          <w:i/>
          <w:iCs/>
          <w:sz w:val="20"/>
          <w:szCs w:val="20"/>
          <w:lang w:val="es-CO"/>
        </w:rPr>
      </w:pPr>
      <w:r w:rsidRPr="000B0B94">
        <w:rPr>
          <w:rFonts w:ascii="Bookman Old Style" w:eastAsia="MS Mincho" w:hAnsi="Bookman Old Style" w:cs="Arial"/>
          <w:i/>
          <w:iCs/>
          <w:sz w:val="20"/>
          <w:szCs w:val="20"/>
          <w:lang w:val="es-CO"/>
        </w:rPr>
        <w:t>Se solicita cordialmente a la CREG precisar la información puntual que requiere para el análisis de variaciones de tensión en la subestación y líneas de la zona de influencia del proyecto, a efectos de verificar si GENSA cuenta o no con ella.</w:t>
      </w:r>
      <w:r w:rsidR="00E0605D">
        <w:rPr>
          <w:rFonts w:ascii="Bookman Old Style" w:eastAsia="MS Mincho" w:hAnsi="Bookman Old Style" w:cs="Arial"/>
          <w:i/>
          <w:iCs/>
          <w:sz w:val="20"/>
          <w:szCs w:val="20"/>
          <w:lang w:val="es-CO"/>
        </w:rPr>
        <w:t xml:space="preserve"> (…)</w:t>
      </w:r>
    </w:p>
    <w:p w14:paraId="16FF440D" w14:textId="77777777" w:rsidR="00E0605D" w:rsidRDefault="00E0605D" w:rsidP="00292999">
      <w:pPr>
        <w:ind w:left="567"/>
        <w:contextualSpacing/>
        <w:jc w:val="both"/>
        <w:rPr>
          <w:rFonts w:ascii="Bookman Old Style" w:eastAsia="MS Mincho" w:hAnsi="Bookman Old Style" w:cs="Arial"/>
          <w:i/>
          <w:iCs/>
          <w:sz w:val="20"/>
          <w:szCs w:val="20"/>
          <w:lang w:val="es-CO"/>
        </w:rPr>
      </w:pPr>
    </w:p>
    <w:p w14:paraId="70B34BD0" w14:textId="7B0896F9" w:rsidR="00E0605D" w:rsidRDefault="00E0605D" w:rsidP="00292999">
      <w:pPr>
        <w:ind w:left="567"/>
        <w:contextualSpacing/>
        <w:jc w:val="both"/>
        <w:rPr>
          <w:rFonts w:ascii="Bookman Old Style" w:eastAsia="MS Mincho" w:hAnsi="Bookman Old Style" w:cs="Arial"/>
          <w:i/>
          <w:iCs/>
          <w:sz w:val="20"/>
          <w:szCs w:val="20"/>
          <w:lang w:val="es-CO"/>
        </w:rPr>
      </w:pPr>
      <w:r w:rsidRPr="00E0605D">
        <w:rPr>
          <w:rFonts w:ascii="Bookman Old Style" w:eastAsia="MS Mincho" w:hAnsi="Bookman Old Style" w:cs="Arial"/>
          <w:i/>
          <w:iCs/>
          <w:sz w:val="20"/>
          <w:szCs w:val="20"/>
          <w:lang w:val="es-CO"/>
        </w:rPr>
        <w:t xml:space="preserve">Tanto la Resolución CREG 070 de 1998 </w:t>
      </w:r>
      <w:r w:rsidR="007D0919">
        <w:rPr>
          <w:rFonts w:ascii="Bookman Old Style" w:eastAsia="MS Mincho" w:hAnsi="Bookman Old Style" w:cs="Arial"/>
          <w:i/>
          <w:iCs/>
          <w:sz w:val="20"/>
          <w:szCs w:val="20"/>
          <w:lang w:val="es-CO"/>
        </w:rPr>
        <w:t>‘</w:t>
      </w:r>
      <w:r w:rsidRPr="00E0605D">
        <w:rPr>
          <w:rFonts w:ascii="Bookman Old Style" w:eastAsia="MS Mincho" w:hAnsi="Bookman Old Style" w:cs="Arial"/>
          <w:i/>
          <w:iCs/>
          <w:sz w:val="20"/>
          <w:szCs w:val="20"/>
          <w:lang w:val="es-CO"/>
        </w:rPr>
        <w:t>Por la cual se establece el Reglamento de Distribución de Energía Eléctrica, como parte del Reglamento de Operación del Sistema Interconectado Nacional</w:t>
      </w:r>
      <w:r w:rsidR="00C755D3">
        <w:rPr>
          <w:rFonts w:ascii="Bookman Old Style" w:eastAsia="MS Mincho" w:hAnsi="Bookman Old Style" w:cs="Arial"/>
          <w:i/>
          <w:iCs/>
          <w:sz w:val="20"/>
          <w:szCs w:val="20"/>
          <w:lang w:val="es-CO"/>
        </w:rPr>
        <w:t>’</w:t>
      </w:r>
      <w:r w:rsidRPr="00E0605D">
        <w:rPr>
          <w:rFonts w:ascii="Bookman Old Style" w:eastAsia="MS Mincho" w:hAnsi="Bookman Old Style" w:cs="Arial"/>
          <w:i/>
          <w:iCs/>
          <w:sz w:val="20"/>
          <w:szCs w:val="20"/>
          <w:lang w:val="es-CO"/>
        </w:rPr>
        <w:t xml:space="preserve">, como la Resolución CREG 025 de 1995 </w:t>
      </w:r>
      <w:r w:rsidR="00C755D3">
        <w:rPr>
          <w:rFonts w:ascii="Bookman Old Style" w:eastAsia="MS Mincho" w:hAnsi="Bookman Old Style" w:cs="Arial"/>
          <w:i/>
          <w:iCs/>
          <w:sz w:val="20"/>
          <w:szCs w:val="20"/>
          <w:lang w:val="es-CO"/>
        </w:rPr>
        <w:t>‘</w:t>
      </w:r>
      <w:r w:rsidRPr="00E0605D">
        <w:rPr>
          <w:rFonts w:ascii="Bookman Old Style" w:eastAsia="MS Mincho" w:hAnsi="Bookman Old Style" w:cs="Arial"/>
          <w:i/>
          <w:iCs/>
          <w:sz w:val="20"/>
          <w:szCs w:val="20"/>
          <w:lang w:val="es-CO"/>
        </w:rPr>
        <w:t>Por la cual se establece el Código de Redes, como parte del Reglamento de Operación del Sistema Interconectado Nacional.</w:t>
      </w:r>
      <w:r w:rsidR="00A2721E">
        <w:rPr>
          <w:rFonts w:ascii="Bookman Old Style" w:eastAsia="MS Mincho" w:hAnsi="Bookman Old Style" w:cs="Arial"/>
          <w:i/>
          <w:iCs/>
          <w:sz w:val="20"/>
          <w:szCs w:val="20"/>
          <w:lang w:val="es-CO"/>
        </w:rPr>
        <w:t>’</w:t>
      </w:r>
      <w:r w:rsidRPr="00E0605D">
        <w:rPr>
          <w:rFonts w:ascii="Bookman Old Style" w:eastAsia="MS Mincho" w:hAnsi="Bookman Old Style" w:cs="Arial"/>
          <w:i/>
          <w:iCs/>
          <w:sz w:val="20"/>
          <w:szCs w:val="20"/>
          <w:lang w:val="es-CO"/>
        </w:rPr>
        <w:t>, hacen parte del Reglamento de Operación del Sistema Interconectado Nacional. Comoquiera que el Municipio de Mitú se encuentra en una Zona No Interconectada, no resultan aplicables como aplican dichas resoluciones a la actividad de generación que realiza GENSA en dicho Municipio.</w:t>
      </w:r>
    </w:p>
    <w:p w14:paraId="4C8CF4CD" w14:textId="77777777" w:rsidR="00706636" w:rsidRPr="00E0605D" w:rsidRDefault="00706636" w:rsidP="00292999">
      <w:pPr>
        <w:ind w:left="567"/>
        <w:contextualSpacing/>
        <w:jc w:val="both"/>
        <w:rPr>
          <w:rFonts w:ascii="Bookman Old Style" w:eastAsia="MS Mincho" w:hAnsi="Bookman Old Style" w:cs="Arial"/>
          <w:i/>
          <w:iCs/>
          <w:sz w:val="20"/>
          <w:szCs w:val="20"/>
          <w:lang w:val="es-CO"/>
        </w:rPr>
      </w:pPr>
    </w:p>
    <w:p w14:paraId="5DF86DB0" w14:textId="29706346" w:rsidR="00E0605D" w:rsidRDefault="00E0605D" w:rsidP="00292999">
      <w:pPr>
        <w:ind w:left="567"/>
        <w:contextualSpacing/>
        <w:jc w:val="both"/>
        <w:rPr>
          <w:rFonts w:ascii="Bookman Old Style" w:eastAsia="MS Mincho" w:hAnsi="Bookman Old Style" w:cs="Arial"/>
          <w:i/>
          <w:iCs/>
          <w:sz w:val="20"/>
          <w:szCs w:val="20"/>
          <w:lang w:val="es-CO"/>
        </w:rPr>
      </w:pPr>
      <w:r w:rsidRPr="00E0605D">
        <w:rPr>
          <w:rFonts w:ascii="Bookman Old Style" w:eastAsia="MS Mincho" w:hAnsi="Bookman Old Style" w:cs="Arial"/>
          <w:i/>
          <w:iCs/>
          <w:sz w:val="20"/>
          <w:szCs w:val="20"/>
          <w:lang w:val="es-CO"/>
        </w:rPr>
        <w:t>En este orden de ideas, se hace necesario que la CREG precise cual es el alcance del cumplimiento respecto a las Resoluciones CREG 025 de 1995 y 070 de 1998, al que refiere en el citado Auto.</w:t>
      </w:r>
    </w:p>
    <w:p w14:paraId="36258BEB" w14:textId="77777777" w:rsidR="00146818" w:rsidRDefault="00146818" w:rsidP="00292999">
      <w:pPr>
        <w:ind w:left="567"/>
        <w:contextualSpacing/>
        <w:jc w:val="both"/>
        <w:rPr>
          <w:rFonts w:ascii="Bookman Old Style" w:eastAsia="MS Mincho" w:hAnsi="Bookman Old Style" w:cs="Arial"/>
          <w:i/>
          <w:iCs/>
          <w:sz w:val="20"/>
          <w:szCs w:val="20"/>
          <w:lang w:val="es-CO"/>
        </w:rPr>
      </w:pPr>
    </w:p>
    <w:p w14:paraId="0C69CD78" w14:textId="06FF2A27" w:rsidR="00146818" w:rsidRDefault="008803F6" w:rsidP="00292999">
      <w:pPr>
        <w:ind w:left="567"/>
        <w:contextualSpacing/>
        <w:jc w:val="both"/>
        <w:rPr>
          <w:rFonts w:ascii="Bookman Old Style" w:eastAsia="MS Mincho" w:hAnsi="Bookman Old Style" w:cs="Arial"/>
          <w:i/>
          <w:iCs/>
          <w:sz w:val="20"/>
          <w:szCs w:val="20"/>
          <w:lang w:val="es-CO"/>
        </w:rPr>
      </w:pPr>
      <w:r w:rsidRPr="008803F6">
        <w:rPr>
          <w:rFonts w:ascii="Bookman Old Style" w:eastAsia="MS Mincho" w:hAnsi="Bookman Old Style" w:cs="Arial"/>
          <w:i/>
          <w:iCs/>
          <w:sz w:val="20"/>
          <w:szCs w:val="20"/>
          <w:lang w:val="es-CO"/>
        </w:rPr>
        <w:t>f) En relación con los puntos de conexión y de medición entre generador y</w:t>
      </w:r>
      <w:r w:rsidR="001B1375">
        <w:rPr>
          <w:rFonts w:ascii="Bookman Old Style" w:eastAsia="MS Mincho" w:hAnsi="Bookman Old Style" w:cs="Arial"/>
          <w:i/>
          <w:iCs/>
          <w:sz w:val="20"/>
          <w:szCs w:val="20"/>
          <w:lang w:val="es-CO"/>
        </w:rPr>
        <w:t xml:space="preserve"> </w:t>
      </w:r>
      <w:r w:rsidR="001B1375" w:rsidRPr="001B1375">
        <w:rPr>
          <w:rFonts w:ascii="Bookman Old Style" w:eastAsia="MS Mincho" w:hAnsi="Bookman Old Style" w:cs="Arial"/>
          <w:i/>
          <w:iCs/>
          <w:sz w:val="20"/>
          <w:szCs w:val="20"/>
          <w:lang w:val="es-CO"/>
        </w:rPr>
        <w:t>distribuidor para el mercado relevante de comercialización de Mitú, allegue el o los contratos de conexión suscritos, según lo previsto en el parágrafo 2 del artículo 5, de la Resolución CREG 038 de 2018.</w:t>
      </w:r>
    </w:p>
    <w:p w14:paraId="50245D06" w14:textId="77777777" w:rsidR="00146818" w:rsidRDefault="00146818" w:rsidP="00292999">
      <w:pPr>
        <w:ind w:left="567"/>
        <w:contextualSpacing/>
        <w:jc w:val="both"/>
        <w:rPr>
          <w:rFonts w:ascii="Bookman Old Style" w:eastAsia="MS Mincho" w:hAnsi="Bookman Old Style" w:cs="Arial"/>
          <w:i/>
          <w:iCs/>
          <w:sz w:val="20"/>
          <w:szCs w:val="20"/>
          <w:lang w:val="es-CO"/>
        </w:rPr>
      </w:pPr>
    </w:p>
    <w:p w14:paraId="71F13A9D" w14:textId="176BF495" w:rsidR="00146818" w:rsidRDefault="00920746" w:rsidP="00292999">
      <w:pPr>
        <w:ind w:left="567"/>
        <w:contextualSpacing/>
        <w:jc w:val="both"/>
        <w:rPr>
          <w:rFonts w:ascii="Bookman Old Style" w:eastAsia="MS Mincho" w:hAnsi="Bookman Old Style" w:cs="Arial"/>
          <w:i/>
          <w:iCs/>
          <w:sz w:val="20"/>
          <w:szCs w:val="20"/>
          <w:lang w:val="es-CO"/>
        </w:rPr>
      </w:pPr>
      <w:r w:rsidRPr="00920746">
        <w:rPr>
          <w:rFonts w:ascii="Bookman Old Style" w:eastAsia="MS Mincho" w:hAnsi="Bookman Old Style" w:cs="Arial"/>
          <w:i/>
          <w:iCs/>
          <w:sz w:val="20"/>
          <w:szCs w:val="20"/>
          <w:lang w:val="es-CO"/>
        </w:rPr>
        <w:t>El artículo 5 de la Resolución CREG 038 de 2018 establece las condiciones mínimas que debe contener el contrato de conexión entre el distribuidor y un autogenerador</w:t>
      </w:r>
      <w:r w:rsidR="001B764E">
        <w:rPr>
          <w:rFonts w:ascii="Bookman Old Style" w:eastAsia="MS Mincho" w:hAnsi="Bookman Old Style" w:cs="Arial"/>
          <w:i/>
          <w:iCs/>
          <w:sz w:val="20"/>
          <w:szCs w:val="20"/>
          <w:lang w:val="es-CO"/>
        </w:rPr>
        <w:t xml:space="preserve"> o </w:t>
      </w:r>
      <w:r w:rsidR="001B764E" w:rsidRPr="001B764E">
        <w:rPr>
          <w:rFonts w:ascii="Bookman Old Style" w:eastAsia="MS Mincho" w:hAnsi="Bookman Old Style" w:cs="Arial"/>
          <w:i/>
          <w:iCs/>
          <w:sz w:val="20"/>
          <w:szCs w:val="20"/>
          <w:lang w:val="es-CO"/>
        </w:rPr>
        <w:t xml:space="preserve">generador distribuido. El artículo 4 de la misma resolución establece que un Generador distribuido en ZNI es la </w:t>
      </w:r>
      <w:r w:rsidR="00460EC8">
        <w:rPr>
          <w:rFonts w:ascii="Bookman Old Style" w:eastAsia="MS Mincho" w:hAnsi="Bookman Old Style" w:cs="Arial"/>
          <w:i/>
          <w:iCs/>
          <w:sz w:val="20"/>
          <w:szCs w:val="20"/>
          <w:lang w:val="es-CO"/>
        </w:rPr>
        <w:t>‘</w:t>
      </w:r>
      <w:r w:rsidR="001B764E" w:rsidRPr="001B764E">
        <w:rPr>
          <w:rFonts w:ascii="Bookman Old Style" w:eastAsia="MS Mincho" w:hAnsi="Bookman Old Style" w:cs="Arial"/>
          <w:i/>
          <w:iCs/>
          <w:sz w:val="20"/>
          <w:szCs w:val="20"/>
          <w:lang w:val="es-CO"/>
        </w:rPr>
        <w:t>Persona jurídica constituida como empresa de</w:t>
      </w:r>
      <w:r w:rsidR="00F444F9">
        <w:rPr>
          <w:rFonts w:ascii="Bookman Old Style" w:eastAsia="MS Mincho" w:hAnsi="Bookman Old Style" w:cs="Arial"/>
          <w:i/>
          <w:iCs/>
          <w:sz w:val="20"/>
          <w:szCs w:val="20"/>
          <w:lang w:val="es-CO"/>
        </w:rPr>
        <w:t xml:space="preserve"> </w:t>
      </w:r>
      <w:r w:rsidR="00146818" w:rsidRPr="00146818">
        <w:rPr>
          <w:rFonts w:ascii="Bookman Old Style" w:eastAsia="MS Mincho" w:hAnsi="Bookman Old Style" w:cs="Arial"/>
          <w:i/>
          <w:iCs/>
          <w:sz w:val="20"/>
          <w:szCs w:val="20"/>
          <w:lang w:val="es-CO"/>
        </w:rPr>
        <w:t xml:space="preserve">servicios públicos, en los términos de la Ley 142 de 1994, que genera energía eléctrica </w:t>
      </w:r>
      <w:r w:rsidR="00146818" w:rsidRPr="00D52DFD">
        <w:rPr>
          <w:rFonts w:ascii="Bookman Old Style" w:eastAsia="MS Mincho" w:hAnsi="Bookman Old Style" w:cs="Arial"/>
          <w:i/>
          <w:iCs/>
          <w:sz w:val="20"/>
          <w:szCs w:val="20"/>
          <w:u w:val="single"/>
          <w:lang w:val="es-CO"/>
        </w:rPr>
        <w:t>cerca de los centros de consumo</w:t>
      </w:r>
      <w:r w:rsidR="00146818" w:rsidRPr="00146818">
        <w:rPr>
          <w:rFonts w:ascii="Bookman Old Style" w:eastAsia="MS Mincho" w:hAnsi="Bookman Old Style" w:cs="Arial"/>
          <w:i/>
          <w:iCs/>
          <w:sz w:val="20"/>
          <w:szCs w:val="20"/>
          <w:lang w:val="es-CO"/>
        </w:rPr>
        <w:t>, y está conectado al Sistema de Distribución en las zonas no interconectadas.</w:t>
      </w:r>
      <w:r w:rsidR="00460EC8">
        <w:rPr>
          <w:rFonts w:ascii="Bookman Old Style" w:eastAsia="MS Mincho" w:hAnsi="Bookman Old Style" w:cs="Arial"/>
          <w:i/>
          <w:iCs/>
          <w:sz w:val="20"/>
          <w:szCs w:val="20"/>
          <w:lang w:val="es-CO"/>
        </w:rPr>
        <w:t>’</w:t>
      </w:r>
      <w:r w:rsidR="00146818" w:rsidRPr="00146818">
        <w:rPr>
          <w:rFonts w:ascii="Bookman Old Style" w:eastAsia="MS Mincho" w:hAnsi="Bookman Old Style" w:cs="Arial"/>
          <w:i/>
          <w:iCs/>
          <w:sz w:val="20"/>
          <w:szCs w:val="20"/>
          <w:lang w:val="es-CO"/>
        </w:rPr>
        <w:t xml:space="preserve"> (Subrayado fuera del texto original).</w:t>
      </w:r>
    </w:p>
    <w:p w14:paraId="10E61A51" w14:textId="77777777" w:rsidR="00460EC8" w:rsidRPr="00146818" w:rsidRDefault="00460EC8" w:rsidP="00292999">
      <w:pPr>
        <w:ind w:left="567"/>
        <w:contextualSpacing/>
        <w:jc w:val="both"/>
        <w:rPr>
          <w:rFonts w:ascii="Bookman Old Style" w:eastAsia="MS Mincho" w:hAnsi="Bookman Old Style" w:cs="Arial"/>
          <w:i/>
          <w:iCs/>
          <w:sz w:val="20"/>
          <w:szCs w:val="20"/>
          <w:lang w:val="es-CO"/>
        </w:rPr>
      </w:pPr>
    </w:p>
    <w:p w14:paraId="4E6280CF" w14:textId="6B13E561" w:rsidR="00146818" w:rsidRDefault="00146818" w:rsidP="00292999">
      <w:pPr>
        <w:ind w:left="567"/>
        <w:contextualSpacing/>
        <w:jc w:val="both"/>
        <w:rPr>
          <w:rFonts w:ascii="Bookman Old Style" w:eastAsia="MS Mincho" w:hAnsi="Bookman Old Style" w:cs="Arial"/>
          <w:i/>
          <w:iCs/>
          <w:sz w:val="20"/>
          <w:szCs w:val="20"/>
          <w:lang w:val="es-CO"/>
        </w:rPr>
      </w:pPr>
      <w:r w:rsidRPr="00146818">
        <w:rPr>
          <w:rFonts w:ascii="Bookman Old Style" w:eastAsia="MS Mincho" w:hAnsi="Bookman Old Style" w:cs="Arial"/>
          <w:i/>
          <w:iCs/>
          <w:sz w:val="20"/>
          <w:szCs w:val="20"/>
          <w:lang w:val="es-CO"/>
        </w:rPr>
        <w:t>La Generación de energía eléctrica que realiza GENSA en el Municipio de Mitú no se encuentra cerca de los centros de consumo. GENSA tampoco realiza actividades de autogeneración. Por lo anterior, no se estima aplicable el mencionado artículo 5 de la Resolución CREG 038 de 2018, incluyendo su parágrafo 2° a GENSA.</w:t>
      </w:r>
    </w:p>
    <w:p w14:paraId="1CF5BFBA" w14:textId="77777777" w:rsidR="00D52DFD" w:rsidRPr="00146818" w:rsidRDefault="00D52DFD" w:rsidP="00292999">
      <w:pPr>
        <w:ind w:left="567"/>
        <w:contextualSpacing/>
        <w:jc w:val="both"/>
        <w:rPr>
          <w:rFonts w:ascii="Bookman Old Style" w:eastAsia="MS Mincho" w:hAnsi="Bookman Old Style" w:cs="Arial"/>
          <w:i/>
          <w:iCs/>
          <w:sz w:val="20"/>
          <w:szCs w:val="20"/>
          <w:lang w:val="es-CO"/>
        </w:rPr>
      </w:pPr>
    </w:p>
    <w:p w14:paraId="4D40ADAD" w14:textId="77777777" w:rsidR="00F5510F" w:rsidRDefault="00146818" w:rsidP="00292999">
      <w:pPr>
        <w:ind w:left="567"/>
        <w:contextualSpacing/>
        <w:jc w:val="both"/>
        <w:rPr>
          <w:rFonts w:ascii="Bookman Old Style" w:eastAsia="MS Mincho" w:hAnsi="Bookman Old Style" w:cs="Arial"/>
          <w:i/>
          <w:iCs/>
          <w:sz w:val="20"/>
          <w:szCs w:val="20"/>
          <w:lang w:val="es-CO"/>
        </w:rPr>
      </w:pPr>
      <w:r w:rsidRPr="00146818">
        <w:rPr>
          <w:rFonts w:ascii="Bookman Old Style" w:eastAsia="MS Mincho" w:hAnsi="Bookman Old Style" w:cs="Arial"/>
          <w:i/>
          <w:iCs/>
          <w:sz w:val="20"/>
          <w:szCs w:val="20"/>
          <w:lang w:val="es-CO"/>
        </w:rPr>
        <w:t>Sin perjuicio de lo anterior, nos permitimos adjuntar copia del contrato de venta de energía suscrito entre GENSA y el comercializador de Mitú, en el cual se especifica el punto de conexión y medición entre el generador y el distribuidor.</w:t>
      </w:r>
      <w:r w:rsidR="00F5510F">
        <w:rPr>
          <w:rFonts w:ascii="Bookman Old Style" w:eastAsia="MS Mincho" w:hAnsi="Bookman Old Style" w:cs="Arial"/>
          <w:i/>
          <w:iCs/>
          <w:sz w:val="20"/>
          <w:szCs w:val="20"/>
          <w:lang w:val="es-CO"/>
        </w:rPr>
        <w:t xml:space="preserve"> (…)</w:t>
      </w:r>
    </w:p>
    <w:p w14:paraId="35E5404E" w14:textId="77777777" w:rsidR="00F5510F" w:rsidRDefault="00F5510F" w:rsidP="00292999">
      <w:pPr>
        <w:ind w:left="567"/>
        <w:contextualSpacing/>
        <w:jc w:val="both"/>
        <w:rPr>
          <w:rFonts w:ascii="Bookman Old Style" w:eastAsia="MS Mincho" w:hAnsi="Bookman Old Style" w:cs="Arial"/>
          <w:i/>
          <w:iCs/>
          <w:sz w:val="20"/>
          <w:szCs w:val="20"/>
          <w:lang w:val="es-CO"/>
        </w:rPr>
      </w:pPr>
    </w:p>
    <w:p w14:paraId="6DFCAAD4" w14:textId="6FDDE2E3" w:rsidR="00FC3530" w:rsidRPr="00045391" w:rsidRDefault="00C44A50" w:rsidP="00292999">
      <w:pPr>
        <w:ind w:left="567"/>
        <w:contextualSpacing/>
        <w:jc w:val="both"/>
        <w:rPr>
          <w:rFonts w:ascii="Bookman Old Style" w:eastAsia="MS Mincho" w:hAnsi="Bookman Old Style" w:cs="Arial"/>
          <w:sz w:val="20"/>
          <w:szCs w:val="20"/>
          <w:lang w:val="es-CO"/>
        </w:rPr>
      </w:pPr>
      <w:r w:rsidRPr="00C44A50">
        <w:rPr>
          <w:rFonts w:ascii="Bookman Old Style" w:eastAsia="MS Mincho" w:hAnsi="Bookman Old Style" w:cs="Arial"/>
          <w:i/>
          <w:iCs/>
          <w:sz w:val="20"/>
          <w:szCs w:val="20"/>
          <w:lang w:val="es-CO"/>
        </w:rPr>
        <w:t>Finalmente, en virtud de lo dispuesto en el artículo 40 del Código de Procedimiento Administrativo y de lo Contencioso Administrativo, nos permitimos solicitarle cordialmente que se permita a GENSA aportar un estudio de validación del estudio técnico de conexión que ha presentado DUE CAPITAL, el cual sería entregado dentro de los 90 días siguientes a la aprobación de esta solicitud.</w:t>
      </w:r>
      <w:r w:rsidR="00F27CA2">
        <w:rPr>
          <w:rFonts w:ascii="Bookman Old Style" w:eastAsia="MS Mincho" w:hAnsi="Bookman Old Style" w:cs="Arial"/>
          <w:i/>
          <w:iCs/>
          <w:sz w:val="20"/>
          <w:szCs w:val="20"/>
          <w:lang w:val="es-CO"/>
        </w:rPr>
        <w:t xml:space="preserve"> </w:t>
      </w:r>
      <w:r w:rsidR="00FC3530" w:rsidRPr="00045391">
        <w:rPr>
          <w:rFonts w:ascii="Bookman Old Style" w:eastAsia="MS Mincho" w:hAnsi="Bookman Old Style" w:cs="Arial"/>
          <w:i/>
          <w:iCs/>
          <w:sz w:val="20"/>
          <w:szCs w:val="20"/>
          <w:lang w:val="es-CO"/>
        </w:rPr>
        <w:t>(…)”</w:t>
      </w:r>
    </w:p>
    <w:p w14:paraId="44C5B1CD" w14:textId="77777777" w:rsidR="005D7BB0" w:rsidRPr="0086458B" w:rsidRDefault="005D7BB0" w:rsidP="00E57F55">
      <w:pPr>
        <w:ind w:left="284"/>
        <w:contextualSpacing/>
        <w:jc w:val="both"/>
        <w:rPr>
          <w:rFonts w:ascii="Bookman Old Style" w:eastAsia="MS Mincho" w:hAnsi="Bookman Old Style" w:cs="Arial"/>
          <w:lang w:val="es-CO"/>
        </w:rPr>
      </w:pPr>
    </w:p>
    <w:p w14:paraId="05CDD3FE" w14:textId="0926EB62" w:rsidR="002E7A1E" w:rsidRDefault="002E7A1E" w:rsidP="00E57F55">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 xml:space="preserve">Mediante </w:t>
      </w:r>
      <w:r>
        <w:rPr>
          <w:rFonts w:ascii="Bookman Old Style" w:eastAsia="MS Mincho" w:hAnsi="Bookman Old Style" w:cs="Arial"/>
          <w:lang w:val="es-CO"/>
        </w:rPr>
        <w:t xml:space="preserve">comunicación con </w:t>
      </w:r>
      <w:r w:rsidRPr="0086458B">
        <w:rPr>
          <w:rFonts w:ascii="Bookman Old Style" w:eastAsia="MS Mincho" w:hAnsi="Bookman Old Style" w:cs="Arial"/>
          <w:lang w:val="es-CO"/>
        </w:rPr>
        <w:t>radicado CREG E-2021-00</w:t>
      </w:r>
      <w:r w:rsidR="00E749DA">
        <w:rPr>
          <w:rFonts w:ascii="Bookman Old Style" w:eastAsia="MS Mincho" w:hAnsi="Bookman Old Style" w:cs="Arial"/>
          <w:lang w:val="es-CO"/>
        </w:rPr>
        <w:t>7742</w:t>
      </w:r>
      <w:r w:rsidR="0051556F">
        <w:rPr>
          <w:rFonts w:ascii="Bookman Old Style" w:eastAsia="MS Mincho" w:hAnsi="Bookman Old Style" w:cs="Arial"/>
          <w:lang w:val="es-CO"/>
        </w:rPr>
        <w:t xml:space="preserve"> del 7 de julio</w:t>
      </w:r>
      <w:r w:rsidR="00EC1CD6">
        <w:rPr>
          <w:rFonts w:ascii="Bookman Old Style" w:eastAsia="MS Mincho" w:hAnsi="Bookman Old Style" w:cs="Arial"/>
          <w:lang w:val="es-CO"/>
        </w:rPr>
        <w:t xml:space="preserve"> de 2021,</w:t>
      </w:r>
      <w:r w:rsidRPr="0086458B">
        <w:rPr>
          <w:rFonts w:ascii="Bookman Old Style" w:eastAsia="MS Mincho" w:hAnsi="Bookman Old Style" w:cs="Arial"/>
          <w:lang w:val="es-CO"/>
        </w:rPr>
        <w:t xml:space="preserve"> </w:t>
      </w:r>
      <w:r>
        <w:rPr>
          <w:rFonts w:ascii="Bookman Old Style" w:eastAsia="MS Mincho" w:hAnsi="Bookman Old Style" w:cs="Arial"/>
          <w:lang w:val="es-CO"/>
        </w:rPr>
        <w:t xml:space="preserve">DUE </w:t>
      </w:r>
      <w:r w:rsidR="00071D90" w:rsidRPr="0ECC7FE6">
        <w:rPr>
          <w:rFonts w:ascii="Bookman Old Style" w:eastAsia="MS Mincho" w:hAnsi="Bookman Old Style" w:cs="Arial"/>
          <w:lang w:val="es-CO"/>
        </w:rPr>
        <w:t>dio</w:t>
      </w:r>
      <w:r w:rsidR="00071D90">
        <w:rPr>
          <w:rFonts w:ascii="Bookman Old Style" w:eastAsia="MS Mincho" w:hAnsi="Bookman Old Style" w:cs="Arial"/>
          <w:lang w:val="es-CO"/>
        </w:rPr>
        <w:t xml:space="preserve"> respuesta al Auto I-202</w:t>
      </w:r>
      <w:r w:rsidR="00FA0F30">
        <w:rPr>
          <w:rFonts w:ascii="Bookman Old Style" w:eastAsia="MS Mincho" w:hAnsi="Bookman Old Style" w:cs="Arial"/>
          <w:lang w:val="es-CO"/>
        </w:rPr>
        <w:t>0</w:t>
      </w:r>
      <w:r w:rsidR="00071D90">
        <w:rPr>
          <w:rFonts w:ascii="Bookman Old Style" w:eastAsia="MS Mincho" w:hAnsi="Bookman Old Style" w:cs="Arial"/>
          <w:lang w:val="es-CO"/>
        </w:rPr>
        <w:t>-00</w:t>
      </w:r>
      <w:r w:rsidR="00600AB9">
        <w:rPr>
          <w:rFonts w:ascii="Bookman Old Style" w:eastAsia="MS Mincho" w:hAnsi="Bookman Old Style" w:cs="Arial"/>
          <w:lang w:val="es-CO"/>
        </w:rPr>
        <w:t>5282</w:t>
      </w:r>
      <w:r w:rsidR="0051556F">
        <w:rPr>
          <w:rFonts w:ascii="Bookman Old Style" w:eastAsia="MS Mincho" w:hAnsi="Bookman Old Style" w:cs="Arial"/>
          <w:lang w:val="es-CO"/>
        </w:rPr>
        <w:t xml:space="preserve"> del 7 de enero de 2021</w:t>
      </w:r>
      <w:r w:rsidR="00071D90">
        <w:rPr>
          <w:rFonts w:ascii="Bookman Old Style" w:eastAsia="MS Mincho" w:hAnsi="Bookman Old Style" w:cs="Arial"/>
          <w:lang w:val="es-CO"/>
        </w:rPr>
        <w:t>, en el siguiente sentido:</w:t>
      </w:r>
    </w:p>
    <w:p w14:paraId="6BF771A1" w14:textId="77777777" w:rsidR="00071D90" w:rsidRDefault="00071D90" w:rsidP="00E57F55">
      <w:pPr>
        <w:ind w:left="284"/>
        <w:contextualSpacing/>
        <w:jc w:val="both"/>
        <w:rPr>
          <w:rFonts w:ascii="Bookman Old Style" w:eastAsia="MS Mincho" w:hAnsi="Bookman Old Style" w:cs="Arial"/>
          <w:lang w:val="es-CO"/>
        </w:rPr>
      </w:pPr>
    </w:p>
    <w:p w14:paraId="063997F5" w14:textId="726F3DD4" w:rsidR="00071D90" w:rsidRPr="00EF488B" w:rsidRDefault="00856796"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071D90" w:rsidRPr="00EF488B">
        <w:rPr>
          <w:rFonts w:ascii="Bookman Old Style" w:eastAsia="MS Mincho" w:hAnsi="Bookman Old Style" w:cs="Arial"/>
          <w:i/>
          <w:iCs/>
          <w:sz w:val="20"/>
          <w:szCs w:val="20"/>
          <w:lang w:val="es-CO"/>
        </w:rPr>
        <w:t xml:space="preserve">De acuerdo con lo requerido en el Auto </w:t>
      </w:r>
      <w:r w:rsidR="00600AB9">
        <w:rPr>
          <w:rFonts w:ascii="Bookman Old Style" w:eastAsia="MS Mincho" w:hAnsi="Bookman Old Style" w:cs="Arial"/>
          <w:i/>
          <w:iCs/>
          <w:sz w:val="20"/>
          <w:szCs w:val="20"/>
          <w:lang w:val="es-CO"/>
        </w:rPr>
        <w:t>I</w:t>
      </w:r>
      <w:r w:rsidR="00071D90" w:rsidRPr="00EF488B">
        <w:rPr>
          <w:rFonts w:ascii="Bookman Old Style" w:eastAsia="MS Mincho" w:hAnsi="Bookman Old Style" w:cs="Arial"/>
          <w:i/>
          <w:iCs/>
          <w:sz w:val="20"/>
          <w:szCs w:val="20"/>
          <w:lang w:val="es-CO"/>
        </w:rPr>
        <w:t xml:space="preserve">-2020-005282 por medio del cual la Comisión ordena a mi representada a realizar un estudio de conexión que contenga un análisis de estabilidad, estabilidad dinámico y transitorio para la conexión del parque Matakavi en Mitú, Vaupés. </w:t>
      </w:r>
    </w:p>
    <w:p w14:paraId="3974A4E1" w14:textId="77777777" w:rsidR="003F5848" w:rsidRDefault="003F5848" w:rsidP="00292999">
      <w:pPr>
        <w:ind w:left="567"/>
        <w:contextualSpacing/>
        <w:jc w:val="both"/>
        <w:rPr>
          <w:rFonts w:ascii="Bookman Old Style" w:eastAsia="MS Mincho" w:hAnsi="Bookman Old Style" w:cs="Arial"/>
          <w:i/>
          <w:iCs/>
          <w:sz w:val="20"/>
          <w:szCs w:val="20"/>
          <w:lang w:val="es-CO"/>
        </w:rPr>
      </w:pPr>
    </w:p>
    <w:p w14:paraId="3D0491E1" w14:textId="48CF7536" w:rsidR="00071D90" w:rsidRPr="00EF488B" w:rsidRDefault="00071D90" w:rsidP="00292999">
      <w:pPr>
        <w:ind w:left="567"/>
        <w:contextualSpacing/>
        <w:jc w:val="both"/>
        <w:rPr>
          <w:rFonts w:ascii="Bookman Old Style" w:eastAsia="MS Mincho" w:hAnsi="Bookman Old Style" w:cs="Arial"/>
          <w:i/>
          <w:iCs/>
          <w:sz w:val="20"/>
          <w:szCs w:val="20"/>
          <w:lang w:val="es-CO"/>
        </w:rPr>
      </w:pPr>
      <w:r w:rsidRPr="00EF488B">
        <w:rPr>
          <w:rFonts w:ascii="Bookman Old Style" w:eastAsia="MS Mincho" w:hAnsi="Bookman Old Style" w:cs="Arial"/>
          <w:i/>
          <w:iCs/>
          <w:sz w:val="20"/>
          <w:szCs w:val="20"/>
          <w:lang w:val="es-CO"/>
        </w:rPr>
        <w:t>En vista que a la fecha de la presente, tanto la Comisión como el Ministerio de Minas y Energía como GENSA S.A. E.S.P. han concluido que la información necesaria para desarrollar los análisis solicitados no podrá ser entregada en su totalidad, y que aún más parte de esta debe ser construida de forma conjunta entre GENSA y DUE Capital, ejemplo: el estudio final de protecciones el cual sí fuere en el SIN se debería entregar a XM no antes de seis meses antes de la entrada en operación comercial del planta, DUE Capital basado en información relevante pero tipo realizó los análisis solicitados por GENSA en su ocasión, de los cuales hacemos entrega a la Comisión como anexo a la presente.</w:t>
      </w:r>
      <w:r w:rsidR="00856796">
        <w:rPr>
          <w:rFonts w:ascii="Bookman Old Style" w:eastAsia="MS Mincho" w:hAnsi="Bookman Old Style" w:cs="Arial"/>
          <w:i/>
          <w:iCs/>
          <w:sz w:val="20"/>
          <w:szCs w:val="20"/>
          <w:lang w:val="es-CO"/>
        </w:rPr>
        <w:t xml:space="preserve"> (…)”</w:t>
      </w:r>
    </w:p>
    <w:p w14:paraId="794A9C38" w14:textId="77777777" w:rsidR="00E749DA" w:rsidRDefault="00E749DA" w:rsidP="00E57F55">
      <w:pPr>
        <w:ind w:left="284"/>
        <w:contextualSpacing/>
        <w:jc w:val="both"/>
        <w:rPr>
          <w:rFonts w:ascii="Bookman Old Style" w:eastAsia="MS Mincho" w:hAnsi="Bookman Old Style" w:cs="Arial"/>
        </w:rPr>
      </w:pPr>
    </w:p>
    <w:p w14:paraId="5566D181" w14:textId="2652911D" w:rsidR="00502FB4" w:rsidRDefault="00D51638"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Mediante radicado CREG E-2021-007</w:t>
      </w:r>
      <w:r w:rsidR="00AF27FE" w:rsidRPr="0086458B">
        <w:rPr>
          <w:rFonts w:ascii="Bookman Old Style" w:eastAsia="MS Mincho" w:hAnsi="Bookman Old Style" w:cs="Arial"/>
        </w:rPr>
        <w:t>957</w:t>
      </w:r>
      <w:r w:rsidR="00292999">
        <w:rPr>
          <w:rFonts w:ascii="Bookman Old Style" w:eastAsia="MS Mincho" w:hAnsi="Bookman Old Style" w:cs="Arial"/>
        </w:rPr>
        <w:t>,</w:t>
      </w:r>
      <w:r w:rsidR="00AF27FE" w:rsidRPr="0086458B">
        <w:rPr>
          <w:rFonts w:ascii="Bookman Old Style" w:eastAsia="MS Mincho" w:hAnsi="Bookman Old Style" w:cs="Arial"/>
        </w:rPr>
        <w:t xml:space="preserve"> la Gobernación </w:t>
      </w:r>
      <w:r w:rsidRPr="0086458B">
        <w:rPr>
          <w:rFonts w:ascii="Bookman Old Style" w:eastAsia="MS Mincho" w:hAnsi="Bookman Old Style" w:cs="Arial"/>
        </w:rPr>
        <w:t>rindió el informe solicitado mediante Auto I-2021-001628</w:t>
      </w:r>
      <w:r w:rsidR="00AF27FE" w:rsidRPr="0086458B">
        <w:rPr>
          <w:rFonts w:ascii="Bookman Old Style" w:eastAsia="MS Mincho" w:hAnsi="Bookman Old Style" w:cs="Arial"/>
        </w:rPr>
        <w:t>.</w:t>
      </w:r>
      <w:r w:rsidR="0079634F">
        <w:rPr>
          <w:rFonts w:ascii="Bookman Old Style" w:eastAsia="MS Mincho" w:hAnsi="Bookman Old Style" w:cs="Arial"/>
        </w:rPr>
        <w:t xml:space="preserve"> Entre </w:t>
      </w:r>
      <w:r w:rsidR="0079634F" w:rsidRPr="0ECC7FE6">
        <w:rPr>
          <w:rFonts w:ascii="Bookman Old Style" w:eastAsia="MS Mincho" w:hAnsi="Bookman Old Style" w:cs="Arial"/>
        </w:rPr>
        <w:t>otras cosas,</w:t>
      </w:r>
      <w:r w:rsidR="0079634F">
        <w:rPr>
          <w:rFonts w:ascii="Bookman Old Style" w:eastAsia="MS Mincho" w:hAnsi="Bookman Old Style" w:cs="Arial"/>
        </w:rPr>
        <w:t xml:space="preserve"> informa:</w:t>
      </w:r>
    </w:p>
    <w:p w14:paraId="6D66E601" w14:textId="77777777" w:rsidR="0079634F" w:rsidRDefault="0079634F" w:rsidP="00E57F55">
      <w:pPr>
        <w:ind w:left="284"/>
        <w:contextualSpacing/>
        <w:jc w:val="both"/>
        <w:rPr>
          <w:rFonts w:ascii="Bookman Old Style" w:eastAsia="MS Mincho" w:hAnsi="Bookman Old Style" w:cs="Arial"/>
        </w:rPr>
      </w:pPr>
    </w:p>
    <w:p w14:paraId="7F984DB5" w14:textId="53D43C80" w:rsidR="001F7B48" w:rsidRDefault="001F7B48"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1F7B48">
        <w:rPr>
          <w:rFonts w:ascii="Bookman Old Style" w:eastAsia="MS Mincho" w:hAnsi="Bookman Old Style" w:cs="Arial"/>
          <w:i/>
          <w:iCs/>
          <w:sz w:val="20"/>
          <w:szCs w:val="20"/>
          <w:lang w:val="es-CO"/>
        </w:rPr>
        <w:t>e) De conformidad con lo previsto en el parágrafo 2 del artículo 5 la resolución 038 de</w:t>
      </w:r>
      <w:r>
        <w:rPr>
          <w:rFonts w:ascii="Bookman Old Style" w:eastAsia="MS Mincho" w:hAnsi="Bookman Old Style" w:cs="Arial"/>
          <w:i/>
          <w:iCs/>
          <w:sz w:val="20"/>
          <w:szCs w:val="20"/>
          <w:lang w:val="es-CO"/>
        </w:rPr>
        <w:t xml:space="preserve"> </w:t>
      </w:r>
      <w:r w:rsidRPr="001F7B48">
        <w:rPr>
          <w:rFonts w:ascii="Bookman Old Style" w:eastAsia="MS Mincho" w:hAnsi="Bookman Old Style" w:cs="Arial"/>
          <w:i/>
          <w:iCs/>
          <w:sz w:val="20"/>
          <w:szCs w:val="20"/>
          <w:lang w:val="es-CO"/>
        </w:rPr>
        <w:t>2018 ¿indique si tiene contratos de conexión suscritos con el generador? Allegue a</w:t>
      </w:r>
      <w:r>
        <w:rPr>
          <w:rFonts w:ascii="Bookman Old Style" w:eastAsia="MS Mincho" w:hAnsi="Bookman Old Style" w:cs="Arial"/>
          <w:i/>
          <w:iCs/>
          <w:sz w:val="20"/>
          <w:szCs w:val="20"/>
          <w:lang w:val="es-CO"/>
        </w:rPr>
        <w:t xml:space="preserve"> </w:t>
      </w:r>
      <w:r w:rsidRPr="001F7B48">
        <w:rPr>
          <w:rFonts w:ascii="Bookman Old Style" w:eastAsia="MS Mincho" w:hAnsi="Bookman Old Style" w:cs="Arial"/>
          <w:i/>
          <w:iCs/>
          <w:sz w:val="20"/>
          <w:szCs w:val="20"/>
          <w:lang w:val="es-CO"/>
        </w:rPr>
        <w:t>esta comisión los respectivos soportes.</w:t>
      </w:r>
    </w:p>
    <w:p w14:paraId="7C2F6709" w14:textId="77777777" w:rsidR="001F7B48" w:rsidRPr="001F7B48" w:rsidRDefault="001F7B48" w:rsidP="00292999">
      <w:pPr>
        <w:ind w:left="567"/>
        <w:contextualSpacing/>
        <w:jc w:val="both"/>
        <w:rPr>
          <w:rFonts w:ascii="Bookman Old Style" w:eastAsia="MS Mincho" w:hAnsi="Bookman Old Style" w:cs="Arial"/>
          <w:i/>
          <w:iCs/>
          <w:sz w:val="20"/>
          <w:szCs w:val="20"/>
          <w:lang w:val="es-CO"/>
        </w:rPr>
      </w:pPr>
    </w:p>
    <w:p w14:paraId="58A0BF73" w14:textId="036BFC64" w:rsidR="0079634F" w:rsidRDefault="001F7B48" w:rsidP="00292999">
      <w:pPr>
        <w:ind w:left="567"/>
        <w:contextualSpacing/>
        <w:jc w:val="both"/>
        <w:rPr>
          <w:rFonts w:ascii="Bookman Old Style" w:eastAsia="MS Mincho" w:hAnsi="Bookman Old Style" w:cs="Arial"/>
          <w:i/>
          <w:iCs/>
          <w:sz w:val="20"/>
          <w:szCs w:val="20"/>
          <w:lang w:val="es-CO"/>
        </w:rPr>
      </w:pPr>
      <w:r w:rsidRPr="001F7B48">
        <w:rPr>
          <w:rFonts w:ascii="Bookman Old Style" w:eastAsia="MS Mincho" w:hAnsi="Bookman Old Style" w:cs="Arial"/>
          <w:i/>
          <w:iCs/>
          <w:sz w:val="20"/>
          <w:szCs w:val="20"/>
          <w:lang w:val="es-CO"/>
        </w:rPr>
        <w:t>No se tiene ningún tipo de contrato de conexión eléctrica</w:t>
      </w:r>
      <w:r w:rsidR="0035170A">
        <w:rPr>
          <w:rFonts w:ascii="Bookman Old Style" w:eastAsia="MS Mincho" w:hAnsi="Bookman Old Style" w:cs="Arial"/>
          <w:i/>
          <w:iCs/>
          <w:sz w:val="20"/>
          <w:szCs w:val="20"/>
          <w:lang w:val="es-CO"/>
        </w:rPr>
        <w:t xml:space="preserve"> </w:t>
      </w:r>
      <w:r w:rsidR="0079634F">
        <w:rPr>
          <w:rFonts w:ascii="Bookman Old Style" w:eastAsia="MS Mincho" w:hAnsi="Bookman Old Style" w:cs="Arial"/>
          <w:i/>
          <w:iCs/>
          <w:sz w:val="20"/>
          <w:szCs w:val="20"/>
          <w:lang w:val="es-CO"/>
        </w:rPr>
        <w:t>(…)</w:t>
      </w:r>
      <w:r w:rsidR="0035170A">
        <w:rPr>
          <w:rFonts w:ascii="Bookman Old Style" w:eastAsia="MS Mincho" w:hAnsi="Bookman Old Style" w:cs="Arial"/>
          <w:i/>
          <w:iCs/>
          <w:sz w:val="20"/>
          <w:szCs w:val="20"/>
          <w:lang w:val="es-CO"/>
        </w:rPr>
        <w:t>”</w:t>
      </w:r>
    </w:p>
    <w:p w14:paraId="4E76FB44" w14:textId="45923426" w:rsidR="00DD1CF9" w:rsidRPr="0086458B" w:rsidRDefault="00DD1CF9" w:rsidP="00E57F55">
      <w:pPr>
        <w:ind w:left="284"/>
        <w:contextualSpacing/>
        <w:jc w:val="both"/>
        <w:rPr>
          <w:rFonts w:ascii="Bookman Old Style" w:eastAsia="MS Mincho" w:hAnsi="Bookman Old Style" w:cs="Arial"/>
        </w:rPr>
      </w:pPr>
    </w:p>
    <w:p w14:paraId="14E7647B" w14:textId="26789CA3" w:rsidR="00DD1CF9" w:rsidRDefault="00D41FAF"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 xml:space="preserve">El </w:t>
      </w:r>
      <w:r w:rsidR="00B56DD3" w:rsidRPr="0086458B">
        <w:rPr>
          <w:rFonts w:ascii="Bookman Old Style" w:eastAsia="MS Mincho" w:hAnsi="Bookman Old Style" w:cs="Arial"/>
        </w:rPr>
        <w:t xml:space="preserve">13 de julio de 2021 </w:t>
      </w:r>
      <w:r w:rsidR="008D18AF" w:rsidRPr="0086458B">
        <w:rPr>
          <w:rFonts w:ascii="Bookman Old Style" w:eastAsia="MS Mincho" w:hAnsi="Bookman Old Style" w:cs="Arial"/>
        </w:rPr>
        <w:t>se celebró la audiencia de instrucción y práctica de pruebas</w:t>
      </w:r>
      <w:r w:rsidR="000040C9" w:rsidRPr="0086458B">
        <w:rPr>
          <w:rFonts w:ascii="Bookman Old Style" w:eastAsia="MS Mincho" w:hAnsi="Bookman Old Style" w:cs="Arial"/>
        </w:rPr>
        <w:t xml:space="preserve"> </w:t>
      </w:r>
      <w:r w:rsidR="000C425D" w:rsidRPr="0086458B">
        <w:rPr>
          <w:rFonts w:ascii="Bookman Old Style" w:eastAsia="MS Mincho" w:hAnsi="Bookman Old Style" w:cs="Arial"/>
        </w:rPr>
        <w:t>decretada</w:t>
      </w:r>
      <w:r w:rsidR="00A31C71" w:rsidRPr="0086458B">
        <w:rPr>
          <w:rFonts w:ascii="Bookman Old Style" w:eastAsia="MS Mincho" w:hAnsi="Bookman Old Style" w:cs="Arial"/>
        </w:rPr>
        <w:t>s</w:t>
      </w:r>
      <w:r w:rsidR="000C425D" w:rsidRPr="0086458B">
        <w:rPr>
          <w:rFonts w:ascii="Bookman Old Style" w:eastAsia="MS Mincho" w:hAnsi="Bookman Old Style" w:cs="Arial"/>
        </w:rPr>
        <w:t xml:space="preserve"> mediante Auto</w:t>
      </w:r>
      <w:r w:rsidR="00A31C71" w:rsidRPr="0086458B">
        <w:rPr>
          <w:rFonts w:ascii="Bookman Old Style" w:eastAsia="MS Mincho" w:hAnsi="Bookman Old Style" w:cs="Arial"/>
        </w:rPr>
        <w:t>s</w:t>
      </w:r>
      <w:r w:rsidR="005A7264" w:rsidRPr="0086458B">
        <w:rPr>
          <w:rFonts w:ascii="Bookman Old Style" w:eastAsia="MS Mincho" w:hAnsi="Bookman Old Style" w:cs="Arial"/>
        </w:rPr>
        <w:t xml:space="preserve"> I-2021-001628 e</w:t>
      </w:r>
      <w:r w:rsidR="000C425D" w:rsidRPr="0086458B">
        <w:rPr>
          <w:rFonts w:ascii="Bookman Old Style" w:eastAsia="MS Mincho" w:hAnsi="Bookman Old Style" w:cs="Arial"/>
        </w:rPr>
        <w:t xml:space="preserve"> </w:t>
      </w:r>
      <w:r w:rsidR="005A7264" w:rsidRPr="0086458B">
        <w:rPr>
          <w:rFonts w:ascii="Bookman Old Style" w:eastAsia="MS Mincho" w:hAnsi="Bookman Old Style" w:cs="Arial"/>
          <w:lang w:val="es-CO"/>
        </w:rPr>
        <w:t>I-2021-001765</w:t>
      </w:r>
      <w:r w:rsidR="006F41CC" w:rsidRPr="0086458B">
        <w:rPr>
          <w:rFonts w:ascii="Bookman Old Style" w:eastAsia="MS Mincho" w:hAnsi="Bookman Old Style" w:cs="Arial"/>
        </w:rPr>
        <w:t>, cuya Acta se levantó en</w:t>
      </w:r>
      <w:r w:rsidR="00DF13D8" w:rsidRPr="0086458B">
        <w:rPr>
          <w:rFonts w:ascii="Bookman Old Style" w:eastAsia="MS Mincho" w:hAnsi="Bookman Old Style" w:cs="Arial"/>
        </w:rPr>
        <w:t xml:space="preserve"> radicado</w:t>
      </w:r>
      <w:r w:rsidR="003573B3" w:rsidRPr="0086458B">
        <w:rPr>
          <w:rFonts w:ascii="Bookman Old Style" w:eastAsia="MS Mincho" w:hAnsi="Bookman Old Style" w:cs="Arial"/>
        </w:rPr>
        <w:t xml:space="preserve"> </w:t>
      </w:r>
      <w:r w:rsidR="009B5A0E" w:rsidRPr="0086458B">
        <w:rPr>
          <w:rFonts w:ascii="Bookman Old Style" w:eastAsia="MS Mincho" w:hAnsi="Bookman Old Style" w:cs="Arial"/>
        </w:rPr>
        <w:t xml:space="preserve">CREG </w:t>
      </w:r>
      <w:r w:rsidR="003573B3" w:rsidRPr="0086458B">
        <w:rPr>
          <w:rFonts w:ascii="Bookman Old Style" w:eastAsia="MS Mincho" w:hAnsi="Bookman Old Style" w:cs="Arial"/>
        </w:rPr>
        <w:t>I-2021-00</w:t>
      </w:r>
      <w:r w:rsidR="00A31C71" w:rsidRPr="0086458B">
        <w:rPr>
          <w:rFonts w:ascii="Bookman Old Style" w:eastAsia="MS Mincho" w:hAnsi="Bookman Old Style" w:cs="Arial"/>
        </w:rPr>
        <w:t>1983</w:t>
      </w:r>
      <w:r w:rsidR="006F41CC" w:rsidRPr="0086458B">
        <w:rPr>
          <w:rFonts w:ascii="Bookman Old Style" w:eastAsia="MS Mincho" w:hAnsi="Bookman Old Style" w:cs="Arial"/>
        </w:rPr>
        <w:t>.</w:t>
      </w:r>
      <w:r w:rsidR="00EE6A91">
        <w:rPr>
          <w:rFonts w:ascii="Bookman Old Style" w:eastAsia="MS Mincho" w:hAnsi="Bookman Old Style" w:cs="Arial"/>
        </w:rPr>
        <w:t xml:space="preserve"> </w:t>
      </w:r>
      <w:r w:rsidR="00C10AC0">
        <w:rPr>
          <w:rFonts w:ascii="Bookman Old Style" w:eastAsia="MS Mincho" w:hAnsi="Bookman Old Style" w:cs="Arial"/>
        </w:rPr>
        <w:t>Al cierre de la audiencia se definió:</w:t>
      </w:r>
    </w:p>
    <w:p w14:paraId="22CBBFBA" w14:textId="77777777" w:rsidR="00C10AC0" w:rsidRDefault="00C10AC0" w:rsidP="00E57F55">
      <w:pPr>
        <w:ind w:left="284"/>
        <w:contextualSpacing/>
        <w:jc w:val="both"/>
        <w:rPr>
          <w:rFonts w:ascii="Bookman Old Style" w:eastAsia="MS Mincho" w:hAnsi="Bookman Old Style" w:cs="Arial"/>
        </w:rPr>
      </w:pPr>
    </w:p>
    <w:p w14:paraId="19AFD6A5" w14:textId="77777777" w:rsidR="002A65FB" w:rsidRDefault="0016241D"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2A65FB" w:rsidRPr="002A65FB">
        <w:rPr>
          <w:rFonts w:ascii="Bookman Old Style" w:eastAsia="MS Mincho" w:hAnsi="Bookman Old Style" w:cs="Arial"/>
          <w:i/>
          <w:iCs/>
          <w:sz w:val="20"/>
          <w:szCs w:val="20"/>
          <w:lang w:val="es-CO"/>
        </w:rPr>
        <w:t>Traslados y conclusiones</w:t>
      </w:r>
    </w:p>
    <w:p w14:paraId="491F8CE5" w14:textId="77777777" w:rsidR="002A65FB" w:rsidRPr="002A65FB" w:rsidRDefault="002A65FB" w:rsidP="00292999">
      <w:pPr>
        <w:ind w:left="567"/>
        <w:contextualSpacing/>
        <w:jc w:val="both"/>
        <w:rPr>
          <w:rFonts w:ascii="Bookman Old Style" w:eastAsia="MS Mincho" w:hAnsi="Bookman Old Style" w:cs="Arial"/>
          <w:i/>
          <w:iCs/>
          <w:sz w:val="20"/>
          <w:szCs w:val="20"/>
          <w:lang w:val="es-CO"/>
        </w:rPr>
      </w:pPr>
    </w:p>
    <w:p w14:paraId="09CA255A" w14:textId="77777777" w:rsidR="002A65FB" w:rsidRPr="002A65FB" w:rsidRDefault="002A65FB" w:rsidP="00292999">
      <w:pPr>
        <w:ind w:left="567"/>
        <w:contextualSpacing/>
        <w:jc w:val="both"/>
        <w:rPr>
          <w:rFonts w:ascii="Bookman Old Style" w:eastAsia="MS Mincho" w:hAnsi="Bookman Old Style" w:cs="Arial"/>
          <w:i/>
          <w:iCs/>
          <w:sz w:val="20"/>
          <w:szCs w:val="20"/>
          <w:lang w:val="es-CO"/>
        </w:rPr>
      </w:pPr>
      <w:r w:rsidRPr="002A65FB">
        <w:rPr>
          <w:rFonts w:ascii="Bookman Old Style" w:eastAsia="MS Mincho" w:hAnsi="Bookman Old Style" w:cs="Arial"/>
          <w:i/>
          <w:iCs/>
          <w:sz w:val="20"/>
          <w:szCs w:val="20"/>
          <w:lang w:val="es-CO"/>
        </w:rPr>
        <w:t>Una vez oídas a las partes e intervinientes en esta audiencia y en virtud de lo señalado en los artículos 195, 275, 276 y 277 del Código General del Proceso (Ley 1564 de 2012) se informa que mediante los radicados CREG E-2021-007083, E-2021-007084 y E-2021-007957 el Ministerio de Minas y Energía y la Secretaría de Infraestructura de la Gobernación del Vaupés rindieron los informes solicitados mediante el Auto I-2021-001628 respectivamente.</w:t>
      </w:r>
    </w:p>
    <w:p w14:paraId="238591A6" w14:textId="77777777" w:rsidR="002A65FB" w:rsidRDefault="002A65FB" w:rsidP="00292999">
      <w:pPr>
        <w:ind w:left="567"/>
        <w:contextualSpacing/>
        <w:jc w:val="both"/>
        <w:rPr>
          <w:rFonts w:ascii="Bookman Old Style" w:eastAsia="MS Mincho" w:hAnsi="Bookman Old Style" w:cs="Arial"/>
          <w:i/>
          <w:iCs/>
          <w:sz w:val="20"/>
          <w:szCs w:val="20"/>
          <w:lang w:val="es-CO"/>
        </w:rPr>
      </w:pPr>
    </w:p>
    <w:p w14:paraId="2B07A405" w14:textId="5A6D05D5" w:rsidR="002A65FB" w:rsidRPr="002A65FB" w:rsidRDefault="002A65FB" w:rsidP="00292999">
      <w:pPr>
        <w:ind w:left="567"/>
        <w:contextualSpacing/>
        <w:jc w:val="both"/>
        <w:rPr>
          <w:rFonts w:ascii="Bookman Old Style" w:eastAsia="MS Mincho" w:hAnsi="Bookman Old Style" w:cs="Arial"/>
          <w:i/>
          <w:iCs/>
          <w:sz w:val="20"/>
          <w:szCs w:val="20"/>
          <w:lang w:val="es-CO"/>
        </w:rPr>
      </w:pPr>
      <w:r w:rsidRPr="002A65FB">
        <w:rPr>
          <w:rFonts w:ascii="Bookman Old Style" w:eastAsia="MS Mincho" w:hAnsi="Bookman Old Style" w:cs="Arial"/>
          <w:i/>
          <w:iCs/>
          <w:sz w:val="20"/>
          <w:szCs w:val="20"/>
          <w:lang w:val="es-CO"/>
        </w:rPr>
        <w:t>En ese sentido, se corre traslado a las partes de los informes presentados por el término de 3 días hábiles contados a partir del día siguiente de la celebración de esta audiencia para que se pronuncien sobre su contenido.</w:t>
      </w:r>
    </w:p>
    <w:p w14:paraId="3E9F9B83" w14:textId="77777777" w:rsidR="002A65FB" w:rsidRDefault="002A65FB" w:rsidP="00292999">
      <w:pPr>
        <w:ind w:left="567"/>
        <w:contextualSpacing/>
        <w:jc w:val="both"/>
        <w:rPr>
          <w:rFonts w:ascii="Bookman Old Style" w:eastAsia="MS Mincho" w:hAnsi="Bookman Old Style" w:cs="Arial"/>
          <w:i/>
          <w:iCs/>
          <w:sz w:val="20"/>
          <w:szCs w:val="20"/>
          <w:lang w:val="es-CO"/>
        </w:rPr>
      </w:pPr>
    </w:p>
    <w:p w14:paraId="5F2C21BE" w14:textId="56315BE7" w:rsidR="002A65FB" w:rsidRPr="002A65FB" w:rsidRDefault="002A65FB" w:rsidP="00292999">
      <w:pPr>
        <w:ind w:left="567"/>
        <w:contextualSpacing/>
        <w:jc w:val="both"/>
        <w:rPr>
          <w:rFonts w:ascii="Bookman Old Style" w:eastAsia="MS Mincho" w:hAnsi="Bookman Old Style" w:cs="Arial"/>
          <w:i/>
          <w:iCs/>
          <w:sz w:val="20"/>
          <w:szCs w:val="20"/>
          <w:lang w:val="es-CO"/>
        </w:rPr>
      </w:pPr>
      <w:r w:rsidRPr="002A65FB">
        <w:rPr>
          <w:rFonts w:ascii="Bookman Old Style" w:eastAsia="MS Mincho" w:hAnsi="Bookman Old Style" w:cs="Arial"/>
          <w:i/>
          <w:iCs/>
          <w:sz w:val="20"/>
          <w:szCs w:val="20"/>
          <w:lang w:val="es-CO"/>
        </w:rPr>
        <w:t>Así mismo, se corre traslado a las partes de la información recibida en respuesta al auto de pruebas por parte de GENSA S.A. E.S.P. y DUE CAPITAL AND SERVICES S.A.S. mediante radicados CREG E-2021-007731, E-2021-006899 y E-2021-007742 respectivamente, por el término de 3 días hábiles contados a partir del día siguiente de la celebración de esta audiencia, para que se pronuncien sobre su contenido.</w:t>
      </w:r>
    </w:p>
    <w:p w14:paraId="3EE1743B" w14:textId="77777777" w:rsidR="004E131E" w:rsidRDefault="004E131E" w:rsidP="00292999">
      <w:pPr>
        <w:ind w:left="567"/>
        <w:contextualSpacing/>
        <w:jc w:val="both"/>
        <w:rPr>
          <w:rFonts w:ascii="Bookman Old Style" w:eastAsia="MS Mincho" w:hAnsi="Bookman Old Style" w:cs="Arial"/>
          <w:i/>
          <w:iCs/>
          <w:sz w:val="20"/>
          <w:szCs w:val="20"/>
          <w:lang w:val="es-CO"/>
        </w:rPr>
      </w:pPr>
    </w:p>
    <w:p w14:paraId="3B174C44" w14:textId="1D1EBA65" w:rsidR="002A65FB" w:rsidRPr="002A65FB" w:rsidRDefault="002A65FB" w:rsidP="00292999">
      <w:pPr>
        <w:ind w:left="567"/>
        <w:contextualSpacing/>
        <w:jc w:val="both"/>
        <w:rPr>
          <w:rFonts w:ascii="Bookman Old Style" w:eastAsia="MS Mincho" w:hAnsi="Bookman Old Style" w:cs="Arial"/>
          <w:i/>
          <w:iCs/>
          <w:sz w:val="20"/>
          <w:szCs w:val="20"/>
          <w:lang w:val="es-CO"/>
        </w:rPr>
      </w:pPr>
      <w:r w:rsidRPr="002A65FB">
        <w:rPr>
          <w:rFonts w:ascii="Bookman Old Style" w:eastAsia="MS Mincho" w:hAnsi="Bookman Old Style" w:cs="Arial"/>
          <w:i/>
          <w:iCs/>
          <w:sz w:val="20"/>
          <w:szCs w:val="20"/>
          <w:lang w:val="es-CO"/>
        </w:rPr>
        <w:t>Se informa a las partes que de los documentos de los cuales se corren traslado en esta audiencia se dio acceso por parte de esta Comisión a través de vínculo compartido por correo electrónico a las direcciones de correo de los representantes legales e intervinientes.</w:t>
      </w:r>
    </w:p>
    <w:p w14:paraId="0814AE09" w14:textId="77777777" w:rsidR="004E131E" w:rsidRDefault="004E131E" w:rsidP="00292999">
      <w:pPr>
        <w:ind w:left="567"/>
        <w:contextualSpacing/>
        <w:jc w:val="both"/>
        <w:rPr>
          <w:rFonts w:ascii="Bookman Old Style" w:eastAsia="MS Mincho" w:hAnsi="Bookman Old Style" w:cs="Arial"/>
          <w:i/>
          <w:iCs/>
          <w:sz w:val="20"/>
          <w:szCs w:val="20"/>
          <w:lang w:val="es-CO"/>
        </w:rPr>
      </w:pPr>
    </w:p>
    <w:p w14:paraId="58DD8773" w14:textId="6A34D678" w:rsidR="0016241D" w:rsidRDefault="002A65FB" w:rsidP="00292999">
      <w:pPr>
        <w:ind w:left="567"/>
        <w:contextualSpacing/>
        <w:jc w:val="both"/>
        <w:rPr>
          <w:rFonts w:ascii="Bookman Old Style" w:eastAsia="MS Mincho" w:hAnsi="Bookman Old Style" w:cs="Arial"/>
          <w:i/>
          <w:iCs/>
          <w:sz w:val="20"/>
          <w:szCs w:val="20"/>
          <w:lang w:val="es-CO"/>
        </w:rPr>
      </w:pPr>
      <w:r w:rsidRPr="002A65FB">
        <w:rPr>
          <w:rFonts w:ascii="Bookman Old Style" w:eastAsia="MS Mincho" w:hAnsi="Bookman Old Style" w:cs="Arial"/>
          <w:i/>
          <w:iCs/>
          <w:sz w:val="20"/>
          <w:szCs w:val="20"/>
          <w:lang w:val="es-CO"/>
        </w:rPr>
        <w:t>Igualmente, se informa que las pruebas aquí practicadas serán incorporadas al expediente administrativo una vez culminada esta audiencia con el acta que sea aprobada.</w:t>
      </w:r>
    </w:p>
    <w:p w14:paraId="157C54A6" w14:textId="77777777" w:rsidR="0016241D" w:rsidRDefault="0016241D" w:rsidP="00292999">
      <w:pPr>
        <w:ind w:left="567"/>
        <w:contextualSpacing/>
        <w:jc w:val="both"/>
        <w:rPr>
          <w:rFonts w:ascii="Bookman Old Style" w:eastAsia="MS Mincho" w:hAnsi="Bookman Old Style" w:cs="Arial"/>
          <w:i/>
          <w:iCs/>
          <w:sz w:val="20"/>
          <w:szCs w:val="20"/>
          <w:lang w:val="es-CO"/>
        </w:rPr>
      </w:pPr>
    </w:p>
    <w:p w14:paraId="25F309FD" w14:textId="77777777" w:rsidR="004E131E" w:rsidRDefault="004E131E" w:rsidP="00292999">
      <w:pPr>
        <w:ind w:left="567"/>
        <w:contextualSpacing/>
        <w:jc w:val="both"/>
        <w:rPr>
          <w:rFonts w:ascii="Bookman Old Style" w:eastAsia="MS Mincho" w:hAnsi="Bookman Old Style" w:cs="Arial"/>
          <w:i/>
          <w:iCs/>
          <w:sz w:val="20"/>
          <w:szCs w:val="20"/>
          <w:lang w:val="es-CO"/>
        </w:rPr>
      </w:pPr>
      <w:r w:rsidRPr="004E131E">
        <w:rPr>
          <w:rFonts w:ascii="Bookman Old Style" w:eastAsia="MS Mincho" w:hAnsi="Bookman Old Style" w:cs="Arial"/>
          <w:i/>
          <w:iCs/>
          <w:sz w:val="20"/>
          <w:szCs w:val="20"/>
          <w:lang w:val="es-CO"/>
        </w:rPr>
        <w:t>En relación con la solicitud de GENSA S.A E.S.P. de que se otorgue un plazo de 90 días, contados a partir del día siguiente a la celebración de esta audiencia, para dar un concepto de viabilidad técnica de la conexión se informa que dicha solicitud será resuelta mediante auto.</w:t>
      </w:r>
    </w:p>
    <w:p w14:paraId="0B7D19F8" w14:textId="77777777" w:rsidR="00FD44F4" w:rsidRPr="004E131E" w:rsidRDefault="00FD44F4" w:rsidP="00292999">
      <w:pPr>
        <w:ind w:left="567"/>
        <w:contextualSpacing/>
        <w:jc w:val="both"/>
        <w:rPr>
          <w:rFonts w:ascii="Bookman Old Style" w:eastAsia="MS Mincho" w:hAnsi="Bookman Old Style" w:cs="Arial"/>
          <w:i/>
          <w:iCs/>
          <w:sz w:val="20"/>
          <w:szCs w:val="20"/>
          <w:lang w:val="es-CO"/>
        </w:rPr>
      </w:pPr>
    </w:p>
    <w:p w14:paraId="77D3018E" w14:textId="77777777" w:rsidR="004E131E" w:rsidRDefault="004E131E" w:rsidP="00292999">
      <w:pPr>
        <w:ind w:left="567"/>
        <w:contextualSpacing/>
        <w:jc w:val="both"/>
        <w:rPr>
          <w:rFonts w:ascii="Bookman Old Style" w:eastAsia="MS Mincho" w:hAnsi="Bookman Old Style" w:cs="Arial"/>
          <w:i/>
          <w:iCs/>
          <w:sz w:val="20"/>
          <w:szCs w:val="20"/>
          <w:lang w:val="es-CO"/>
        </w:rPr>
      </w:pPr>
      <w:r w:rsidRPr="004E131E">
        <w:rPr>
          <w:rFonts w:ascii="Bookman Old Style" w:eastAsia="MS Mincho" w:hAnsi="Bookman Old Style" w:cs="Arial"/>
          <w:i/>
          <w:iCs/>
          <w:sz w:val="20"/>
          <w:szCs w:val="20"/>
          <w:lang w:val="es-CO"/>
        </w:rPr>
        <w:t>Con base en lo que consta en la grabación, se le recuerda a los representantes de la empresa GENSA S.A E.S.P. remitir la información solicitada dentro del término de los tres (3) días hábiles otorgados siguientes a la realización de la audiencia.</w:t>
      </w:r>
    </w:p>
    <w:p w14:paraId="6B56D5BA" w14:textId="77777777" w:rsidR="00FD44F4" w:rsidRPr="004E131E" w:rsidRDefault="00FD44F4" w:rsidP="00292999">
      <w:pPr>
        <w:ind w:left="567"/>
        <w:contextualSpacing/>
        <w:jc w:val="both"/>
        <w:rPr>
          <w:rFonts w:ascii="Bookman Old Style" w:eastAsia="MS Mincho" w:hAnsi="Bookman Old Style" w:cs="Arial"/>
          <w:i/>
          <w:iCs/>
          <w:sz w:val="20"/>
          <w:szCs w:val="20"/>
          <w:lang w:val="es-CO"/>
        </w:rPr>
      </w:pPr>
    </w:p>
    <w:p w14:paraId="00926739" w14:textId="4612C202" w:rsidR="00C10AC0" w:rsidRPr="0086458B" w:rsidRDefault="004E131E" w:rsidP="00292999">
      <w:pPr>
        <w:ind w:left="567"/>
        <w:contextualSpacing/>
        <w:jc w:val="both"/>
        <w:rPr>
          <w:rFonts w:ascii="Bookman Old Style" w:eastAsia="MS Mincho" w:hAnsi="Bookman Old Style" w:cs="Arial"/>
        </w:rPr>
      </w:pPr>
      <w:r w:rsidRPr="004E131E">
        <w:rPr>
          <w:rFonts w:ascii="Bookman Old Style" w:eastAsia="MS Mincho" w:hAnsi="Bookman Old Style" w:cs="Arial"/>
          <w:i/>
          <w:iCs/>
          <w:sz w:val="20"/>
          <w:szCs w:val="20"/>
          <w:lang w:val="es-CO"/>
        </w:rPr>
        <w:t>Así mismo, se le solicita al Ministerio de Minas y Energía remitir los contratos relacionados en su intervención en el mismo término otorgado.</w:t>
      </w:r>
      <w:r w:rsidR="00FD44F4">
        <w:rPr>
          <w:rFonts w:ascii="Bookman Old Style" w:eastAsia="MS Mincho" w:hAnsi="Bookman Old Style" w:cs="Arial"/>
          <w:i/>
          <w:iCs/>
          <w:sz w:val="20"/>
          <w:szCs w:val="20"/>
          <w:lang w:val="es-CO"/>
        </w:rPr>
        <w:t xml:space="preserve"> </w:t>
      </w:r>
      <w:r w:rsidR="0016241D">
        <w:rPr>
          <w:rFonts w:ascii="Bookman Old Style" w:eastAsia="MS Mincho" w:hAnsi="Bookman Old Style" w:cs="Arial"/>
          <w:i/>
          <w:iCs/>
          <w:sz w:val="20"/>
          <w:szCs w:val="20"/>
          <w:lang w:val="es-CO"/>
        </w:rPr>
        <w:t>(…)”</w:t>
      </w:r>
    </w:p>
    <w:p w14:paraId="6F40CB24" w14:textId="2C3613DD" w:rsidR="009E43E7" w:rsidRPr="0086458B" w:rsidRDefault="009E43E7" w:rsidP="00E57F55">
      <w:pPr>
        <w:ind w:left="284"/>
        <w:contextualSpacing/>
        <w:jc w:val="both"/>
        <w:rPr>
          <w:rFonts w:ascii="Bookman Old Style" w:eastAsia="MS Mincho" w:hAnsi="Bookman Old Style" w:cs="Arial"/>
        </w:rPr>
      </w:pPr>
    </w:p>
    <w:p w14:paraId="016690B9" w14:textId="0FC51AFC" w:rsidR="00073FAF" w:rsidRDefault="00D970EE" w:rsidP="00E57F55">
      <w:pPr>
        <w:ind w:left="284"/>
        <w:contextualSpacing/>
        <w:jc w:val="both"/>
        <w:rPr>
          <w:rFonts w:ascii="Bookman Old Style" w:eastAsia="MS Mincho" w:hAnsi="Bookman Old Style" w:cs="Arial"/>
        </w:rPr>
      </w:pPr>
      <w:r w:rsidRPr="0086458B">
        <w:rPr>
          <w:rFonts w:ascii="Bookman Old Style" w:eastAsia="MS Mincho" w:hAnsi="Bookman Old Style" w:cs="Arial"/>
        </w:rPr>
        <w:t xml:space="preserve">Mediante Auto I-2021-002009 </w:t>
      </w:r>
      <w:r w:rsidR="00B57C23">
        <w:rPr>
          <w:rFonts w:ascii="Bookman Old Style" w:eastAsia="MS Mincho" w:hAnsi="Bookman Old Style" w:cs="Arial"/>
        </w:rPr>
        <w:t xml:space="preserve">del 29 de julio, </w:t>
      </w:r>
      <w:r w:rsidRPr="0086458B">
        <w:rPr>
          <w:rFonts w:ascii="Bookman Old Style" w:eastAsia="MS Mincho" w:hAnsi="Bookman Old Style" w:cs="Arial"/>
        </w:rPr>
        <w:t xml:space="preserve">esta Comisión </w:t>
      </w:r>
      <w:r w:rsidR="00073FAF">
        <w:rPr>
          <w:rFonts w:ascii="Bookman Old Style" w:eastAsia="MS Mincho" w:hAnsi="Bookman Old Style" w:cs="Arial"/>
        </w:rPr>
        <w:t>consider</w:t>
      </w:r>
      <w:r w:rsidR="00DE464E">
        <w:rPr>
          <w:rFonts w:ascii="Bookman Old Style" w:eastAsia="MS Mincho" w:hAnsi="Bookman Old Style" w:cs="Arial"/>
        </w:rPr>
        <w:t>ó</w:t>
      </w:r>
      <w:r w:rsidR="00073FAF">
        <w:rPr>
          <w:rFonts w:ascii="Bookman Old Style" w:eastAsia="MS Mincho" w:hAnsi="Bookman Old Style" w:cs="Arial"/>
        </w:rPr>
        <w:t xml:space="preserve"> y res</w:t>
      </w:r>
      <w:r w:rsidR="00DE464E">
        <w:rPr>
          <w:rFonts w:ascii="Bookman Old Style" w:eastAsia="MS Mincho" w:hAnsi="Bookman Old Style" w:cs="Arial"/>
        </w:rPr>
        <w:t>o</w:t>
      </w:r>
      <w:r w:rsidR="00073FAF">
        <w:rPr>
          <w:rFonts w:ascii="Bookman Old Style" w:eastAsia="MS Mincho" w:hAnsi="Bookman Old Style" w:cs="Arial"/>
        </w:rPr>
        <w:t>lv</w:t>
      </w:r>
      <w:r w:rsidR="00DE464E">
        <w:rPr>
          <w:rFonts w:ascii="Bookman Old Style" w:eastAsia="MS Mincho" w:hAnsi="Bookman Old Style" w:cs="Arial"/>
        </w:rPr>
        <w:t>ió</w:t>
      </w:r>
      <w:r w:rsidR="00073FAF">
        <w:rPr>
          <w:rFonts w:ascii="Bookman Old Style" w:eastAsia="MS Mincho" w:hAnsi="Bookman Old Style" w:cs="Arial"/>
        </w:rPr>
        <w:t>:</w:t>
      </w:r>
    </w:p>
    <w:p w14:paraId="3B5EEF9E" w14:textId="77777777" w:rsidR="00073FAF" w:rsidRDefault="00073FAF" w:rsidP="00E57F55">
      <w:pPr>
        <w:ind w:left="284"/>
        <w:contextualSpacing/>
        <w:jc w:val="both"/>
        <w:rPr>
          <w:rFonts w:ascii="Bookman Old Style" w:eastAsia="MS Mincho" w:hAnsi="Bookman Old Style" w:cs="Arial"/>
        </w:rPr>
      </w:pPr>
    </w:p>
    <w:p w14:paraId="0D294200" w14:textId="1DA27913" w:rsidR="00A93D7D" w:rsidRDefault="00A93D7D"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2D5950">
        <w:rPr>
          <w:rFonts w:ascii="Bookman Old Style" w:eastAsia="MS Mincho" w:hAnsi="Bookman Old Style" w:cs="Arial"/>
          <w:i/>
          <w:iCs/>
          <w:sz w:val="20"/>
          <w:szCs w:val="20"/>
          <w:lang w:val="es-CO"/>
        </w:rPr>
        <w:t xml:space="preserve"> </w:t>
      </w:r>
      <w:r w:rsidR="002D5950" w:rsidRPr="002D5950">
        <w:rPr>
          <w:rFonts w:ascii="Bookman Old Style" w:eastAsia="MS Mincho" w:hAnsi="Bookman Old Style" w:cs="Arial"/>
          <w:i/>
          <w:iCs/>
          <w:sz w:val="20"/>
          <w:szCs w:val="20"/>
          <w:lang w:val="es-CO"/>
        </w:rPr>
        <w:t>en el marco de la audiencia adelantada se les informó a los intervinientes</w:t>
      </w:r>
      <w:r w:rsidR="002D5950">
        <w:rPr>
          <w:rFonts w:ascii="Bookman Old Style" w:eastAsia="MS Mincho" w:hAnsi="Bookman Old Style" w:cs="Arial"/>
          <w:i/>
          <w:iCs/>
          <w:sz w:val="20"/>
          <w:szCs w:val="20"/>
          <w:lang w:val="es-CO"/>
        </w:rPr>
        <w:t xml:space="preserve"> </w:t>
      </w:r>
      <w:r w:rsidR="002D5950" w:rsidRPr="002D5950">
        <w:rPr>
          <w:rFonts w:ascii="Bookman Old Style" w:eastAsia="MS Mincho" w:hAnsi="Bookman Old Style" w:cs="Arial"/>
          <w:i/>
          <w:iCs/>
          <w:sz w:val="20"/>
          <w:szCs w:val="20"/>
          <w:lang w:val="es-CO"/>
        </w:rPr>
        <w:t>que la solicitud presentada por GENSA S.A. E.S.P en la comunicación con radicado</w:t>
      </w:r>
      <w:r w:rsidR="002D5950">
        <w:rPr>
          <w:rFonts w:ascii="Bookman Old Style" w:eastAsia="MS Mincho" w:hAnsi="Bookman Old Style" w:cs="Arial"/>
          <w:i/>
          <w:iCs/>
          <w:sz w:val="20"/>
          <w:szCs w:val="20"/>
          <w:lang w:val="es-CO"/>
        </w:rPr>
        <w:t xml:space="preserve"> </w:t>
      </w:r>
      <w:r w:rsidR="002D5950" w:rsidRPr="002D5950">
        <w:rPr>
          <w:rFonts w:ascii="Bookman Old Style" w:eastAsia="MS Mincho" w:hAnsi="Bookman Old Style" w:cs="Arial"/>
          <w:i/>
          <w:iCs/>
          <w:sz w:val="20"/>
          <w:szCs w:val="20"/>
          <w:lang w:val="es-CO"/>
        </w:rPr>
        <w:t>CREG E-2021-007731se resolvería mediante auto.</w:t>
      </w:r>
      <w:r w:rsidR="00820C31">
        <w:rPr>
          <w:rFonts w:ascii="Bookman Old Style" w:eastAsia="MS Mincho" w:hAnsi="Bookman Old Style" w:cs="Arial"/>
          <w:i/>
          <w:iCs/>
          <w:sz w:val="20"/>
          <w:szCs w:val="20"/>
          <w:lang w:val="es-CO"/>
        </w:rPr>
        <w:t xml:space="preserve"> (…)</w:t>
      </w:r>
    </w:p>
    <w:p w14:paraId="3D8636E0" w14:textId="77777777" w:rsidR="00820C31" w:rsidRDefault="00820C31" w:rsidP="00292999">
      <w:pPr>
        <w:ind w:left="567"/>
        <w:contextualSpacing/>
        <w:jc w:val="both"/>
        <w:rPr>
          <w:rFonts w:ascii="Bookman Old Style" w:eastAsia="MS Mincho" w:hAnsi="Bookman Old Style" w:cs="Arial"/>
          <w:i/>
          <w:iCs/>
          <w:sz w:val="20"/>
          <w:szCs w:val="20"/>
          <w:lang w:val="es-CO"/>
        </w:rPr>
      </w:pPr>
    </w:p>
    <w:p w14:paraId="20873DFD" w14:textId="63E4F83D" w:rsidR="00820C31" w:rsidRDefault="00820C31" w:rsidP="00292999">
      <w:pPr>
        <w:ind w:left="567"/>
        <w:contextualSpacing/>
        <w:jc w:val="both"/>
        <w:rPr>
          <w:rFonts w:ascii="Bookman Old Style" w:eastAsia="MS Mincho" w:hAnsi="Bookman Old Style" w:cs="Arial"/>
          <w:i/>
          <w:iCs/>
          <w:sz w:val="20"/>
          <w:szCs w:val="20"/>
          <w:lang w:val="es-CO"/>
        </w:rPr>
      </w:pPr>
      <w:r w:rsidRPr="00820C31">
        <w:rPr>
          <w:rFonts w:ascii="Bookman Old Style" w:eastAsia="MS Mincho" w:hAnsi="Bookman Old Style" w:cs="Arial"/>
          <w:i/>
          <w:iCs/>
          <w:sz w:val="20"/>
          <w:szCs w:val="20"/>
          <w:lang w:val="es-CO"/>
        </w:rPr>
        <w:t>Con la comunicación de radicado CREG E-2021-007731 se evidencia que GENSA</w:t>
      </w:r>
      <w:r>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S.A E.S.P. recibió desde el 25 de junio del año en curso de parte de DUE CAPITAL</w:t>
      </w:r>
      <w:r>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AND SERVICES S.A.S. el estudio de conexión con los complementos recomendados</w:t>
      </w:r>
      <w:r>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como versión final.</w:t>
      </w:r>
    </w:p>
    <w:p w14:paraId="1EEFAF3D" w14:textId="77777777" w:rsidR="00820C31" w:rsidRPr="00820C31" w:rsidRDefault="00820C31" w:rsidP="00292999">
      <w:pPr>
        <w:ind w:left="567"/>
        <w:contextualSpacing/>
        <w:jc w:val="both"/>
        <w:rPr>
          <w:rFonts w:ascii="Bookman Old Style" w:eastAsia="MS Mincho" w:hAnsi="Bookman Old Style" w:cs="Arial"/>
          <w:i/>
          <w:iCs/>
          <w:sz w:val="20"/>
          <w:szCs w:val="20"/>
          <w:lang w:val="es-CO"/>
        </w:rPr>
      </w:pPr>
    </w:p>
    <w:p w14:paraId="0DD5CBDD" w14:textId="50BADB08" w:rsidR="00820C31" w:rsidRDefault="00820C31" w:rsidP="00292999">
      <w:pPr>
        <w:ind w:left="567"/>
        <w:contextualSpacing/>
        <w:jc w:val="both"/>
        <w:rPr>
          <w:rFonts w:ascii="Bookman Old Style" w:eastAsia="MS Mincho" w:hAnsi="Bookman Old Style" w:cs="Arial"/>
          <w:i/>
          <w:iCs/>
          <w:sz w:val="20"/>
          <w:szCs w:val="20"/>
          <w:lang w:val="es-CO"/>
        </w:rPr>
      </w:pPr>
      <w:r w:rsidRPr="00820C31">
        <w:rPr>
          <w:rFonts w:ascii="Bookman Old Style" w:eastAsia="MS Mincho" w:hAnsi="Bookman Old Style" w:cs="Arial"/>
          <w:i/>
          <w:iCs/>
          <w:sz w:val="20"/>
          <w:szCs w:val="20"/>
          <w:lang w:val="es-CO"/>
        </w:rPr>
        <w:t>Frente a la solicitud realizada, se reitera que mediante Auto I-2020-005282 se había</w:t>
      </w:r>
      <w:r w:rsidR="00797FBE">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otorgado un plazo de treinta (30) días hábiles siguientes al recibo de la información</w:t>
      </w:r>
      <w:r w:rsidR="00797FBE">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enviada por Due Capital &amp; Services S.A.S. para realizar el análisis de los estudios y</w:t>
      </w:r>
      <w:r w:rsidR="00797FBE">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emitir concepto sobre la factibilidad técnica de la conexión, en virtud de lo previsto en</w:t>
      </w:r>
      <w:r w:rsidR="00797FBE">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el parágrafo 1 del artículo 5 de la Resolución CREG 038 de 2018. Así mismo, dentro</w:t>
      </w:r>
      <w:r w:rsidR="000B0996">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del trámite de la actuación administrativa se evidencia que GENSA S.A. E.S.P.,</w:t>
      </w:r>
      <w:r w:rsidR="000B0996">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mediante Contrato Especial No. GGC 209-2013, se obligó a administrar, operar y</w:t>
      </w:r>
      <w:r w:rsidR="000B0996">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 xml:space="preserve">mantener, entre otros, la </w:t>
      </w:r>
      <w:r w:rsidR="000B0996">
        <w:rPr>
          <w:rFonts w:ascii="Bookman Old Style" w:eastAsia="MS Mincho" w:hAnsi="Bookman Old Style" w:cs="Arial"/>
          <w:i/>
          <w:iCs/>
          <w:sz w:val="20"/>
          <w:szCs w:val="20"/>
          <w:lang w:val="es-CO"/>
        </w:rPr>
        <w:t>‘</w:t>
      </w:r>
      <w:r w:rsidRPr="00820C31">
        <w:rPr>
          <w:rFonts w:ascii="Bookman Old Style" w:eastAsia="MS Mincho" w:hAnsi="Bookman Old Style" w:cs="Arial"/>
          <w:i/>
          <w:iCs/>
          <w:sz w:val="20"/>
          <w:szCs w:val="20"/>
          <w:lang w:val="es-CO"/>
        </w:rPr>
        <w:t>Línea de Transmisión de la MCH Mitú a la Subestación</w:t>
      </w:r>
      <w:r w:rsidR="000B0996">
        <w:rPr>
          <w:rFonts w:ascii="Bookman Old Style" w:eastAsia="MS Mincho" w:hAnsi="Bookman Old Style" w:cs="Arial"/>
          <w:i/>
          <w:iCs/>
          <w:sz w:val="20"/>
          <w:szCs w:val="20"/>
          <w:lang w:val="es-CO"/>
        </w:rPr>
        <w:t xml:space="preserve"> </w:t>
      </w:r>
      <w:r w:rsidRPr="00820C31">
        <w:rPr>
          <w:rFonts w:ascii="Bookman Old Style" w:eastAsia="MS Mincho" w:hAnsi="Bookman Old Style" w:cs="Arial"/>
          <w:i/>
          <w:iCs/>
          <w:sz w:val="20"/>
          <w:szCs w:val="20"/>
          <w:lang w:val="es-CO"/>
        </w:rPr>
        <w:t>Eléctrica de Mitú</w:t>
      </w:r>
      <w:r w:rsidR="000B0996">
        <w:rPr>
          <w:rFonts w:ascii="Bookman Old Style" w:eastAsia="MS Mincho" w:hAnsi="Bookman Old Style" w:cs="Arial"/>
          <w:i/>
          <w:iCs/>
          <w:sz w:val="20"/>
          <w:szCs w:val="20"/>
          <w:lang w:val="es-CO"/>
        </w:rPr>
        <w:t>’</w:t>
      </w:r>
      <w:r w:rsidRPr="00820C31">
        <w:rPr>
          <w:rFonts w:ascii="Bookman Old Style" w:eastAsia="MS Mincho" w:hAnsi="Bookman Old Style" w:cs="Arial"/>
          <w:i/>
          <w:iCs/>
          <w:sz w:val="20"/>
          <w:szCs w:val="20"/>
          <w:lang w:val="es-CO"/>
        </w:rPr>
        <w:t xml:space="preserve"> y la </w:t>
      </w:r>
      <w:r w:rsidR="000B0996">
        <w:rPr>
          <w:rFonts w:ascii="Bookman Old Style" w:eastAsia="MS Mincho" w:hAnsi="Bookman Old Style" w:cs="Arial"/>
          <w:i/>
          <w:iCs/>
          <w:sz w:val="20"/>
          <w:szCs w:val="20"/>
          <w:lang w:val="es-CO"/>
        </w:rPr>
        <w:t>‘</w:t>
      </w:r>
      <w:r w:rsidRPr="00820C31">
        <w:rPr>
          <w:rFonts w:ascii="Bookman Old Style" w:eastAsia="MS Mincho" w:hAnsi="Bookman Old Style" w:cs="Arial"/>
          <w:i/>
          <w:iCs/>
          <w:sz w:val="20"/>
          <w:szCs w:val="20"/>
          <w:lang w:val="es-CO"/>
        </w:rPr>
        <w:t>Subestación Eléctrica de Mitú</w:t>
      </w:r>
      <w:r w:rsidR="000B0996">
        <w:rPr>
          <w:rFonts w:ascii="Bookman Old Style" w:eastAsia="MS Mincho" w:hAnsi="Bookman Old Style" w:cs="Arial"/>
          <w:i/>
          <w:iCs/>
          <w:sz w:val="20"/>
          <w:szCs w:val="20"/>
          <w:lang w:val="es-CO"/>
        </w:rPr>
        <w:t>’</w:t>
      </w:r>
      <w:r w:rsidRPr="00820C31">
        <w:rPr>
          <w:rFonts w:ascii="Bookman Old Style" w:eastAsia="MS Mincho" w:hAnsi="Bookman Old Style" w:cs="Arial"/>
          <w:i/>
          <w:iCs/>
          <w:sz w:val="20"/>
          <w:szCs w:val="20"/>
          <w:lang w:val="es-CO"/>
        </w:rPr>
        <w:t xml:space="preserve"> y, aunque no se encuentre</w:t>
      </w:r>
      <w:r w:rsidR="00071402">
        <w:rPr>
          <w:rFonts w:ascii="Bookman Old Style" w:eastAsia="MS Mincho" w:hAnsi="Bookman Old Style" w:cs="Arial"/>
          <w:i/>
          <w:iCs/>
          <w:sz w:val="20"/>
          <w:szCs w:val="20"/>
          <w:lang w:val="es-CO"/>
        </w:rPr>
        <w:t xml:space="preserve"> </w:t>
      </w:r>
      <w:r w:rsidR="00071402" w:rsidRPr="00071402">
        <w:rPr>
          <w:rFonts w:ascii="Bookman Old Style" w:eastAsia="MS Mincho" w:hAnsi="Bookman Old Style" w:cs="Arial"/>
          <w:i/>
          <w:iCs/>
          <w:sz w:val="20"/>
          <w:szCs w:val="20"/>
          <w:lang w:val="es-CO"/>
        </w:rPr>
        <w:t>registrado ante el RUPS como distribuidor de ZNI, atiende infraestructura para el</w:t>
      </w:r>
      <w:r w:rsidR="00071402">
        <w:rPr>
          <w:rFonts w:ascii="Bookman Old Style" w:eastAsia="MS Mincho" w:hAnsi="Bookman Old Style" w:cs="Arial"/>
          <w:i/>
          <w:iCs/>
          <w:sz w:val="20"/>
          <w:szCs w:val="20"/>
          <w:lang w:val="es-CO"/>
        </w:rPr>
        <w:t xml:space="preserve"> </w:t>
      </w:r>
      <w:r w:rsidR="00071402" w:rsidRPr="00071402">
        <w:rPr>
          <w:rFonts w:ascii="Bookman Old Style" w:eastAsia="MS Mincho" w:hAnsi="Bookman Old Style" w:cs="Arial"/>
          <w:i/>
          <w:iCs/>
          <w:sz w:val="20"/>
          <w:szCs w:val="20"/>
          <w:lang w:val="es-CO"/>
        </w:rPr>
        <w:t>transporte de energía eléctrica. En ese sentido, se entiende que cuenta con el</w:t>
      </w:r>
      <w:r w:rsidR="00BD6080">
        <w:rPr>
          <w:rFonts w:ascii="Bookman Old Style" w:eastAsia="MS Mincho" w:hAnsi="Bookman Old Style" w:cs="Arial"/>
          <w:i/>
          <w:iCs/>
          <w:sz w:val="20"/>
          <w:szCs w:val="20"/>
          <w:lang w:val="es-CO"/>
        </w:rPr>
        <w:t xml:space="preserve"> </w:t>
      </w:r>
      <w:r w:rsidR="00071402" w:rsidRPr="00071402">
        <w:rPr>
          <w:rFonts w:ascii="Bookman Old Style" w:eastAsia="MS Mincho" w:hAnsi="Bookman Old Style" w:cs="Arial"/>
          <w:i/>
          <w:iCs/>
          <w:sz w:val="20"/>
          <w:szCs w:val="20"/>
          <w:lang w:val="es-CO"/>
        </w:rPr>
        <w:t>personal idóneo para emitir concepto de viabilidad técnica de la conexión y, por tanto,</w:t>
      </w:r>
      <w:r w:rsidR="00BD6080">
        <w:rPr>
          <w:rFonts w:ascii="Bookman Old Style" w:eastAsia="MS Mincho" w:hAnsi="Bookman Old Style" w:cs="Arial"/>
          <w:i/>
          <w:iCs/>
          <w:sz w:val="20"/>
          <w:szCs w:val="20"/>
          <w:lang w:val="es-CO"/>
        </w:rPr>
        <w:t xml:space="preserve"> </w:t>
      </w:r>
      <w:r w:rsidR="00071402" w:rsidRPr="00071402">
        <w:rPr>
          <w:rFonts w:ascii="Bookman Old Style" w:eastAsia="MS Mincho" w:hAnsi="Bookman Old Style" w:cs="Arial"/>
          <w:i/>
          <w:iCs/>
          <w:sz w:val="20"/>
          <w:szCs w:val="20"/>
          <w:lang w:val="es-CO"/>
        </w:rPr>
        <w:t>no es procedente la solicitud presentada por la empresa de que se otorgue un plazo</w:t>
      </w:r>
      <w:r w:rsidR="00BD6080">
        <w:rPr>
          <w:rFonts w:ascii="Bookman Old Style" w:eastAsia="MS Mincho" w:hAnsi="Bookman Old Style" w:cs="Arial"/>
          <w:i/>
          <w:iCs/>
          <w:sz w:val="20"/>
          <w:szCs w:val="20"/>
          <w:lang w:val="es-CO"/>
        </w:rPr>
        <w:t xml:space="preserve"> </w:t>
      </w:r>
      <w:r w:rsidR="00071402" w:rsidRPr="00071402">
        <w:rPr>
          <w:rFonts w:ascii="Bookman Old Style" w:eastAsia="MS Mincho" w:hAnsi="Bookman Old Style" w:cs="Arial"/>
          <w:i/>
          <w:iCs/>
          <w:sz w:val="20"/>
          <w:szCs w:val="20"/>
          <w:lang w:val="es-CO"/>
        </w:rPr>
        <w:t>de noventa (90) días.</w:t>
      </w:r>
      <w:r w:rsidR="00D534DD">
        <w:rPr>
          <w:rFonts w:ascii="Bookman Old Style" w:eastAsia="MS Mincho" w:hAnsi="Bookman Old Style" w:cs="Arial"/>
          <w:i/>
          <w:iCs/>
          <w:sz w:val="20"/>
          <w:szCs w:val="20"/>
          <w:lang w:val="es-CO"/>
        </w:rPr>
        <w:t xml:space="preserve"> (…)</w:t>
      </w:r>
    </w:p>
    <w:p w14:paraId="40AA3D79" w14:textId="77777777" w:rsidR="00D534DD" w:rsidRDefault="00D534DD" w:rsidP="00292999">
      <w:pPr>
        <w:ind w:left="567"/>
        <w:contextualSpacing/>
        <w:jc w:val="both"/>
        <w:rPr>
          <w:rFonts w:ascii="Bookman Old Style" w:eastAsia="MS Mincho" w:hAnsi="Bookman Old Style" w:cs="Arial"/>
          <w:i/>
          <w:iCs/>
          <w:sz w:val="20"/>
          <w:szCs w:val="20"/>
          <w:lang w:val="es-CO"/>
        </w:rPr>
      </w:pPr>
    </w:p>
    <w:p w14:paraId="207364D3" w14:textId="22F9A107" w:rsidR="00D534DD" w:rsidRPr="00D534DD" w:rsidRDefault="00D534DD" w:rsidP="00292999">
      <w:pPr>
        <w:ind w:left="567"/>
        <w:contextualSpacing/>
        <w:jc w:val="both"/>
        <w:rPr>
          <w:rFonts w:ascii="Bookman Old Style" w:eastAsia="MS Mincho" w:hAnsi="Bookman Old Style" w:cs="Arial"/>
          <w:i/>
          <w:iCs/>
          <w:sz w:val="20"/>
          <w:szCs w:val="20"/>
          <w:lang w:val="es-CO"/>
        </w:rPr>
      </w:pPr>
      <w:r w:rsidRPr="00D534DD">
        <w:rPr>
          <w:rFonts w:ascii="Bookman Old Style" w:eastAsia="MS Mincho" w:hAnsi="Bookman Old Style" w:cs="Arial"/>
          <w:i/>
          <w:iCs/>
          <w:sz w:val="20"/>
          <w:szCs w:val="20"/>
          <w:lang w:val="es-CO"/>
        </w:rPr>
        <w:t>Con respecto al literal c), GENSA en su comunicación de radicado CREG E-2021-</w:t>
      </w:r>
      <w:r>
        <w:rPr>
          <w:rFonts w:ascii="Bookman Old Style" w:eastAsia="MS Mincho" w:hAnsi="Bookman Old Style" w:cs="Arial"/>
          <w:i/>
          <w:iCs/>
          <w:sz w:val="20"/>
          <w:szCs w:val="20"/>
          <w:lang w:val="es-CO"/>
        </w:rPr>
        <w:t xml:space="preserve"> </w:t>
      </w:r>
      <w:r w:rsidRPr="00D534DD">
        <w:rPr>
          <w:rFonts w:ascii="Bookman Old Style" w:eastAsia="MS Mincho" w:hAnsi="Bookman Old Style" w:cs="Arial"/>
          <w:i/>
          <w:iCs/>
          <w:sz w:val="20"/>
          <w:szCs w:val="20"/>
          <w:lang w:val="es-CO"/>
        </w:rPr>
        <w:t>007731 responde:</w:t>
      </w:r>
    </w:p>
    <w:p w14:paraId="5D655816" w14:textId="77777777" w:rsidR="00D534DD" w:rsidRDefault="00D534DD" w:rsidP="00D534DD">
      <w:pPr>
        <w:ind w:left="708"/>
        <w:contextualSpacing/>
        <w:jc w:val="both"/>
        <w:rPr>
          <w:rFonts w:ascii="Bookman Old Style" w:eastAsia="MS Mincho" w:hAnsi="Bookman Old Style" w:cs="Arial"/>
          <w:i/>
          <w:iCs/>
          <w:sz w:val="20"/>
          <w:szCs w:val="20"/>
          <w:lang w:val="es-CO"/>
        </w:rPr>
      </w:pPr>
    </w:p>
    <w:p w14:paraId="5C85F102" w14:textId="7D64086E" w:rsidR="00D534DD" w:rsidRPr="00D534DD" w:rsidRDefault="00626161"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D534DD" w:rsidRPr="00D534DD">
        <w:rPr>
          <w:rFonts w:ascii="Bookman Old Style" w:eastAsia="MS Mincho" w:hAnsi="Bookman Old Style" w:cs="Arial"/>
          <w:i/>
          <w:iCs/>
          <w:sz w:val="20"/>
          <w:szCs w:val="20"/>
          <w:lang w:val="es-CO"/>
        </w:rPr>
        <w:t>Se solicita a la CREG precisar la información puntual que requiere para el análisis de variaciones</w:t>
      </w:r>
      <w:r w:rsidR="00D534DD">
        <w:rPr>
          <w:rFonts w:ascii="Bookman Old Style" w:eastAsia="MS Mincho" w:hAnsi="Bookman Old Style" w:cs="Arial"/>
          <w:i/>
          <w:iCs/>
          <w:sz w:val="20"/>
          <w:szCs w:val="20"/>
          <w:lang w:val="es-CO"/>
        </w:rPr>
        <w:t xml:space="preserve"> </w:t>
      </w:r>
      <w:r w:rsidR="00D534DD" w:rsidRPr="00D534DD">
        <w:rPr>
          <w:rFonts w:ascii="Bookman Old Style" w:eastAsia="MS Mincho" w:hAnsi="Bookman Old Style" w:cs="Arial"/>
          <w:i/>
          <w:iCs/>
          <w:sz w:val="20"/>
          <w:szCs w:val="20"/>
          <w:lang w:val="es-CO"/>
        </w:rPr>
        <w:t>de tensión en la subestación y líneas de la zona de influencia del proyecto, a efectos de verificar si</w:t>
      </w:r>
      <w:r w:rsidR="00D534DD">
        <w:rPr>
          <w:rFonts w:ascii="Bookman Old Style" w:eastAsia="MS Mincho" w:hAnsi="Bookman Old Style" w:cs="Arial"/>
          <w:i/>
          <w:iCs/>
          <w:sz w:val="20"/>
          <w:szCs w:val="20"/>
          <w:lang w:val="es-CO"/>
        </w:rPr>
        <w:t xml:space="preserve"> </w:t>
      </w:r>
      <w:r w:rsidR="00D534DD" w:rsidRPr="00D534DD">
        <w:rPr>
          <w:rFonts w:ascii="Bookman Old Style" w:eastAsia="MS Mincho" w:hAnsi="Bookman Old Style" w:cs="Arial"/>
          <w:i/>
          <w:iCs/>
          <w:sz w:val="20"/>
          <w:szCs w:val="20"/>
          <w:lang w:val="es-CO"/>
        </w:rPr>
        <w:t>GENSA cuenta o no con ella.</w:t>
      </w:r>
    </w:p>
    <w:p w14:paraId="5B7CB277" w14:textId="77777777" w:rsidR="00D534DD" w:rsidRDefault="00D534DD" w:rsidP="00292999">
      <w:pPr>
        <w:ind w:left="851"/>
        <w:contextualSpacing/>
        <w:jc w:val="both"/>
        <w:rPr>
          <w:rFonts w:ascii="Bookman Old Style" w:eastAsia="MS Mincho" w:hAnsi="Bookman Old Style" w:cs="Arial"/>
          <w:i/>
          <w:iCs/>
          <w:sz w:val="20"/>
          <w:szCs w:val="20"/>
          <w:lang w:val="es-CO"/>
        </w:rPr>
      </w:pPr>
    </w:p>
    <w:p w14:paraId="59FF5480" w14:textId="5E6B1C72" w:rsidR="00D534DD" w:rsidRPr="00D534DD" w:rsidRDefault="00D534DD" w:rsidP="00292999">
      <w:pPr>
        <w:ind w:left="851"/>
        <w:contextualSpacing/>
        <w:jc w:val="both"/>
        <w:rPr>
          <w:rFonts w:ascii="Bookman Old Style" w:eastAsia="MS Mincho" w:hAnsi="Bookman Old Style" w:cs="Arial"/>
          <w:i/>
          <w:iCs/>
          <w:sz w:val="20"/>
          <w:szCs w:val="20"/>
          <w:lang w:val="es-CO"/>
        </w:rPr>
      </w:pPr>
      <w:r w:rsidRPr="00D534DD">
        <w:rPr>
          <w:rFonts w:ascii="Bookman Old Style" w:eastAsia="MS Mincho" w:hAnsi="Bookman Old Style" w:cs="Arial"/>
          <w:i/>
          <w:iCs/>
          <w:sz w:val="20"/>
          <w:szCs w:val="20"/>
          <w:lang w:val="es-CO"/>
        </w:rPr>
        <w:t>En cuanto al cumplimiento de los criterios establecidos en la Regulación, debemos indicar que</w:t>
      </w:r>
      <w:r w:rsidR="00872A66">
        <w:rPr>
          <w:rFonts w:ascii="Bookman Old Style" w:eastAsia="MS Mincho" w:hAnsi="Bookman Old Style" w:cs="Arial"/>
          <w:i/>
          <w:iCs/>
          <w:sz w:val="20"/>
          <w:szCs w:val="20"/>
          <w:lang w:val="es-CO"/>
        </w:rPr>
        <w:t xml:space="preserve"> </w:t>
      </w:r>
      <w:r w:rsidRPr="00D534DD">
        <w:rPr>
          <w:rFonts w:ascii="Bookman Old Style" w:eastAsia="MS Mincho" w:hAnsi="Bookman Old Style" w:cs="Arial"/>
          <w:i/>
          <w:iCs/>
          <w:sz w:val="20"/>
          <w:szCs w:val="20"/>
          <w:lang w:val="es-CO"/>
        </w:rPr>
        <w:t>GENSA presta la actividad de generación en el Municipio de Mitú conforme lo establecido en la</w:t>
      </w:r>
      <w:r>
        <w:rPr>
          <w:rFonts w:ascii="Bookman Old Style" w:eastAsia="MS Mincho" w:hAnsi="Bookman Old Style" w:cs="Arial"/>
          <w:i/>
          <w:iCs/>
          <w:sz w:val="20"/>
          <w:szCs w:val="20"/>
          <w:lang w:val="es-CO"/>
        </w:rPr>
        <w:t xml:space="preserve"> </w:t>
      </w:r>
      <w:r w:rsidRPr="00D534DD">
        <w:rPr>
          <w:rFonts w:ascii="Bookman Old Style" w:eastAsia="MS Mincho" w:hAnsi="Bookman Old Style" w:cs="Arial"/>
          <w:i/>
          <w:iCs/>
          <w:sz w:val="20"/>
          <w:szCs w:val="20"/>
          <w:lang w:val="es-CO"/>
        </w:rPr>
        <w:t>Resolución CREG 091 de 2007, por ser este Municipio una Zona No Interconectada. En materia de</w:t>
      </w:r>
      <w:r w:rsidR="00626161">
        <w:rPr>
          <w:rFonts w:ascii="Bookman Old Style" w:eastAsia="MS Mincho" w:hAnsi="Bookman Old Style" w:cs="Arial"/>
          <w:i/>
          <w:iCs/>
          <w:sz w:val="20"/>
          <w:szCs w:val="20"/>
          <w:lang w:val="es-CO"/>
        </w:rPr>
        <w:t xml:space="preserve"> </w:t>
      </w:r>
      <w:r w:rsidRPr="00D534DD">
        <w:rPr>
          <w:rFonts w:ascii="Bookman Old Style" w:eastAsia="MS Mincho" w:hAnsi="Bookman Old Style" w:cs="Arial"/>
          <w:i/>
          <w:iCs/>
          <w:sz w:val="20"/>
          <w:szCs w:val="20"/>
          <w:lang w:val="es-CO"/>
        </w:rPr>
        <w:t>Calidad del Servicio, GENSA se ajusta en particular a lo dispuesto en el artículo 33 de dicha</w:t>
      </w:r>
      <w:r w:rsidR="00626161">
        <w:rPr>
          <w:rFonts w:ascii="Bookman Old Style" w:eastAsia="MS Mincho" w:hAnsi="Bookman Old Style" w:cs="Arial"/>
          <w:i/>
          <w:iCs/>
          <w:sz w:val="20"/>
          <w:szCs w:val="20"/>
          <w:lang w:val="es-CO"/>
        </w:rPr>
        <w:t xml:space="preserve"> </w:t>
      </w:r>
      <w:r w:rsidRPr="00D534DD">
        <w:rPr>
          <w:rFonts w:ascii="Bookman Old Style" w:eastAsia="MS Mincho" w:hAnsi="Bookman Old Style" w:cs="Arial"/>
          <w:i/>
          <w:iCs/>
          <w:sz w:val="20"/>
          <w:szCs w:val="20"/>
          <w:lang w:val="es-CO"/>
        </w:rPr>
        <w:t>Resolución.</w:t>
      </w:r>
    </w:p>
    <w:p w14:paraId="2DA1F855" w14:textId="77777777" w:rsidR="00626161" w:rsidRDefault="00626161" w:rsidP="00292999">
      <w:pPr>
        <w:ind w:left="851"/>
        <w:contextualSpacing/>
        <w:jc w:val="both"/>
        <w:rPr>
          <w:rFonts w:ascii="Bookman Old Style" w:eastAsia="MS Mincho" w:hAnsi="Bookman Old Style" w:cs="Arial"/>
          <w:i/>
          <w:iCs/>
          <w:sz w:val="20"/>
          <w:szCs w:val="20"/>
          <w:lang w:val="es-CO"/>
        </w:rPr>
      </w:pPr>
    </w:p>
    <w:p w14:paraId="36C5FED3" w14:textId="01503414" w:rsidR="00626161" w:rsidRDefault="00D534DD" w:rsidP="00292999">
      <w:pPr>
        <w:ind w:left="851"/>
        <w:contextualSpacing/>
        <w:jc w:val="both"/>
        <w:rPr>
          <w:rFonts w:ascii="Bookman Old Style" w:eastAsia="MS Mincho" w:hAnsi="Bookman Old Style" w:cs="Arial"/>
          <w:i/>
          <w:iCs/>
          <w:sz w:val="20"/>
          <w:szCs w:val="20"/>
          <w:lang w:val="es-CO"/>
        </w:rPr>
      </w:pPr>
      <w:r w:rsidRPr="00D534DD">
        <w:rPr>
          <w:rFonts w:ascii="Bookman Old Style" w:eastAsia="MS Mincho" w:hAnsi="Bookman Old Style" w:cs="Arial"/>
          <w:i/>
          <w:iCs/>
          <w:sz w:val="20"/>
          <w:szCs w:val="20"/>
          <w:lang w:val="es-CO"/>
        </w:rPr>
        <w:t>Tanto la Resolución CREG 070 de 1998 ‘Por la cual se establece el Reglamento de Distribución de</w:t>
      </w:r>
      <w:r w:rsidR="00626161">
        <w:rPr>
          <w:rFonts w:ascii="Bookman Old Style" w:eastAsia="MS Mincho" w:hAnsi="Bookman Old Style" w:cs="Arial"/>
          <w:i/>
          <w:iCs/>
          <w:sz w:val="20"/>
          <w:szCs w:val="20"/>
          <w:lang w:val="es-CO"/>
        </w:rPr>
        <w:t xml:space="preserve"> </w:t>
      </w:r>
      <w:r w:rsidRPr="00D534DD">
        <w:rPr>
          <w:rFonts w:ascii="Bookman Old Style" w:eastAsia="MS Mincho" w:hAnsi="Bookman Old Style" w:cs="Arial"/>
          <w:i/>
          <w:iCs/>
          <w:sz w:val="20"/>
          <w:szCs w:val="20"/>
          <w:lang w:val="es-CO"/>
        </w:rPr>
        <w:t>Energía Eléctrica, como parte del Reglamento de Operación del Sistema Interconectado Nacional’,</w:t>
      </w:r>
      <w:r w:rsidR="00626161">
        <w:rPr>
          <w:rFonts w:ascii="Bookman Old Style" w:eastAsia="MS Mincho" w:hAnsi="Bookman Old Style" w:cs="Arial"/>
          <w:i/>
          <w:iCs/>
          <w:sz w:val="20"/>
          <w:szCs w:val="20"/>
          <w:lang w:val="es-CO"/>
        </w:rPr>
        <w:t xml:space="preserve"> </w:t>
      </w:r>
      <w:r w:rsidR="00626161" w:rsidRPr="00626161">
        <w:rPr>
          <w:rFonts w:ascii="Bookman Old Style" w:eastAsia="MS Mincho" w:hAnsi="Bookman Old Style" w:cs="Arial"/>
          <w:i/>
          <w:iCs/>
          <w:sz w:val="20"/>
          <w:szCs w:val="20"/>
          <w:lang w:val="es-CO"/>
        </w:rPr>
        <w:t>como la Resolución CREG 025 de 1995 ‘Por la cual se establece el Código de Redes, como parte</w:t>
      </w:r>
      <w:r w:rsidR="00117CCD">
        <w:rPr>
          <w:rFonts w:ascii="Bookman Old Style" w:eastAsia="MS Mincho" w:hAnsi="Bookman Old Style" w:cs="Arial"/>
          <w:i/>
          <w:iCs/>
          <w:sz w:val="20"/>
          <w:szCs w:val="20"/>
          <w:lang w:val="es-CO"/>
        </w:rPr>
        <w:t xml:space="preserve"> </w:t>
      </w:r>
      <w:r w:rsidR="00626161" w:rsidRPr="00626161">
        <w:rPr>
          <w:rFonts w:ascii="Bookman Old Style" w:eastAsia="MS Mincho" w:hAnsi="Bookman Old Style" w:cs="Arial"/>
          <w:i/>
          <w:iCs/>
          <w:sz w:val="20"/>
          <w:szCs w:val="20"/>
          <w:lang w:val="es-CO"/>
        </w:rPr>
        <w:t>del Reglamento de Operación del Sistema Interconectado Nacional.’, hacen parte del Reglamento</w:t>
      </w:r>
      <w:r w:rsidR="00BA45EA">
        <w:rPr>
          <w:rFonts w:ascii="Bookman Old Style" w:eastAsia="MS Mincho" w:hAnsi="Bookman Old Style" w:cs="Arial"/>
          <w:i/>
          <w:iCs/>
          <w:sz w:val="20"/>
          <w:szCs w:val="20"/>
          <w:lang w:val="es-CO"/>
        </w:rPr>
        <w:t xml:space="preserve"> </w:t>
      </w:r>
      <w:r w:rsidR="00626161" w:rsidRPr="00626161">
        <w:rPr>
          <w:rFonts w:ascii="Bookman Old Style" w:eastAsia="MS Mincho" w:hAnsi="Bookman Old Style" w:cs="Arial"/>
          <w:i/>
          <w:iCs/>
          <w:sz w:val="20"/>
          <w:szCs w:val="20"/>
          <w:lang w:val="es-CO"/>
        </w:rPr>
        <w:t>de Operación del Sistema Interconectado Nacional. Comoquiera que el Municipio de Mitú se</w:t>
      </w:r>
      <w:r w:rsidR="00BA45EA">
        <w:rPr>
          <w:rFonts w:ascii="Bookman Old Style" w:eastAsia="MS Mincho" w:hAnsi="Bookman Old Style" w:cs="Arial"/>
          <w:i/>
          <w:iCs/>
          <w:sz w:val="20"/>
          <w:szCs w:val="20"/>
          <w:lang w:val="es-CO"/>
        </w:rPr>
        <w:t xml:space="preserve"> </w:t>
      </w:r>
      <w:r w:rsidR="00626161" w:rsidRPr="00626161">
        <w:rPr>
          <w:rFonts w:ascii="Bookman Old Style" w:eastAsia="MS Mincho" w:hAnsi="Bookman Old Style" w:cs="Arial"/>
          <w:i/>
          <w:iCs/>
          <w:sz w:val="20"/>
          <w:szCs w:val="20"/>
          <w:lang w:val="es-CO"/>
        </w:rPr>
        <w:t>encuentra en una Zona No Interconectada no resultan aplicables como aplican dichas resoluciones</w:t>
      </w:r>
      <w:r w:rsidR="00BA45EA">
        <w:rPr>
          <w:rFonts w:ascii="Bookman Old Style" w:eastAsia="MS Mincho" w:hAnsi="Bookman Old Style" w:cs="Arial"/>
          <w:i/>
          <w:iCs/>
          <w:sz w:val="20"/>
          <w:szCs w:val="20"/>
          <w:lang w:val="es-CO"/>
        </w:rPr>
        <w:t xml:space="preserve"> </w:t>
      </w:r>
      <w:r w:rsidR="00626161" w:rsidRPr="00626161">
        <w:rPr>
          <w:rFonts w:ascii="Bookman Old Style" w:eastAsia="MS Mincho" w:hAnsi="Bookman Old Style" w:cs="Arial"/>
          <w:i/>
          <w:iCs/>
          <w:sz w:val="20"/>
          <w:szCs w:val="20"/>
          <w:lang w:val="es-CO"/>
        </w:rPr>
        <w:t>a la actividad resoluciones a la actividad de generación que realiza GENSA en dicho Municipio.</w:t>
      </w:r>
    </w:p>
    <w:p w14:paraId="4B922C22" w14:textId="77777777" w:rsidR="00BA45EA" w:rsidRPr="00626161" w:rsidRDefault="00BA45EA" w:rsidP="00292999">
      <w:pPr>
        <w:ind w:left="851"/>
        <w:contextualSpacing/>
        <w:jc w:val="both"/>
        <w:rPr>
          <w:rFonts w:ascii="Bookman Old Style" w:eastAsia="MS Mincho" w:hAnsi="Bookman Old Style" w:cs="Arial"/>
          <w:i/>
          <w:iCs/>
          <w:sz w:val="20"/>
          <w:szCs w:val="20"/>
          <w:lang w:val="es-CO"/>
        </w:rPr>
      </w:pPr>
    </w:p>
    <w:p w14:paraId="4590083F" w14:textId="014B351D" w:rsidR="00626161" w:rsidRDefault="00626161" w:rsidP="00292999">
      <w:pPr>
        <w:ind w:left="851"/>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En ese orden de ideas, se hace necesario que la CREG precise cual es el alcance del cumplimiento</w:t>
      </w:r>
      <w:r w:rsidR="00BA45EA">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respecto a las Resoluciones CREG 025 de 1995 y 070 de 1998, al que refiere el citado Auto. (…)</w:t>
      </w:r>
      <w:r w:rsidR="00BA45EA">
        <w:rPr>
          <w:rFonts w:ascii="Bookman Old Style" w:eastAsia="MS Mincho" w:hAnsi="Bookman Old Style" w:cs="Arial"/>
          <w:i/>
          <w:iCs/>
          <w:sz w:val="20"/>
          <w:szCs w:val="20"/>
          <w:lang w:val="es-CO"/>
        </w:rPr>
        <w:t>’</w:t>
      </w:r>
    </w:p>
    <w:p w14:paraId="1A9113B8" w14:textId="77777777" w:rsidR="00434ACC" w:rsidRDefault="00434ACC" w:rsidP="00626161">
      <w:pPr>
        <w:ind w:left="708"/>
        <w:contextualSpacing/>
        <w:jc w:val="both"/>
        <w:rPr>
          <w:rFonts w:ascii="Bookman Old Style" w:eastAsia="MS Mincho" w:hAnsi="Bookman Old Style" w:cs="Arial"/>
          <w:i/>
          <w:iCs/>
          <w:sz w:val="20"/>
          <w:szCs w:val="20"/>
          <w:lang w:val="es-CO"/>
        </w:rPr>
      </w:pPr>
    </w:p>
    <w:p w14:paraId="044169A5" w14:textId="2A1FA1DB" w:rsidR="00626161" w:rsidRPr="00626161" w:rsidRDefault="00626161" w:rsidP="00292999">
      <w:pPr>
        <w:ind w:left="567"/>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Al respecto, debe resaltarse que en el Auto I-2021-001628, pie de página 1, esta</w:t>
      </w:r>
      <w:r w:rsidR="00BA45EA">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Comisión indicó lo contenido en el parágrafo del artículo 5 de la Resolución CREG</w:t>
      </w:r>
      <w:r w:rsidR="00BA45EA">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038 de 2018 de la siguiente manera:</w:t>
      </w:r>
    </w:p>
    <w:p w14:paraId="2365BDAD" w14:textId="77777777" w:rsidR="00D90EFD" w:rsidRDefault="00D90EFD" w:rsidP="00626161">
      <w:pPr>
        <w:ind w:left="708"/>
        <w:contextualSpacing/>
        <w:jc w:val="both"/>
        <w:rPr>
          <w:rFonts w:ascii="Bookman Old Style" w:eastAsia="MS Mincho" w:hAnsi="Bookman Old Style" w:cs="Arial"/>
          <w:i/>
          <w:iCs/>
          <w:sz w:val="20"/>
          <w:szCs w:val="20"/>
          <w:lang w:val="es-CO"/>
        </w:rPr>
      </w:pPr>
    </w:p>
    <w:p w14:paraId="7FEED717" w14:textId="2CB6A1B5" w:rsidR="00626161" w:rsidRPr="00626161" w:rsidRDefault="00D90EFD"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626161" w:rsidRPr="00626161">
        <w:rPr>
          <w:rFonts w:ascii="Bookman Old Style" w:eastAsia="MS Mincho" w:hAnsi="Bookman Old Style" w:cs="Arial"/>
          <w:i/>
          <w:iCs/>
          <w:sz w:val="20"/>
          <w:szCs w:val="20"/>
          <w:lang w:val="es-CO"/>
        </w:rPr>
        <w:t xml:space="preserve">(…) Artículo 5. Contrato de conexión. El contrato de </w:t>
      </w:r>
      <w:r w:rsidR="00626161" w:rsidRPr="00D90EFD">
        <w:rPr>
          <w:rFonts w:ascii="Bookman Old Style" w:eastAsia="MS Mincho" w:hAnsi="Bookman Old Style" w:cs="Arial"/>
          <w:i/>
          <w:iCs/>
          <w:sz w:val="20"/>
          <w:szCs w:val="20"/>
          <w:u w:val="single"/>
          <w:lang w:val="es-CO"/>
        </w:rPr>
        <w:t>conexión entre el distribuidor</w:t>
      </w:r>
      <w:r w:rsidR="00626161" w:rsidRPr="00626161">
        <w:rPr>
          <w:rFonts w:ascii="Bookman Old Style" w:eastAsia="MS Mincho" w:hAnsi="Bookman Old Style" w:cs="Arial"/>
          <w:i/>
          <w:iCs/>
          <w:sz w:val="20"/>
          <w:szCs w:val="20"/>
          <w:lang w:val="es-CO"/>
        </w:rPr>
        <w:t xml:space="preserve"> y un</w:t>
      </w:r>
      <w:r>
        <w:rPr>
          <w:rFonts w:ascii="Bookman Old Style" w:eastAsia="MS Mincho" w:hAnsi="Bookman Old Style" w:cs="Arial"/>
          <w:i/>
          <w:iCs/>
          <w:sz w:val="20"/>
          <w:szCs w:val="20"/>
          <w:lang w:val="es-CO"/>
        </w:rPr>
        <w:t xml:space="preserve"> </w:t>
      </w:r>
      <w:r w:rsidR="00626161" w:rsidRPr="00626161">
        <w:rPr>
          <w:rFonts w:ascii="Bookman Old Style" w:eastAsia="MS Mincho" w:hAnsi="Bookman Old Style" w:cs="Arial"/>
          <w:i/>
          <w:iCs/>
          <w:sz w:val="20"/>
          <w:szCs w:val="20"/>
          <w:lang w:val="es-CO"/>
        </w:rPr>
        <w:t xml:space="preserve">autogenerador o </w:t>
      </w:r>
      <w:r w:rsidR="00626161" w:rsidRPr="00CA0562">
        <w:rPr>
          <w:rFonts w:ascii="Bookman Old Style" w:eastAsia="MS Mincho" w:hAnsi="Bookman Old Style" w:cs="Arial"/>
          <w:i/>
          <w:iCs/>
          <w:sz w:val="20"/>
          <w:szCs w:val="20"/>
          <w:u w:val="single"/>
          <w:lang w:val="es-CO"/>
        </w:rPr>
        <w:t>generador</w:t>
      </w:r>
      <w:r w:rsidR="00626161" w:rsidRPr="00626161">
        <w:rPr>
          <w:rFonts w:ascii="Bookman Old Style" w:eastAsia="MS Mincho" w:hAnsi="Bookman Old Style" w:cs="Arial"/>
          <w:i/>
          <w:iCs/>
          <w:sz w:val="20"/>
          <w:szCs w:val="20"/>
          <w:lang w:val="es-CO"/>
        </w:rPr>
        <w:t xml:space="preserve"> distribuido contendrá las siguientes condiciones mínimas: (…)</w:t>
      </w:r>
    </w:p>
    <w:p w14:paraId="5CF522D0" w14:textId="77777777" w:rsidR="00CA0562" w:rsidRDefault="00CA0562" w:rsidP="00292999">
      <w:pPr>
        <w:ind w:left="851"/>
        <w:contextualSpacing/>
        <w:jc w:val="both"/>
        <w:rPr>
          <w:rFonts w:ascii="Bookman Old Style" w:eastAsia="MS Mincho" w:hAnsi="Bookman Old Style" w:cs="Arial"/>
          <w:i/>
          <w:iCs/>
          <w:sz w:val="20"/>
          <w:szCs w:val="20"/>
          <w:lang w:val="es-CO"/>
        </w:rPr>
      </w:pPr>
    </w:p>
    <w:p w14:paraId="103B44DB" w14:textId="06522ACC" w:rsidR="00626161" w:rsidRPr="00626161" w:rsidRDefault="00626161" w:rsidP="00292999">
      <w:pPr>
        <w:ind w:left="851"/>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 xml:space="preserve">Parágrafo 1. </w:t>
      </w:r>
      <w:r w:rsidRPr="00CA0562">
        <w:rPr>
          <w:rFonts w:ascii="Bookman Old Style" w:eastAsia="MS Mincho" w:hAnsi="Bookman Old Style" w:cs="Arial"/>
          <w:i/>
          <w:iCs/>
          <w:sz w:val="20"/>
          <w:szCs w:val="20"/>
          <w:u w:val="single"/>
          <w:lang w:val="es-CO"/>
        </w:rPr>
        <w:t>Las condiciones técnicas de la conexión deberán sujetarse a los Códigos y</w:t>
      </w:r>
      <w:r w:rsidR="00CA0562" w:rsidRPr="00CA0562">
        <w:rPr>
          <w:rFonts w:ascii="Bookman Old Style" w:eastAsia="MS Mincho" w:hAnsi="Bookman Old Style" w:cs="Arial"/>
          <w:i/>
          <w:iCs/>
          <w:sz w:val="20"/>
          <w:szCs w:val="20"/>
          <w:u w:val="single"/>
          <w:lang w:val="es-CO"/>
        </w:rPr>
        <w:t xml:space="preserve"> </w:t>
      </w:r>
      <w:r w:rsidRPr="00CA0562">
        <w:rPr>
          <w:rFonts w:ascii="Bookman Old Style" w:eastAsia="MS Mincho" w:hAnsi="Bookman Old Style" w:cs="Arial"/>
          <w:i/>
          <w:iCs/>
          <w:sz w:val="20"/>
          <w:szCs w:val="20"/>
          <w:u w:val="single"/>
          <w:lang w:val="es-CO"/>
        </w:rPr>
        <w:t>Reglamentos vigentes</w:t>
      </w:r>
      <w:r w:rsidRPr="00626161">
        <w:rPr>
          <w:rFonts w:ascii="Bookman Old Style" w:eastAsia="MS Mincho" w:hAnsi="Bookman Old Style" w:cs="Arial"/>
          <w:i/>
          <w:iCs/>
          <w:sz w:val="20"/>
          <w:szCs w:val="20"/>
          <w:lang w:val="es-CO"/>
        </w:rPr>
        <w:t>, en particular a lo previsto en:</w:t>
      </w:r>
    </w:p>
    <w:p w14:paraId="5A2164CB" w14:textId="77777777" w:rsidR="00CA0562" w:rsidRDefault="00CA0562" w:rsidP="00292999">
      <w:pPr>
        <w:ind w:left="851"/>
        <w:contextualSpacing/>
        <w:jc w:val="both"/>
        <w:rPr>
          <w:rFonts w:ascii="Bookman Old Style" w:eastAsia="MS Mincho" w:hAnsi="Bookman Old Style" w:cs="Arial"/>
          <w:i/>
          <w:iCs/>
          <w:sz w:val="20"/>
          <w:szCs w:val="20"/>
          <w:lang w:val="es-CO"/>
        </w:rPr>
      </w:pPr>
    </w:p>
    <w:p w14:paraId="4CCD434D" w14:textId="43457189" w:rsidR="00626161" w:rsidRPr="00626161" w:rsidRDefault="00626161" w:rsidP="00292999">
      <w:pPr>
        <w:ind w:left="851"/>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 Código Eléctrico Colombiano, NTC 2050.</w:t>
      </w:r>
    </w:p>
    <w:p w14:paraId="6477A4F6" w14:textId="6A60BF87" w:rsidR="00626161" w:rsidRPr="00626161" w:rsidRDefault="00626161" w:rsidP="00292999">
      <w:pPr>
        <w:ind w:left="851"/>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 Reglamento Técnico de Instalaciones Eléctricas, RETIE, expedido por el Ministerio de Minas y</w:t>
      </w:r>
      <w:r w:rsidR="00CA0562">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Energía.</w:t>
      </w:r>
    </w:p>
    <w:p w14:paraId="6F8B7F56" w14:textId="0A48AACE" w:rsidR="00626161" w:rsidRPr="00626161" w:rsidRDefault="00626161" w:rsidP="00292999">
      <w:pPr>
        <w:ind w:left="851"/>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 Resoluciones CREG 025 de 1995, 070 de 1998 y 038 de 2014 o aquellas que las modifiquen o</w:t>
      </w:r>
      <w:r w:rsidR="00CA0562">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sustituyan, en cuanto sea aplicable. (…)</w:t>
      </w:r>
      <w:r w:rsidR="00CA0562">
        <w:rPr>
          <w:rFonts w:ascii="Bookman Old Style" w:eastAsia="MS Mincho" w:hAnsi="Bookman Old Style" w:cs="Arial"/>
          <w:i/>
          <w:iCs/>
          <w:sz w:val="20"/>
          <w:szCs w:val="20"/>
          <w:lang w:val="es-CO"/>
        </w:rPr>
        <w:t>’</w:t>
      </w:r>
      <w:r w:rsidRPr="00626161">
        <w:rPr>
          <w:rFonts w:ascii="Bookman Old Style" w:eastAsia="MS Mincho" w:hAnsi="Bookman Old Style" w:cs="Arial"/>
          <w:i/>
          <w:iCs/>
          <w:sz w:val="20"/>
          <w:szCs w:val="20"/>
          <w:lang w:val="es-CO"/>
        </w:rPr>
        <w:t xml:space="preserve"> (Subrayado fuera de texto)</w:t>
      </w:r>
    </w:p>
    <w:p w14:paraId="0613F5A1" w14:textId="77777777" w:rsidR="00D90EFD" w:rsidRDefault="00D90EFD" w:rsidP="00626161">
      <w:pPr>
        <w:ind w:left="708"/>
        <w:contextualSpacing/>
        <w:jc w:val="both"/>
        <w:rPr>
          <w:rFonts w:ascii="Bookman Old Style" w:eastAsia="MS Mincho" w:hAnsi="Bookman Old Style" w:cs="Arial"/>
          <w:i/>
          <w:iCs/>
          <w:sz w:val="20"/>
          <w:szCs w:val="20"/>
          <w:lang w:val="es-CO"/>
        </w:rPr>
      </w:pPr>
    </w:p>
    <w:p w14:paraId="62597A7B" w14:textId="3089909A" w:rsidR="009C5090" w:rsidRDefault="00626161" w:rsidP="00292999">
      <w:pPr>
        <w:ind w:left="567"/>
        <w:contextualSpacing/>
        <w:jc w:val="both"/>
        <w:rPr>
          <w:rFonts w:ascii="Bookman Old Style" w:eastAsia="MS Mincho" w:hAnsi="Bookman Old Style" w:cs="Arial"/>
          <w:i/>
          <w:iCs/>
          <w:sz w:val="20"/>
          <w:szCs w:val="20"/>
          <w:lang w:val="es-CO"/>
        </w:rPr>
      </w:pPr>
      <w:r w:rsidRPr="00626161">
        <w:rPr>
          <w:rFonts w:ascii="Bookman Old Style" w:eastAsia="MS Mincho" w:hAnsi="Bookman Old Style" w:cs="Arial"/>
          <w:i/>
          <w:iCs/>
          <w:sz w:val="20"/>
          <w:szCs w:val="20"/>
          <w:lang w:val="es-CO"/>
        </w:rPr>
        <w:t>Esta disposición de la Resolución CREG 038 de 2018, extendió a las Zonas No</w:t>
      </w:r>
      <w:r w:rsidR="009C5090">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interconectadas la aplicación de lo previsto en los Códigos y Reglamentos vigentes,</w:t>
      </w:r>
      <w:r w:rsidR="009C5090">
        <w:rPr>
          <w:rFonts w:ascii="Bookman Old Style" w:eastAsia="MS Mincho" w:hAnsi="Bookman Old Style" w:cs="Arial"/>
          <w:i/>
          <w:iCs/>
          <w:sz w:val="20"/>
          <w:szCs w:val="20"/>
          <w:lang w:val="es-CO"/>
        </w:rPr>
        <w:t xml:space="preserve"> </w:t>
      </w:r>
      <w:r w:rsidRPr="00626161">
        <w:rPr>
          <w:rFonts w:ascii="Bookman Old Style" w:eastAsia="MS Mincho" w:hAnsi="Bookman Old Style" w:cs="Arial"/>
          <w:i/>
          <w:iCs/>
          <w:sz w:val="20"/>
          <w:szCs w:val="20"/>
          <w:lang w:val="es-CO"/>
        </w:rPr>
        <w:t>en lo relativo a las condiciones técnicas de las conexiones.</w:t>
      </w:r>
      <w:r w:rsidR="009C5090">
        <w:rPr>
          <w:rFonts w:ascii="Bookman Old Style" w:eastAsia="MS Mincho" w:hAnsi="Bookman Old Style" w:cs="Arial"/>
          <w:i/>
          <w:iCs/>
          <w:sz w:val="20"/>
          <w:szCs w:val="20"/>
          <w:lang w:val="es-CO"/>
        </w:rPr>
        <w:t xml:space="preserve"> (…)</w:t>
      </w:r>
    </w:p>
    <w:p w14:paraId="1978B1DA" w14:textId="77777777" w:rsidR="00A93D7D" w:rsidRDefault="00A93D7D" w:rsidP="00292999">
      <w:pPr>
        <w:ind w:left="567"/>
        <w:contextualSpacing/>
        <w:jc w:val="both"/>
        <w:rPr>
          <w:rFonts w:ascii="Bookman Old Style" w:eastAsia="MS Mincho" w:hAnsi="Bookman Old Style" w:cs="Arial"/>
          <w:i/>
          <w:iCs/>
          <w:sz w:val="20"/>
          <w:szCs w:val="20"/>
          <w:lang w:val="es-CO"/>
        </w:rPr>
      </w:pPr>
    </w:p>
    <w:p w14:paraId="55B78EE6" w14:textId="3F51DCC4" w:rsidR="00572523" w:rsidRDefault="00572523" w:rsidP="00292999">
      <w:pPr>
        <w:ind w:left="567"/>
        <w:contextualSpacing/>
        <w:jc w:val="both"/>
        <w:rPr>
          <w:rFonts w:ascii="Bookman Old Style" w:eastAsia="MS Mincho" w:hAnsi="Bookman Old Style" w:cs="Arial"/>
          <w:i/>
          <w:iCs/>
          <w:sz w:val="20"/>
          <w:szCs w:val="20"/>
          <w:lang w:val="es-CO"/>
        </w:rPr>
      </w:pPr>
      <w:r w:rsidRPr="00572523">
        <w:rPr>
          <w:rFonts w:ascii="Bookman Old Style" w:eastAsia="MS Mincho" w:hAnsi="Bookman Old Style" w:cs="Arial"/>
          <w:i/>
          <w:iCs/>
          <w:sz w:val="20"/>
          <w:szCs w:val="20"/>
          <w:lang w:val="es-CO"/>
        </w:rPr>
        <w:t>Con respecto al literal e), GENSA en su comunicación de radicado CREG E-2021-007731 responde:</w:t>
      </w:r>
    </w:p>
    <w:p w14:paraId="0A6CF313" w14:textId="77777777" w:rsidR="00572523" w:rsidRPr="00572523" w:rsidRDefault="00572523" w:rsidP="00572523">
      <w:pPr>
        <w:ind w:left="708"/>
        <w:contextualSpacing/>
        <w:jc w:val="both"/>
        <w:rPr>
          <w:rFonts w:ascii="Bookman Old Style" w:eastAsia="MS Mincho" w:hAnsi="Bookman Old Style" w:cs="Arial"/>
          <w:i/>
          <w:iCs/>
          <w:sz w:val="20"/>
          <w:szCs w:val="20"/>
          <w:lang w:val="es-CO"/>
        </w:rPr>
      </w:pPr>
    </w:p>
    <w:p w14:paraId="2ADB164A" w14:textId="06CB6201" w:rsidR="00572523" w:rsidRPr="00572523" w:rsidRDefault="00AC091C"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572523" w:rsidRPr="00572523">
        <w:rPr>
          <w:rFonts w:ascii="Bookman Old Style" w:eastAsia="MS Mincho" w:hAnsi="Bookman Old Style" w:cs="Arial"/>
          <w:i/>
          <w:iCs/>
          <w:sz w:val="20"/>
          <w:szCs w:val="20"/>
          <w:lang w:val="es-CO"/>
        </w:rPr>
        <w:t>(…) Por solicitud de DUE CAPITAL se permitió la realización de visita técnica al sistema de</w:t>
      </w:r>
      <w:r>
        <w:rPr>
          <w:rFonts w:ascii="Bookman Old Style" w:eastAsia="MS Mincho" w:hAnsi="Bookman Old Style" w:cs="Arial"/>
          <w:i/>
          <w:iCs/>
          <w:sz w:val="20"/>
          <w:szCs w:val="20"/>
          <w:lang w:val="es-CO"/>
        </w:rPr>
        <w:t xml:space="preserve"> </w:t>
      </w:r>
      <w:r w:rsidR="00572523" w:rsidRPr="00572523">
        <w:rPr>
          <w:rFonts w:ascii="Bookman Old Style" w:eastAsia="MS Mincho" w:hAnsi="Bookman Old Style" w:cs="Arial"/>
          <w:i/>
          <w:iCs/>
          <w:sz w:val="20"/>
          <w:szCs w:val="20"/>
          <w:lang w:val="es-CO"/>
        </w:rPr>
        <w:t>generación de Mitú, para la recopilación de información requerida en este estudio. Con relación a</w:t>
      </w:r>
      <w:r>
        <w:rPr>
          <w:rFonts w:ascii="Bookman Old Style" w:eastAsia="MS Mincho" w:hAnsi="Bookman Old Style" w:cs="Arial"/>
          <w:i/>
          <w:iCs/>
          <w:sz w:val="20"/>
          <w:szCs w:val="20"/>
          <w:lang w:val="es-CO"/>
        </w:rPr>
        <w:t xml:space="preserve"> </w:t>
      </w:r>
      <w:r w:rsidR="00572523" w:rsidRPr="00572523">
        <w:rPr>
          <w:rFonts w:ascii="Bookman Old Style" w:eastAsia="MS Mincho" w:hAnsi="Bookman Old Style" w:cs="Arial"/>
          <w:i/>
          <w:iCs/>
          <w:sz w:val="20"/>
          <w:szCs w:val="20"/>
          <w:lang w:val="es-CO"/>
        </w:rPr>
        <w:t>los criterios que se puedan emplear para evaluar la estabilidad se recomienda seguir los criterios y</w:t>
      </w:r>
      <w:r>
        <w:rPr>
          <w:rFonts w:ascii="Bookman Old Style" w:eastAsia="MS Mincho" w:hAnsi="Bookman Old Style" w:cs="Arial"/>
          <w:i/>
          <w:iCs/>
          <w:sz w:val="20"/>
          <w:szCs w:val="20"/>
          <w:lang w:val="es-CO"/>
        </w:rPr>
        <w:t xml:space="preserve"> </w:t>
      </w:r>
      <w:r w:rsidR="00572523" w:rsidRPr="00572523">
        <w:rPr>
          <w:rFonts w:ascii="Bookman Old Style" w:eastAsia="MS Mincho" w:hAnsi="Bookman Old Style" w:cs="Arial"/>
          <w:i/>
          <w:iCs/>
          <w:sz w:val="20"/>
          <w:szCs w:val="20"/>
          <w:lang w:val="es-CO"/>
        </w:rPr>
        <w:t>límites de los parámetros establecidos por la regulación colombiana.</w:t>
      </w:r>
    </w:p>
    <w:p w14:paraId="717C97C2" w14:textId="77777777" w:rsidR="00AC091C" w:rsidRDefault="00AC091C" w:rsidP="00292999">
      <w:pPr>
        <w:ind w:left="851"/>
        <w:contextualSpacing/>
        <w:jc w:val="both"/>
        <w:rPr>
          <w:rFonts w:ascii="Bookman Old Style" w:eastAsia="MS Mincho" w:hAnsi="Bookman Old Style" w:cs="Arial"/>
          <w:i/>
          <w:iCs/>
          <w:sz w:val="20"/>
          <w:szCs w:val="20"/>
          <w:lang w:val="es-CO"/>
        </w:rPr>
      </w:pPr>
    </w:p>
    <w:p w14:paraId="6D4A0B6F" w14:textId="7F86262A" w:rsidR="00572523" w:rsidRDefault="00572523" w:rsidP="00292999">
      <w:pPr>
        <w:ind w:left="851"/>
        <w:contextualSpacing/>
        <w:jc w:val="both"/>
        <w:rPr>
          <w:rFonts w:ascii="Bookman Old Style" w:eastAsia="MS Mincho" w:hAnsi="Bookman Old Style" w:cs="Arial"/>
          <w:i/>
          <w:iCs/>
          <w:sz w:val="20"/>
          <w:szCs w:val="20"/>
          <w:lang w:val="es-CO"/>
        </w:rPr>
      </w:pPr>
      <w:r w:rsidRPr="00572523">
        <w:rPr>
          <w:rFonts w:ascii="Bookman Old Style" w:eastAsia="MS Mincho" w:hAnsi="Bookman Old Style" w:cs="Arial"/>
          <w:i/>
          <w:iCs/>
          <w:sz w:val="20"/>
          <w:szCs w:val="20"/>
          <w:lang w:val="es-CO"/>
        </w:rPr>
        <w:t>Conforme se indicó en el oficio con número consecutivo 107 de 2021 radicado el 25 de enero de</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2021, GENSA no cuenta con la información específica de los controladores, ya que es información</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confidencial de los fabricantes y no está disponible. Como respuesta a esto, DUE CAPITAL solicitó</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una alternativa de información, que fue atendida oportunamente por GENSA mediante el mismo</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oficio y el comunicado con radicado GENSA PRE-756 de 2021 del 26 de abril de 2021.</w:t>
      </w:r>
    </w:p>
    <w:p w14:paraId="54F1DB07" w14:textId="77777777" w:rsidR="00AC091C" w:rsidRPr="00572523" w:rsidRDefault="00AC091C" w:rsidP="00292999">
      <w:pPr>
        <w:ind w:left="851"/>
        <w:contextualSpacing/>
        <w:jc w:val="both"/>
        <w:rPr>
          <w:rFonts w:ascii="Bookman Old Style" w:eastAsia="MS Mincho" w:hAnsi="Bookman Old Style" w:cs="Arial"/>
          <w:i/>
          <w:iCs/>
          <w:sz w:val="20"/>
          <w:szCs w:val="20"/>
          <w:lang w:val="es-CO"/>
        </w:rPr>
      </w:pPr>
    </w:p>
    <w:p w14:paraId="60318C19" w14:textId="188BC9E8" w:rsidR="00572523" w:rsidRPr="00572523" w:rsidRDefault="00572523" w:rsidP="00292999">
      <w:pPr>
        <w:ind w:left="851"/>
        <w:contextualSpacing/>
        <w:jc w:val="both"/>
        <w:rPr>
          <w:rFonts w:ascii="Bookman Old Style" w:eastAsia="MS Mincho" w:hAnsi="Bookman Old Style" w:cs="Arial"/>
          <w:i/>
          <w:iCs/>
          <w:sz w:val="20"/>
          <w:szCs w:val="20"/>
          <w:lang w:val="es-CO"/>
        </w:rPr>
      </w:pPr>
      <w:r w:rsidRPr="00572523">
        <w:rPr>
          <w:rFonts w:ascii="Bookman Old Style" w:eastAsia="MS Mincho" w:hAnsi="Bookman Old Style" w:cs="Arial"/>
          <w:i/>
          <w:iCs/>
          <w:sz w:val="20"/>
          <w:szCs w:val="20"/>
          <w:lang w:val="es-CO"/>
        </w:rPr>
        <w:t>De igual manera, es importante aclarar que con posterior a la comunicación CREG E-2021-000083</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de 02 de septiembre de 2020 y a la respuesta entregada por GENSA con radicado CREG E-2021-001266 el 25 de enero de 2021, se realizó una reunión técnica con el equipo de DUE CAPITAL y su</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consultor GERS, con el fin de revisar la información requerida para la realización de los estudios</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complementarios y la información técnica disponible por GENSA, la cual fue enviada a DUE</w:t>
      </w:r>
      <w:r w:rsidR="00AC091C">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CAPITAL electrónicamente los días 20 y 21 de enero y 3 de febrero de 2021. (…)</w:t>
      </w:r>
      <w:r w:rsidR="00AC091C">
        <w:rPr>
          <w:rFonts w:ascii="Bookman Old Style" w:eastAsia="MS Mincho" w:hAnsi="Bookman Old Style" w:cs="Arial"/>
          <w:i/>
          <w:iCs/>
          <w:sz w:val="20"/>
          <w:szCs w:val="20"/>
          <w:lang w:val="es-CO"/>
        </w:rPr>
        <w:t>’</w:t>
      </w:r>
    </w:p>
    <w:p w14:paraId="3A90729E" w14:textId="77777777" w:rsidR="00AC091C" w:rsidRDefault="00AC091C" w:rsidP="00572523">
      <w:pPr>
        <w:ind w:left="708"/>
        <w:contextualSpacing/>
        <w:jc w:val="both"/>
        <w:rPr>
          <w:rFonts w:ascii="Bookman Old Style" w:eastAsia="MS Mincho" w:hAnsi="Bookman Old Style" w:cs="Arial"/>
          <w:i/>
          <w:iCs/>
          <w:sz w:val="20"/>
          <w:szCs w:val="20"/>
          <w:lang w:val="es-CO"/>
        </w:rPr>
      </w:pPr>
    </w:p>
    <w:p w14:paraId="23D2B921" w14:textId="13DA8773" w:rsidR="009C5090" w:rsidRDefault="00572523" w:rsidP="00292999">
      <w:pPr>
        <w:ind w:left="567"/>
        <w:contextualSpacing/>
        <w:jc w:val="both"/>
        <w:rPr>
          <w:rFonts w:ascii="Bookman Old Style" w:eastAsia="MS Mincho" w:hAnsi="Bookman Old Style" w:cs="Arial"/>
          <w:i/>
          <w:iCs/>
          <w:sz w:val="20"/>
          <w:szCs w:val="20"/>
          <w:lang w:val="es-CO"/>
        </w:rPr>
      </w:pPr>
      <w:r w:rsidRPr="00572523">
        <w:rPr>
          <w:rFonts w:ascii="Bookman Old Style" w:eastAsia="MS Mincho" w:hAnsi="Bookman Old Style" w:cs="Arial"/>
          <w:i/>
          <w:iCs/>
          <w:sz w:val="20"/>
          <w:szCs w:val="20"/>
          <w:lang w:val="es-CO"/>
        </w:rPr>
        <w:t>Sobre lo manifestado por GENSA S.A. E.S.P, en el desarrollo de la actuación la</w:t>
      </w:r>
      <w:r w:rsidR="00754855">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Comisión conoce que esta empresa no cuenta con la información específica de los</w:t>
      </w:r>
      <w:r w:rsidR="00754855">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 xml:space="preserve">controladores, razón por la cual se le solicita que indique </w:t>
      </w:r>
      <w:r w:rsidR="00754855">
        <w:rPr>
          <w:rFonts w:ascii="Bookman Old Style" w:eastAsia="MS Mincho" w:hAnsi="Bookman Old Style" w:cs="Arial"/>
          <w:i/>
          <w:iCs/>
          <w:sz w:val="20"/>
          <w:szCs w:val="20"/>
          <w:lang w:val="es-CO"/>
        </w:rPr>
        <w:t>‘</w:t>
      </w:r>
      <w:r w:rsidRPr="00572523">
        <w:rPr>
          <w:rFonts w:ascii="Bookman Old Style" w:eastAsia="MS Mincho" w:hAnsi="Bookman Old Style" w:cs="Arial"/>
          <w:i/>
          <w:iCs/>
          <w:sz w:val="20"/>
          <w:szCs w:val="20"/>
          <w:lang w:val="es-CO"/>
        </w:rPr>
        <w:t>las referencias de</w:t>
      </w:r>
      <w:r w:rsidR="00754855">
        <w:rPr>
          <w:rFonts w:ascii="Bookman Old Style" w:eastAsia="MS Mincho" w:hAnsi="Bookman Old Style" w:cs="Arial"/>
          <w:i/>
          <w:iCs/>
          <w:sz w:val="20"/>
          <w:szCs w:val="20"/>
          <w:lang w:val="es-CO"/>
        </w:rPr>
        <w:t xml:space="preserve"> </w:t>
      </w:r>
      <w:r w:rsidRPr="00754855">
        <w:rPr>
          <w:rFonts w:ascii="Bookman Old Style" w:eastAsia="MS Mincho" w:hAnsi="Bookman Old Style" w:cs="Arial"/>
          <w:b/>
          <w:bCs/>
          <w:i/>
          <w:iCs/>
          <w:sz w:val="20"/>
          <w:szCs w:val="20"/>
          <w:u w:val="single"/>
          <w:lang w:val="es-CO"/>
        </w:rPr>
        <w:t>controladores genéricos</w:t>
      </w:r>
      <w:r w:rsidR="00754855">
        <w:rPr>
          <w:rFonts w:ascii="Bookman Old Style" w:eastAsia="MS Mincho" w:hAnsi="Bookman Old Style" w:cs="Arial"/>
          <w:i/>
          <w:iCs/>
          <w:sz w:val="20"/>
          <w:szCs w:val="20"/>
          <w:lang w:val="es-CO"/>
        </w:rPr>
        <w:t>’</w:t>
      </w:r>
      <w:r w:rsidRPr="00572523">
        <w:rPr>
          <w:rFonts w:ascii="Bookman Old Style" w:eastAsia="MS Mincho" w:hAnsi="Bookman Old Style" w:cs="Arial"/>
          <w:i/>
          <w:iCs/>
          <w:sz w:val="20"/>
          <w:szCs w:val="20"/>
          <w:lang w:val="es-CO"/>
        </w:rPr>
        <w:t xml:space="preserve"> (resaltado y subrayado fuera de texto) y, de manera</w:t>
      </w:r>
      <w:r w:rsidR="00754855">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general, con relación a la utilización de modelos estándar para evaluar la estabilidad</w:t>
      </w:r>
      <w:r w:rsidR="00754855">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 xml:space="preserve">que indique: </w:t>
      </w:r>
      <w:r w:rsidR="00754855">
        <w:rPr>
          <w:rFonts w:ascii="Bookman Old Style" w:eastAsia="MS Mincho" w:hAnsi="Bookman Old Style" w:cs="Arial"/>
          <w:i/>
          <w:iCs/>
          <w:sz w:val="20"/>
          <w:szCs w:val="20"/>
          <w:lang w:val="es-CO"/>
        </w:rPr>
        <w:t>‘</w:t>
      </w:r>
      <w:r w:rsidRPr="00572523">
        <w:rPr>
          <w:rFonts w:ascii="Bookman Old Style" w:eastAsia="MS Mincho" w:hAnsi="Bookman Old Style" w:cs="Arial"/>
          <w:i/>
          <w:iCs/>
          <w:sz w:val="20"/>
          <w:szCs w:val="20"/>
          <w:lang w:val="es-CO"/>
        </w:rPr>
        <w:t>los valores de entrada del modelo, las referencias de controladores</w:t>
      </w:r>
      <w:r w:rsidR="00754855">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genéricos y, en general, los criterios que se pueden emplear para evaluar la</w:t>
      </w:r>
      <w:r w:rsidR="00754855">
        <w:rPr>
          <w:rFonts w:ascii="Bookman Old Style" w:eastAsia="MS Mincho" w:hAnsi="Bookman Old Style" w:cs="Arial"/>
          <w:i/>
          <w:iCs/>
          <w:sz w:val="20"/>
          <w:szCs w:val="20"/>
          <w:lang w:val="es-CO"/>
        </w:rPr>
        <w:t xml:space="preserve"> </w:t>
      </w:r>
      <w:r w:rsidRPr="00572523">
        <w:rPr>
          <w:rFonts w:ascii="Bookman Old Style" w:eastAsia="MS Mincho" w:hAnsi="Bookman Old Style" w:cs="Arial"/>
          <w:i/>
          <w:iCs/>
          <w:sz w:val="20"/>
          <w:szCs w:val="20"/>
          <w:lang w:val="es-CO"/>
        </w:rPr>
        <w:t>estabilidad</w:t>
      </w:r>
      <w:r w:rsidR="00754855">
        <w:rPr>
          <w:rFonts w:ascii="Bookman Old Style" w:eastAsia="MS Mincho" w:hAnsi="Bookman Old Style" w:cs="Arial"/>
          <w:i/>
          <w:iCs/>
          <w:sz w:val="20"/>
          <w:szCs w:val="20"/>
          <w:lang w:val="es-CO"/>
        </w:rPr>
        <w:t>’</w:t>
      </w:r>
      <w:r w:rsidRPr="00572523">
        <w:rPr>
          <w:rFonts w:ascii="Bookman Old Style" w:eastAsia="MS Mincho" w:hAnsi="Bookman Old Style" w:cs="Arial"/>
          <w:i/>
          <w:iCs/>
          <w:sz w:val="20"/>
          <w:szCs w:val="20"/>
          <w:lang w:val="es-CO"/>
        </w:rPr>
        <w:t>.</w:t>
      </w:r>
      <w:r w:rsidR="00FA74FE">
        <w:rPr>
          <w:rFonts w:ascii="Bookman Old Style" w:eastAsia="MS Mincho" w:hAnsi="Bookman Old Style" w:cs="Arial"/>
          <w:i/>
          <w:iCs/>
          <w:sz w:val="20"/>
          <w:szCs w:val="20"/>
          <w:lang w:val="es-CO"/>
        </w:rPr>
        <w:t xml:space="preserve"> (…)</w:t>
      </w:r>
    </w:p>
    <w:p w14:paraId="035B853D" w14:textId="77777777" w:rsidR="002D5950" w:rsidRDefault="002D5950" w:rsidP="00292999">
      <w:pPr>
        <w:ind w:left="567"/>
        <w:contextualSpacing/>
        <w:jc w:val="both"/>
        <w:rPr>
          <w:rFonts w:ascii="Bookman Old Style" w:eastAsia="MS Mincho" w:hAnsi="Bookman Old Style" w:cs="Arial"/>
          <w:i/>
          <w:iCs/>
          <w:sz w:val="20"/>
          <w:szCs w:val="20"/>
          <w:lang w:val="es-CO"/>
        </w:rPr>
      </w:pPr>
    </w:p>
    <w:p w14:paraId="49631603" w14:textId="30A89A78" w:rsidR="00FA74FE" w:rsidRPr="00FA74FE" w:rsidRDefault="00FA74FE" w:rsidP="00292999">
      <w:pPr>
        <w:ind w:left="567"/>
        <w:contextualSpacing/>
        <w:jc w:val="both"/>
        <w:rPr>
          <w:rFonts w:ascii="Bookman Old Style" w:eastAsia="MS Mincho" w:hAnsi="Bookman Old Style" w:cs="Arial"/>
          <w:i/>
          <w:iCs/>
          <w:sz w:val="20"/>
          <w:szCs w:val="20"/>
          <w:lang w:val="es-CO"/>
        </w:rPr>
      </w:pPr>
      <w:r w:rsidRPr="00FA74FE">
        <w:rPr>
          <w:rFonts w:ascii="Bookman Old Style" w:eastAsia="MS Mincho" w:hAnsi="Bookman Old Style" w:cs="Arial"/>
          <w:i/>
          <w:iCs/>
          <w:sz w:val="20"/>
          <w:szCs w:val="20"/>
          <w:lang w:val="es-CO"/>
        </w:rPr>
        <w:t>Con respecto al literal f) GENSA S.A. E.S.P, en su comunicación de radicado CREG</w:t>
      </w:r>
      <w:r w:rsidR="00C71379">
        <w:rPr>
          <w:rFonts w:ascii="Bookman Old Style" w:eastAsia="MS Mincho" w:hAnsi="Bookman Old Style" w:cs="Arial"/>
          <w:i/>
          <w:iCs/>
          <w:sz w:val="20"/>
          <w:szCs w:val="20"/>
          <w:lang w:val="es-CO"/>
        </w:rPr>
        <w:t xml:space="preserve"> </w:t>
      </w:r>
      <w:r w:rsidRPr="00FA74FE">
        <w:rPr>
          <w:rFonts w:ascii="Bookman Old Style" w:eastAsia="MS Mincho" w:hAnsi="Bookman Old Style" w:cs="Arial"/>
          <w:i/>
          <w:iCs/>
          <w:sz w:val="20"/>
          <w:szCs w:val="20"/>
          <w:lang w:val="es-CO"/>
        </w:rPr>
        <w:t>E-2021-007731, responde:</w:t>
      </w:r>
    </w:p>
    <w:p w14:paraId="61A8AA16" w14:textId="77777777" w:rsidR="00C71379" w:rsidRDefault="00C71379" w:rsidP="00FA74FE">
      <w:pPr>
        <w:ind w:left="708"/>
        <w:contextualSpacing/>
        <w:jc w:val="both"/>
        <w:rPr>
          <w:rFonts w:ascii="Bookman Old Style" w:eastAsia="MS Mincho" w:hAnsi="Bookman Old Style" w:cs="Arial"/>
          <w:i/>
          <w:iCs/>
          <w:sz w:val="20"/>
          <w:szCs w:val="20"/>
          <w:lang w:val="es-CO"/>
        </w:rPr>
      </w:pPr>
    </w:p>
    <w:p w14:paraId="50486D36" w14:textId="158DD2AE" w:rsidR="00C71379" w:rsidRDefault="00C71379"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FA74FE" w:rsidRPr="00FA74FE">
        <w:rPr>
          <w:rFonts w:ascii="Bookman Old Style" w:eastAsia="MS Mincho" w:hAnsi="Bookman Old Style" w:cs="Arial"/>
          <w:i/>
          <w:iCs/>
          <w:sz w:val="20"/>
          <w:szCs w:val="20"/>
          <w:lang w:val="es-CO"/>
        </w:rPr>
        <w:t>(…) El artículo 5 de la Resolución CREG 038 de 2018 establece las condiciones mínimas que debe</w:t>
      </w:r>
      <w:r>
        <w:rPr>
          <w:rFonts w:ascii="Bookman Old Style" w:eastAsia="MS Mincho" w:hAnsi="Bookman Old Style" w:cs="Arial"/>
          <w:i/>
          <w:iCs/>
          <w:sz w:val="20"/>
          <w:szCs w:val="20"/>
          <w:lang w:val="es-CO"/>
        </w:rPr>
        <w:t xml:space="preserve"> </w:t>
      </w:r>
      <w:r w:rsidR="00FA74FE" w:rsidRPr="00FA74FE">
        <w:rPr>
          <w:rFonts w:ascii="Bookman Old Style" w:eastAsia="MS Mincho" w:hAnsi="Bookman Old Style" w:cs="Arial"/>
          <w:i/>
          <w:iCs/>
          <w:sz w:val="20"/>
          <w:szCs w:val="20"/>
          <w:lang w:val="es-CO"/>
        </w:rPr>
        <w:t>contener el contrato de conexión entre el distribuidor y un autogenerador o generador distribuido. El</w:t>
      </w:r>
      <w:r>
        <w:rPr>
          <w:rFonts w:ascii="Bookman Old Style" w:eastAsia="MS Mincho" w:hAnsi="Bookman Old Style" w:cs="Arial"/>
          <w:i/>
          <w:iCs/>
          <w:sz w:val="20"/>
          <w:szCs w:val="20"/>
          <w:lang w:val="es-CO"/>
        </w:rPr>
        <w:t xml:space="preserve"> </w:t>
      </w:r>
      <w:r w:rsidR="00FA74FE" w:rsidRPr="00FA74FE">
        <w:rPr>
          <w:rFonts w:ascii="Bookman Old Style" w:eastAsia="MS Mincho" w:hAnsi="Bookman Old Style" w:cs="Arial"/>
          <w:i/>
          <w:iCs/>
          <w:sz w:val="20"/>
          <w:szCs w:val="20"/>
          <w:lang w:val="es-CO"/>
        </w:rPr>
        <w:t>artículo 4 de la misma resolución establece que un Generador distribuido en ZNI es la ‘Persona</w:t>
      </w:r>
      <w:r>
        <w:rPr>
          <w:rFonts w:ascii="Bookman Old Style" w:eastAsia="MS Mincho" w:hAnsi="Bookman Old Style" w:cs="Arial"/>
          <w:i/>
          <w:iCs/>
          <w:sz w:val="20"/>
          <w:szCs w:val="20"/>
          <w:lang w:val="es-CO"/>
        </w:rPr>
        <w:t xml:space="preserve"> </w:t>
      </w:r>
      <w:r w:rsidR="00FA74FE" w:rsidRPr="00FA74FE">
        <w:rPr>
          <w:rFonts w:ascii="Bookman Old Style" w:eastAsia="MS Mincho" w:hAnsi="Bookman Old Style" w:cs="Arial"/>
          <w:i/>
          <w:iCs/>
          <w:sz w:val="20"/>
          <w:szCs w:val="20"/>
          <w:lang w:val="es-CO"/>
        </w:rPr>
        <w:t>jurídica constituida como empresa de servicios públicos, en los términos de la Ley 142 de 1994, que</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 xml:space="preserve">genera energía eléctrica </w:t>
      </w:r>
      <w:r w:rsidRPr="002A1498">
        <w:rPr>
          <w:rFonts w:ascii="Bookman Old Style" w:eastAsia="MS Mincho" w:hAnsi="Bookman Old Style" w:cs="Arial"/>
          <w:i/>
          <w:iCs/>
          <w:sz w:val="20"/>
          <w:szCs w:val="20"/>
          <w:u w:val="single"/>
          <w:lang w:val="es-CO"/>
        </w:rPr>
        <w:t>cerca de los centros de consumo</w:t>
      </w:r>
      <w:r w:rsidRPr="00C71379">
        <w:rPr>
          <w:rFonts w:ascii="Bookman Old Style" w:eastAsia="MS Mincho" w:hAnsi="Bookman Old Style" w:cs="Arial"/>
          <w:i/>
          <w:iCs/>
          <w:sz w:val="20"/>
          <w:szCs w:val="20"/>
          <w:lang w:val="es-CO"/>
        </w:rPr>
        <w:t>, u está conectado al Sistema de</w:t>
      </w:r>
      <w:r w:rsidR="002A1498">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Distribución en las zonas no interconectadas.’ (Subrayado fuera del texto original).</w:t>
      </w:r>
    </w:p>
    <w:p w14:paraId="0B0A3ED3" w14:textId="77777777" w:rsidR="002A1498" w:rsidRPr="00C71379" w:rsidRDefault="002A1498" w:rsidP="00292999">
      <w:pPr>
        <w:ind w:left="851"/>
        <w:contextualSpacing/>
        <w:jc w:val="both"/>
        <w:rPr>
          <w:rFonts w:ascii="Bookman Old Style" w:eastAsia="MS Mincho" w:hAnsi="Bookman Old Style" w:cs="Arial"/>
          <w:i/>
          <w:iCs/>
          <w:sz w:val="20"/>
          <w:szCs w:val="20"/>
          <w:lang w:val="es-CO"/>
        </w:rPr>
      </w:pPr>
    </w:p>
    <w:p w14:paraId="7EBF6746" w14:textId="70FFA64F" w:rsidR="00C71379" w:rsidRPr="00C71379" w:rsidRDefault="00C71379" w:rsidP="00292999">
      <w:pPr>
        <w:ind w:left="851"/>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La Generación de energía eléctrica que realiza GENSA en el Municipio de Mitú no se encuentra</w:t>
      </w:r>
      <w:r w:rsidR="002A1498">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cerca de los centros de consumo, GENSA tampoco realiza actividades de autogeneración. Por lo</w:t>
      </w:r>
      <w:r w:rsidR="00FB2A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anterior, no se estima aplicable el mencionado artículo 5 de la Resolución CREG 038 de 2018,</w:t>
      </w:r>
      <w:r w:rsidR="00FB2A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incluyendo su parágrafo 2º a GENSA.</w:t>
      </w:r>
    </w:p>
    <w:p w14:paraId="6EBCF7A7" w14:textId="77777777" w:rsidR="00FB2A8F" w:rsidRDefault="00FB2A8F" w:rsidP="00292999">
      <w:pPr>
        <w:ind w:left="851"/>
        <w:contextualSpacing/>
        <w:jc w:val="both"/>
        <w:rPr>
          <w:rFonts w:ascii="Bookman Old Style" w:eastAsia="MS Mincho" w:hAnsi="Bookman Old Style" w:cs="Arial"/>
          <w:i/>
          <w:iCs/>
          <w:sz w:val="20"/>
          <w:szCs w:val="20"/>
          <w:lang w:val="es-CO"/>
        </w:rPr>
      </w:pPr>
    </w:p>
    <w:p w14:paraId="012C5D36" w14:textId="7B683E8F" w:rsidR="00C71379" w:rsidRPr="00C71379" w:rsidRDefault="00C71379" w:rsidP="00292999">
      <w:pPr>
        <w:ind w:left="851"/>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Sin perjuicio de lo anterior, nos permitimos adjuntar copia del contrato de venta de energía suscrito</w:t>
      </w:r>
      <w:r w:rsidR="00FB2A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entre GENSA y el comercializador de Mitú, en el cual se especifica el punto de conexión y medición</w:t>
      </w:r>
      <w:r w:rsidR="00FB2A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entre el generador y el distribuidor. (…)</w:t>
      </w:r>
      <w:r w:rsidR="00FB2A8F">
        <w:rPr>
          <w:rFonts w:ascii="Bookman Old Style" w:eastAsia="MS Mincho" w:hAnsi="Bookman Old Style" w:cs="Arial"/>
          <w:i/>
          <w:iCs/>
          <w:sz w:val="20"/>
          <w:szCs w:val="20"/>
          <w:lang w:val="es-CO"/>
        </w:rPr>
        <w:t>’</w:t>
      </w:r>
    </w:p>
    <w:p w14:paraId="4F51616C" w14:textId="77777777" w:rsidR="00C71379" w:rsidRDefault="00C71379" w:rsidP="00C71379">
      <w:pPr>
        <w:ind w:left="708"/>
        <w:contextualSpacing/>
        <w:jc w:val="both"/>
        <w:rPr>
          <w:rFonts w:ascii="Bookman Old Style" w:eastAsia="MS Mincho" w:hAnsi="Bookman Old Style" w:cs="Arial"/>
          <w:i/>
          <w:iCs/>
          <w:sz w:val="20"/>
          <w:szCs w:val="20"/>
          <w:lang w:val="es-CO"/>
        </w:rPr>
      </w:pPr>
    </w:p>
    <w:p w14:paraId="4ED5F9E7" w14:textId="48293321" w:rsidR="00C71379" w:rsidRDefault="00C71379" w:rsidP="00292999">
      <w:pPr>
        <w:ind w:left="567"/>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Sobre lo mencionado por GENSA S.A. E.S.P. en su respuesta, en el caso particular</w:t>
      </w:r>
      <w:r w:rsidR="004234B0">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de la generación de energía eléctrica con la que se atiende el mercado relevante de</w:t>
      </w:r>
      <w:r w:rsidR="004234B0">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Mitú, y tal como se encuentra documentado en el expediente de esta actuación</w:t>
      </w:r>
      <w:r w:rsidR="004234B0">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administrativa, además de encontrarse conectada al respectivo sistema de</w:t>
      </w:r>
      <w:r w:rsidR="004234B0">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distribución, se cuenta con generación diésel y generación de MCH, la primera</w:t>
      </w:r>
      <w:r w:rsidR="004234B0">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ubicada dentro del perímetro urbano de la cabecera municipal de Mitú y la segunda</w:t>
      </w:r>
      <w:r w:rsidR="004234B0">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en la rivera contraria del río Vaupés, a la rivera en donde se encuentra ubicada la</w:t>
      </w:r>
      <w:r w:rsidR="006B0ED3">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comunidad de Santa Cruz.</w:t>
      </w:r>
    </w:p>
    <w:p w14:paraId="32C5B7B5" w14:textId="77777777" w:rsidR="006B0ED3" w:rsidRPr="00C71379" w:rsidRDefault="006B0ED3" w:rsidP="00292999">
      <w:pPr>
        <w:ind w:left="567"/>
        <w:contextualSpacing/>
        <w:jc w:val="both"/>
        <w:rPr>
          <w:rFonts w:ascii="Bookman Old Style" w:eastAsia="MS Mincho" w:hAnsi="Bookman Old Style" w:cs="Arial"/>
          <w:i/>
          <w:iCs/>
          <w:sz w:val="20"/>
          <w:szCs w:val="20"/>
          <w:lang w:val="es-CO"/>
        </w:rPr>
      </w:pPr>
    </w:p>
    <w:p w14:paraId="74D8C802" w14:textId="7A56B95A" w:rsidR="00C71379" w:rsidRDefault="00C71379" w:rsidP="00292999">
      <w:pPr>
        <w:ind w:left="567"/>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En ese sentido, la generación de energía eléctrica con la que se atiende el mercado</w:t>
      </w:r>
      <w:r w:rsidR="006B0ED3">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relevante de Mitú se encuentra ubicada cerca de los centros de consumo. En</w:t>
      </w:r>
      <w:r w:rsidR="006B0ED3">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contraposición a lo que sucede en el Sistema Interconectado Nacional, SIN, en donde</w:t>
      </w:r>
      <w:r w:rsidR="006B0ED3">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la energía generada debe ser transportada hasta los centros de consumo mediante el</w:t>
      </w:r>
      <w:r w:rsidR="006B0ED3">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Sistema de Transmisión Nacional, STN, los Sistemas de Transmisión Regional, STR,</w:t>
      </w:r>
      <w:r w:rsidR="006B0ED3">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y, posteriormente, los Sistemas de Distribución Local, SDL.</w:t>
      </w:r>
    </w:p>
    <w:p w14:paraId="336AA021" w14:textId="77777777" w:rsidR="00DF538F" w:rsidRPr="00C71379" w:rsidRDefault="00DF538F" w:rsidP="00292999">
      <w:pPr>
        <w:ind w:left="567"/>
        <w:contextualSpacing/>
        <w:jc w:val="both"/>
        <w:rPr>
          <w:rFonts w:ascii="Bookman Old Style" w:eastAsia="MS Mincho" w:hAnsi="Bookman Old Style" w:cs="Arial"/>
          <w:i/>
          <w:iCs/>
          <w:sz w:val="20"/>
          <w:szCs w:val="20"/>
          <w:lang w:val="es-CO"/>
        </w:rPr>
      </w:pPr>
    </w:p>
    <w:p w14:paraId="55A08DEA" w14:textId="3F54C2EE" w:rsidR="002D5950" w:rsidRDefault="00C71379" w:rsidP="00292999">
      <w:pPr>
        <w:ind w:left="567"/>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No obstante, debe tenerse en cuenta que la CREG se pronunció respecto de la</w:t>
      </w:r>
      <w:r w:rsidR="00DF53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generación de energía eléctrica en las ZNI, indicando que toda la generación en ZNI</w:t>
      </w:r>
      <w:r w:rsidR="00DF53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se entiendo como generación distribuida. En la parte considerativa de la Resolución</w:t>
      </w:r>
      <w:r w:rsidR="00DF538F">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CREG 038 de 2018, se señaló:</w:t>
      </w:r>
    </w:p>
    <w:p w14:paraId="177384ED" w14:textId="77777777" w:rsidR="002D5950" w:rsidRDefault="002D5950" w:rsidP="00A93D7D">
      <w:pPr>
        <w:ind w:left="708"/>
        <w:contextualSpacing/>
        <w:jc w:val="both"/>
        <w:rPr>
          <w:rFonts w:ascii="Bookman Old Style" w:eastAsia="MS Mincho" w:hAnsi="Bookman Old Style" w:cs="Arial"/>
          <w:i/>
          <w:iCs/>
          <w:sz w:val="20"/>
          <w:szCs w:val="20"/>
          <w:lang w:val="es-CO"/>
        </w:rPr>
      </w:pPr>
    </w:p>
    <w:p w14:paraId="6D536809" w14:textId="56BEA9F4" w:rsidR="004234B0" w:rsidRPr="004234B0" w:rsidRDefault="00C21C6D"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4234B0" w:rsidRPr="004234B0">
        <w:rPr>
          <w:rFonts w:ascii="Bookman Old Style" w:eastAsia="MS Mincho" w:hAnsi="Bookman Old Style" w:cs="Arial"/>
          <w:i/>
          <w:iCs/>
          <w:sz w:val="20"/>
          <w:szCs w:val="20"/>
          <w:lang w:val="es-CO"/>
        </w:rPr>
        <w:t xml:space="preserve">(…) Teniendo en cuenta que la </w:t>
      </w:r>
      <w:r w:rsidR="004234B0" w:rsidRPr="003E6534">
        <w:rPr>
          <w:rFonts w:ascii="Bookman Old Style" w:eastAsia="MS Mincho" w:hAnsi="Bookman Old Style" w:cs="Arial"/>
          <w:b/>
          <w:bCs/>
          <w:i/>
          <w:iCs/>
          <w:sz w:val="20"/>
          <w:szCs w:val="20"/>
          <w:u w:val="single"/>
          <w:lang w:val="es-CO"/>
        </w:rPr>
        <w:t>generación es una actividad complementaria del servicio</w:t>
      </w:r>
      <w:r w:rsidR="006D6800" w:rsidRPr="003E6534">
        <w:rPr>
          <w:rFonts w:ascii="Bookman Old Style" w:eastAsia="MS Mincho" w:hAnsi="Bookman Old Style" w:cs="Arial"/>
          <w:b/>
          <w:bCs/>
          <w:i/>
          <w:iCs/>
          <w:sz w:val="20"/>
          <w:szCs w:val="20"/>
          <w:u w:val="single"/>
          <w:lang w:val="es-CO"/>
        </w:rPr>
        <w:t xml:space="preserve"> </w:t>
      </w:r>
      <w:r w:rsidR="004234B0" w:rsidRPr="003E6534">
        <w:rPr>
          <w:rFonts w:ascii="Bookman Old Style" w:eastAsia="MS Mincho" w:hAnsi="Bookman Old Style" w:cs="Arial"/>
          <w:b/>
          <w:bCs/>
          <w:i/>
          <w:iCs/>
          <w:sz w:val="20"/>
          <w:szCs w:val="20"/>
          <w:u w:val="single"/>
          <w:lang w:val="es-CO"/>
        </w:rPr>
        <w:t>público domiciliario de energía eléctrica y que en las zonas no interconectadas, ZNI, la</w:t>
      </w:r>
      <w:r w:rsidR="002E22B1" w:rsidRPr="003E6534">
        <w:rPr>
          <w:rFonts w:ascii="Bookman Old Style" w:eastAsia="MS Mincho" w:hAnsi="Bookman Old Style" w:cs="Arial"/>
          <w:b/>
          <w:bCs/>
          <w:i/>
          <w:iCs/>
          <w:sz w:val="20"/>
          <w:szCs w:val="20"/>
          <w:u w:val="single"/>
          <w:lang w:val="es-CO"/>
        </w:rPr>
        <w:t xml:space="preserve"> </w:t>
      </w:r>
      <w:r w:rsidR="004234B0" w:rsidRPr="003E6534">
        <w:rPr>
          <w:rFonts w:ascii="Bookman Old Style" w:eastAsia="MS Mincho" w:hAnsi="Bookman Old Style" w:cs="Arial"/>
          <w:b/>
          <w:bCs/>
          <w:i/>
          <w:iCs/>
          <w:sz w:val="20"/>
          <w:szCs w:val="20"/>
          <w:u w:val="single"/>
          <w:lang w:val="es-CO"/>
        </w:rPr>
        <w:t>producción de energía eléctrica se realiza cerca de los centros de consumo, encuentra esta</w:t>
      </w:r>
      <w:r w:rsidR="003E6534">
        <w:rPr>
          <w:rFonts w:ascii="Bookman Old Style" w:eastAsia="MS Mincho" w:hAnsi="Bookman Old Style" w:cs="Arial"/>
          <w:b/>
          <w:bCs/>
          <w:i/>
          <w:iCs/>
          <w:sz w:val="20"/>
          <w:szCs w:val="20"/>
          <w:u w:val="single"/>
          <w:lang w:val="es-CO"/>
        </w:rPr>
        <w:t xml:space="preserve"> </w:t>
      </w:r>
      <w:r w:rsidR="004234B0" w:rsidRPr="003E6534">
        <w:rPr>
          <w:rFonts w:ascii="Bookman Old Style" w:eastAsia="MS Mincho" w:hAnsi="Bookman Old Style" w:cs="Arial"/>
          <w:b/>
          <w:bCs/>
          <w:i/>
          <w:iCs/>
          <w:sz w:val="20"/>
          <w:szCs w:val="20"/>
          <w:u w:val="single"/>
          <w:lang w:val="es-CO"/>
        </w:rPr>
        <w:t>Comisión que la regulación vigente, establecida en la Resolución CREG 091 de 2007 o aquella</w:t>
      </w:r>
      <w:r w:rsidR="002E22B1" w:rsidRPr="003E6534">
        <w:rPr>
          <w:rFonts w:ascii="Bookman Old Style" w:eastAsia="MS Mincho" w:hAnsi="Bookman Old Style" w:cs="Arial"/>
          <w:b/>
          <w:bCs/>
          <w:i/>
          <w:iCs/>
          <w:sz w:val="20"/>
          <w:szCs w:val="20"/>
          <w:u w:val="single"/>
          <w:lang w:val="es-CO"/>
        </w:rPr>
        <w:t xml:space="preserve"> </w:t>
      </w:r>
      <w:r w:rsidR="004234B0" w:rsidRPr="003E6534">
        <w:rPr>
          <w:rFonts w:ascii="Bookman Old Style" w:eastAsia="MS Mincho" w:hAnsi="Bookman Old Style" w:cs="Arial"/>
          <w:b/>
          <w:bCs/>
          <w:i/>
          <w:iCs/>
          <w:sz w:val="20"/>
          <w:szCs w:val="20"/>
          <w:u w:val="single"/>
          <w:lang w:val="es-CO"/>
        </w:rPr>
        <w:t>que la modifique o sustituya, contempla el mecanismo de remuneración para la actividad de</w:t>
      </w:r>
      <w:r w:rsidR="002E22B1" w:rsidRPr="003E6534">
        <w:rPr>
          <w:rFonts w:ascii="Bookman Old Style" w:eastAsia="MS Mincho" w:hAnsi="Bookman Old Style" w:cs="Arial"/>
          <w:b/>
          <w:bCs/>
          <w:i/>
          <w:iCs/>
          <w:sz w:val="20"/>
          <w:szCs w:val="20"/>
          <w:u w:val="single"/>
          <w:lang w:val="es-CO"/>
        </w:rPr>
        <w:t xml:space="preserve"> </w:t>
      </w:r>
      <w:r w:rsidR="004234B0" w:rsidRPr="003E6534">
        <w:rPr>
          <w:rFonts w:ascii="Bookman Old Style" w:eastAsia="MS Mincho" w:hAnsi="Bookman Old Style" w:cs="Arial"/>
          <w:b/>
          <w:bCs/>
          <w:i/>
          <w:iCs/>
          <w:sz w:val="20"/>
          <w:szCs w:val="20"/>
          <w:u w:val="single"/>
          <w:lang w:val="es-CO"/>
        </w:rPr>
        <w:t>generación distribuida</w:t>
      </w:r>
      <w:r w:rsidR="004234B0" w:rsidRPr="003E6534">
        <w:rPr>
          <w:rFonts w:ascii="Bookman Old Style" w:eastAsia="MS Mincho" w:hAnsi="Bookman Old Style" w:cs="Arial"/>
          <w:b/>
          <w:bCs/>
          <w:i/>
          <w:iCs/>
          <w:sz w:val="20"/>
          <w:szCs w:val="20"/>
          <w:lang w:val="es-CO"/>
        </w:rPr>
        <w:t xml:space="preserve"> </w:t>
      </w:r>
      <w:r w:rsidR="004234B0" w:rsidRPr="004234B0">
        <w:rPr>
          <w:rFonts w:ascii="Bookman Old Style" w:eastAsia="MS Mincho" w:hAnsi="Bookman Old Style" w:cs="Arial"/>
          <w:i/>
          <w:iCs/>
          <w:sz w:val="20"/>
          <w:szCs w:val="20"/>
          <w:lang w:val="es-CO"/>
        </w:rPr>
        <w:t>mediante la definición de un cargo máximo que resulta aplicable a los</w:t>
      </w:r>
      <w:r w:rsidR="002E22B1">
        <w:rPr>
          <w:rFonts w:ascii="Bookman Old Style" w:eastAsia="MS Mincho" w:hAnsi="Bookman Old Style" w:cs="Arial"/>
          <w:i/>
          <w:iCs/>
          <w:sz w:val="20"/>
          <w:szCs w:val="20"/>
          <w:lang w:val="es-CO"/>
        </w:rPr>
        <w:t xml:space="preserve"> </w:t>
      </w:r>
      <w:r w:rsidR="004234B0" w:rsidRPr="004234B0">
        <w:rPr>
          <w:rFonts w:ascii="Bookman Old Style" w:eastAsia="MS Mincho" w:hAnsi="Bookman Old Style" w:cs="Arial"/>
          <w:i/>
          <w:iCs/>
          <w:sz w:val="20"/>
          <w:szCs w:val="20"/>
          <w:lang w:val="es-CO"/>
        </w:rPr>
        <w:t>generadores distribuidos, nuevos o existentes, que se conecten a dichos sistemas de distribución.</w:t>
      </w:r>
    </w:p>
    <w:p w14:paraId="4D51F0D0" w14:textId="77777777" w:rsidR="002E22B1" w:rsidRDefault="002E22B1" w:rsidP="00292999">
      <w:pPr>
        <w:ind w:left="851"/>
        <w:contextualSpacing/>
        <w:jc w:val="both"/>
        <w:rPr>
          <w:rFonts w:ascii="Bookman Old Style" w:eastAsia="MS Mincho" w:hAnsi="Bookman Old Style" w:cs="Arial"/>
          <w:i/>
          <w:iCs/>
          <w:sz w:val="20"/>
          <w:szCs w:val="20"/>
          <w:lang w:val="es-CO"/>
        </w:rPr>
      </w:pPr>
    </w:p>
    <w:p w14:paraId="65A57BE6" w14:textId="30853AC5" w:rsidR="00D73F8C" w:rsidRDefault="004234B0" w:rsidP="00292999">
      <w:pPr>
        <w:ind w:left="851"/>
        <w:contextualSpacing/>
        <w:jc w:val="both"/>
        <w:rPr>
          <w:rFonts w:ascii="Bookman Old Style" w:eastAsia="MS Mincho" w:hAnsi="Bookman Old Style" w:cs="Arial"/>
          <w:i/>
          <w:iCs/>
          <w:sz w:val="20"/>
          <w:szCs w:val="20"/>
          <w:lang w:val="es-CO"/>
        </w:rPr>
      </w:pPr>
      <w:r w:rsidRPr="004234B0">
        <w:rPr>
          <w:rFonts w:ascii="Bookman Old Style" w:eastAsia="MS Mincho" w:hAnsi="Bookman Old Style" w:cs="Arial"/>
          <w:i/>
          <w:iCs/>
          <w:sz w:val="20"/>
          <w:szCs w:val="20"/>
          <w:lang w:val="es-CO"/>
        </w:rPr>
        <w:t>Así mismo, respecto a la venta de energía por parte de generadores distribuidos, la precitada Ley</w:t>
      </w:r>
      <w:r w:rsidR="003E6534">
        <w:rPr>
          <w:rFonts w:ascii="Bookman Old Style" w:eastAsia="MS Mincho" w:hAnsi="Bookman Old Style" w:cs="Arial"/>
          <w:i/>
          <w:iCs/>
          <w:sz w:val="20"/>
          <w:szCs w:val="20"/>
          <w:lang w:val="es-CO"/>
        </w:rPr>
        <w:t xml:space="preserve"> </w:t>
      </w:r>
      <w:r w:rsidRPr="004234B0">
        <w:rPr>
          <w:rFonts w:ascii="Bookman Old Style" w:eastAsia="MS Mincho" w:hAnsi="Bookman Old Style" w:cs="Arial"/>
          <w:i/>
          <w:iCs/>
          <w:sz w:val="20"/>
          <w:szCs w:val="20"/>
          <w:lang w:val="es-CO"/>
        </w:rPr>
        <w:t>establece que ‘la energía generada por generadores distribuidos se remunerará teniendo en cuenta</w:t>
      </w:r>
      <w:r w:rsidR="008A1522">
        <w:rPr>
          <w:rFonts w:ascii="Bookman Old Style" w:eastAsia="MS Mincho" w:hAnsi="Bookman Old Style" w:cs="Arial"/>
          <w:i/>
          <w:iCs/>
          <w:sz w:val="20"/>
          <w:szCs w:val="20"/>
          <w:lang w:val="es-CO"/>
        </w:rPr>
        <w:t xml:space="preserve"> </w:t>
      </w:r>
      <w:r w:rsidRPr="004234B0">
        <w:rPr>
          <w:rFonts w:ascii="Bookman Old Style" w:eastAsia="MS Mincho" w:hAnsi="Bookman Old Style" w:cs="Arial"/>
          <w:i/>
          <w:iCs/>
          <w:sz w:val="20"/>
          <w:szCs w:val="20"/>
          <w:lang w:val="es-CO"/>
        </w:rPr>
        <w:t>los beneficios que esta trae al sistema de distribución donde se conecta, entre los que se pueden</w:t>
      </w:r>
      <w:r w:rsidR="00D73F8C">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mencionar las pérdidas evitadas, la vida útil de los activos de distribución, el soporte de energía</w:t>
      </w:r>
      <w:r w:rsidR="008A1522">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reactiva, etc., según la regulación que expida la CREG para tal fin, conforme a los principios</w:t>
      </w:r>
      <w:r w:rsidR="008A1522">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establecidos en las leyes 142 y 143 de 1994 y los lineamientos de política energética expedidos por</w:t>
      </w:r>
      <w:r w:rsidR="008A1522">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el Ministerio de Minas y Energía para el mismo’.</w:t>
      </w:r>
    </w:p>
    <w:p w14:paraId="7D273E89" w14:textId="77777777" w:rsidR="008A1522" w:rsidRPr="00D73F8C" w:rsidRDefault="008A1522" w:rsidP="00292999">
      <w:pPr>
        <w:ind w:left="851"/>
        <w:contextualSpacing/>
        <w:jc w:val="both"/>
        <w:rPr>
          <w:rFonts w:ascii="Bookman Old Style" w:eastAsia="MS Mincho" w:hAnsi="Bookman Old Style" w:cs="Arial"/>
          <w:i/>
          <w:iCs/>
          <w:sz w:val="20"/>
          <w:szCs w:val="20"/>
          <w:lang w:val="es-CO"/>
        </w:rPr>
      </w:pPr>
    </w:p>
    <w:p w14:paraId="3D049A5E" w14:textId="3537C585" w:rsidR="00D73F8C" w:rsidRPr="00D73F8C" w:rsidRDefault="00D73F8C" w:rsidP="00292999">
      <w:pPr>
        <w:ind w:left="851"/>
        <w:contextualSpacing/>
        <w:jc w:val="both"/>
        <w:rPr>
          <w:rFonts w:ascii="Bookman Old Style" w:eastAsia="MS Mincho" w:hAnsi="Bookman Old Style" w:cs="Arial"/>
          <w:i/>
          <w:iCs/>
          <w:sz w:val="20"/>
          <w:szCs w:val="20"/>
          <w:lang w:val="es-CO"/>
        </w:rPr>
      </w:pPr>
      <w:r w:rsidRPr="008A1522">
        <w:rPr>
          <w:rFonts w:ascii="Bookman Old Style" w:eastAsia="MS Mincho" w:hAnsi="Bookman Old Style" w:cs="Arial"/>
          <w:b/>
          <w:bCs/>
          <w:i/>
          <w:iCs/>
          <w:sz w:val="20"/>
          <w:szCs w:val="20"/>
          <w:u w:val="single"/>
          <w:lang w:val="es-CO"/>
        </w:rPr>
        <w:t>Toda vez que en las ZNI la actividad de generación se lleva a cabo en los mismos términos</w:t>
      </w:r>
      <w:r w:rsidR="008A1522">
        <w:rPr>
          <w:rFonts w:ascii="Bookman Old Style" w:eastAsia="MS Mincho" w:hAnsi="Bookman Old Style" w:cs="Arial"/>
          <w:b/>
          <w:bCs/>
          <w:i/>
          <w:iCs/>
          <w:sz w:val="20"/>
          <w:szCs w:val="20"/>
          <w:u w:val="single"/>
          <w:lang w:val="es-CO"/>
        </w:rPr>
        <w:t xml:space="preserve"> </w:t>
      </w:r>
      <w:r w:rsidRPr="008A1522">
        <w:rPr>
          <w:rFonts w:ascii="Bookman Old Style" w:eastAsia="MS Mincho" w:hAnsi="Bookman Old Style" w:cs="Arial"/>
          <w:b/>
          <w:bCs/>
          <w:i/>
          <w:iCs/>
          <w:sz w:val="20"/>
          <w:szCs w:val="20"/>
          <w:u w:val="single"/>
          <w:lang w:val="es-CO"/>
        </w:rPr>
        <w:t>descritos en la definición de generación distribuida contenida en la Ley 1715 de 2014</w:t>
      </w:r>
      <w:r w:rsidRPr="00D73F8C">
        <w:rPr>
          <w:rFonts w:ascii="Bookman Old Style" w:eastAsia="MS Mincho" w:hAnsi="Bookman Old Style" w:cs="Arial"/>
          <w:i/>
          <w:iCs/>
          <w:sz w:val="20"/>
          <w:szCs w:val="20"/>
          <w:lang w:val="es-CO"/>
        </w:rPr>
        <w:t>, no se</w:t>
      </w:r>
      <w:r w:rsidR="008A1522">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evidencia que la conexión de nuevos generadores a los sistemas de distribución tenga como</w:t>
      </w:r>
      <w:r w:rsidR="00C21C6D">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consecuencia los beneficios a los que se hace referencia en el literal c) del artículo 8 de la precitada</w:t>
      </w:r>
      <w:r w:rsidR="00C21C6D">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ley. Por consiguiente, no se hace necesario modificar la metodología vigente para remunerar la</w:t>
      </w:r>
      <w:r w:rsidR="00C21C6D">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actividad de generación en las ZNI. (…)</w:t>
      </w:r>
      <w:r w:rsidR="00C21C6D">
        <w:rPr>
          <w:rFonts w:ascii="Bookman Old Style" w:eastAsia="MS Mincho" w:hAnsi="Bookman Old Style" w:cs="Arial"/>
          <w:i/>
          <w:iCs/>
          <w:sz w:val="20"/>
          <w:szCs w:val="20"/>
          <w:lang w:val="es-CO"/>
        </w:rPr>
        <w:t>’</w:t>
      </w:r>
      <w:r w:rsidRPr="00D73F8C">
        <w:rPr>
          <w:rFonts w:ascii="Bookman Old Style" w:eastAsia="MS Mincho" w:hAnsi="Bookman Old Style" w:cs="Arial"/>
          <w:i/>
          <w:iCs/>
          <w:sz w:val="20"/>
          <w:szCs w:val="20"/>
          <w:lang w:val="es-CO"/>
        </w:rPr>
        <w:t xml:space="preserve"> Resaltado y subrayado fuera de texto</w:t>
      </w:r>
    </w:p>
    <w:p w14:paraId="2D48BACD" w14:textId="77777777" w:rsidR="00D73F8C" w:rsidRDefault="00D73F8C" w:rsidP="00D73F8C">
      <w:pPr>
        <w:ind w:left="708"/>
        <w:contextualSpacing/>
        <w:jc w:val="both"/>
        <w:rPr>
          <w:rFonts w:ascii="Bookman Old Style" w:eastAsia="MS Mincho" w:hAnsi="Bookman Old Style" w:cs="Arial"/>
          <w:i/>
          <w:iCs/>
          <w:sz w:val="20"/>
          <w:szCs w:val="20"/>
          <w:lang w:val="es-CO"/>
        </w:rPr>
      </w:pPr>
    </w:p>
    <w:p w14:paraId="74A2CE47" w14:textId="191DF4E5" w:rsidR="00D73F8C" w:rsidRPr="00D73F8C" w:rsidRDefault="00D73F8C" w:rsidP="00292999">
      <w:pPr>
        <w:ind w:left="567"/>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Y en el artículo 19 de la precitada resolución, la Comisión señaló:</w:t>
      </w:r>
    </w:p>
    <w:p w14:paraId="758C53AC" w14:textId="77777777" w:rsidR="00D73F8C" w:rsidRDefault="00D73F8C" w:rsidP="00D73F8C">
      <w:pPr>
        <w:ind w:left="708"/>
        <w:contextualSpacing/>
        <w:jc w:val="both"/>
        <w:rPr>
          <w:rFonts w:ascii="Bookman Old Style" w:eastAsia="MS Mincho" w:hAnsi="Bookman Old Style" w:cs="Arial"/>
          <w:i/>
          <w:iCs/>
          <w:sz w:val="20"/>
          <w:szCs w:val="20"/>
          <w:lang w:val="es-CO"/>
        </w:rPr>
      </w:pPr>
    </w:p>
    <w:p w14:paraId="1A0CC816" w14:textId="12BEE6DB" w:rsidR="00D73F8C" w:rsidRPr="00D73F8C" w:rsidRDefault="006833F6"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D73F8C" w:rsidRPr="00D73F8C">
        <w:rPr>
          <w:rFonts w:ascii="Bookman Old Style" w:eastAsia="MS Mincho" w:hAnsi="Bookman Old Style" w:cs="Arial"/>
          <w:i/>
          <w:iCs/>
          <w:sz w:val="20"/>
          <w:szCs w:val="20"/>
          <w:lang w:val="es-CO"/>
        </w:rPr>
        <w:t>(…) Artículo 19. Generación distribuida en ZNI. La regulación de la actividad de generación</w:t>
      </w:r>
      <w:r>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distribuida en las zonas no interconectadas se encuentra contenida en la Resolución CREG 091 de</w:t>
      </w:r>
      <w:r>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2007 o aquellas que la modifiquen, adicionen o sustituyan. (…)</w:t>
      </w:r>
      <w:r>
        <w:rPr>
          <w:rFonts w:ascii="Bookman Old Style" w:eastAsia="MS Mincho" w:hAnsi="Bookman Old Style" w:cs="Arial"/>
          <w:i/>
          <w:iCs/>
          <w:sz w:val="20"/>
          <w:szCs w:val="20"/>
          <w:lang w:val="es-CO"/>
        </w:rPr>
        <w:t>’</w:t>
      </w:r>
    </w:p>
    <w:p w14:paraId="51A0C1D1" w14:textId="77777777" w:rsidR="006833F6" w:rsidRDefault="006833F6" w:rsidP="00D73F8C">
      <w:pPr>
        <w:ind w:left="708"/>
        <w:contextualSpacing/>
        <w:jc w:val="both"/>
        <w:rPr>
          <w:rFonts w:ascii="Bookman Old Style" w:eastAsia="MS Mincho" w:hAnsi="Bookman Old Style" w:cs="Arial"/>
          <w:i/>
          <w:iCs/>
          <w:sz w:val="20"/>
          <w:szCs w:val="20"/>
          <w:lang w:val="es-CO"/>
        </w:rPr>
      </w:pPr>
    </w:p>
    <w:p w14:paraId="5CA5ECA1" w14:textId="312B50C2" w:rsidR="00D73F8C" w:rsidRPr="00D73F8C" w:rsidRDefault="00D73F8C" w:rsidP="00292999">
      <w:pPr>
        <w:ind w:left="567"/>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Adicionalmente, en el Documento CREG 034 de 2018, que acompaña la Resolución</w:t>
      </w:r>
      <w:r w:rsidR="00EC4BC7">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CREG 038 de 2018, en el numeral 4, y en respuesta a comentario presentado por</w:t>
      </w:r>
      <w:r w:rsidR="00C534BE">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ASOCODIS, se señaló:</w:t>
      </w:r>
    </w:p>
    <w:p w14:paraId="76D81ED3" w14:textId="77777777" w:rsidR="00C534BE" w:rsidRDefault="00C534BE" w:rsidP="00D73F8C">
      <w:pPr>
        <w:ind w:left="708"/>
        <w:contextualSpacing/>
        <w:jc w:val="both"/>
        <w:rPr>
          <w:rFonts w:ascii="Bookman Old Style" w:eastAsia="MS Mincho" w:hAnsi="Bookman Old Style" w:cs="Arial"/>
          <w:i/>
          <w:iCs/>
          <w:sz w:val="20"/>
          <w:szCs w:val="20"/>
          <w:lang w:val="es-CO"/>
        </w:rPr>
      </w:pPr>
    </w:p>
    <w:p w14:paraId="48936A41" w14:textId="0A4B48B3" w:rsidR="00D73F8C" w:rsidRPr="00D73F8C" w:rsidRDefault="00A4131F"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D73F8C" w:rsidRPr="00D73F8C">
        <w:rPr>
          <w:rFonts w:ascii="Bookman Old Style" w:eastAsia="MS Mincho" w:hAnsi="Bookman Old Style" w:cs="Arial"/>
          <w:i/>
          <w:iCs/>
          <w:sz w:val="20"/>
          <w:szCs w:val="20"/>
          <w:lang w:val="es-CO"/>
        </w:rPr>
        <w:t>(…) A continuación, se presentan los aspectos principales contenidos en la resolución, una vez</w:t>
      </w:r>
      <w:r>
        <w:rPr>
          <w:rFonts w:ascii="Bookman Old Style" w:eastAsia="MS Mincho" w:hAnsi="Bookman Old Style" w:cs="Arial"/>
          <w:i/>
          <w:iCs/>
          <w:sz w:val="20"/>
          <w:szCs w:val="20"/>
          <w:lang w:val="es-CO"/>
        </w:rPr>
        <w:t xml:space="preserve"> </w:t>
      </w:r>
      <w:r w:rsidR="00D73F8C" w:rsidRPr="00D73F8C">
        <w:rPr>
          <w:rFonts w:ascii="Bookman Old Style" w:eastAsia="MS Mincho" w:hAnsi="Bookman Old Style" w:cs="Arial"/>
          <w:i/>
          <w:iCs/>
          <w:sz w:val="20"/>
          <w:szCs w:val="20"/>
          <w:lang w:val="es-CO"/>
        </w:rPr>
        <w:t>surtido el trámite de consulta pública: (…)</w:t>
      </w:r>
    </w:p>
    <w:p w14:paraId="3281170A" w14:textId="59C0CED6" w:rsidR="00D73F8C" w:rsidRPr="00D73F8C" w:rsidRDefault="00D73F8C" w:rsidP="00292999">
      <w:pPr>
        <w:ind w:left="851"/>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 La regulación de la actividad de generación distribuida se encuentra contenida en la Resolución</w:t>
      </w:r>
      <w:r w:rsidR="00A4131F">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CREG 091 de 2007 o aquellas que la modifiquen, adicionen o sustituyan. (…)</w:t>
      </w:r>
      <w:r w:rsidR="00A4131F">
        <w:rPr>
          <w:rFonts w:ascii="Bookman Old Style" w:eastAsia="MS Mincho" w:hAnsi="Bookman Old Style" w:cs="Arial"/>
          <w:i/>
          <w:iCs/>
          <w:sz w:val="20"/>
          <w:szCs w:val="20"/>
          <w:lang w:val="es-CO"/>
        </w:rPr>
        <w:t>’</w:t>
      </w:r>
    </w:p>
    <w:p w14:paraId="2B9CB6F6" w14:textId="77777777" w:rsidR="00A4131F" w:rsidRDefault="00A4131F" w:rsidP="00292999">
      <w:pPr>
        <w:ind w:left="851"/>
        <w:contextualSpacing/>
        <w:jc w:val="both"/>
        <w:rPr>
          <w:rFonts w:ascii="Bookman Old Style" w:eastAsia="MS Mincho" w:hAnsi="Bookman Old Style" w:cs="Arial"/>
          <w:i/>
          <w:iCs/>
          <w:sz w:val="20"/>
          <w:szCs w:val="20"/>
          <w:lang w:val="es-CO"/>
        </w:rPr>
      </w:pPr>
    </w:p>
    <w:p w14:paraId="1D5DACFB" w14:textId="54CBDAFB" w:rsidR="00D73F8C" w:rsidRPr="00D73F8C" w:rsidRDefault="00D73F8C" w:rsidP="00292999">
      <w:pPr>
        <w:ind w:left="851"/>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1.1 ASOCODIS</w:t>
      </w:r>
    </w:p>
    <w:p w14:paraId="1541A040" w14:textId="77777777" w:rsidR="00A4131F" w:rsidRDefault="00A4131F" w:rsidP="00292999">
      <w:pPr>
        <w:ind w:left="851"/>
        <w:contextualSpacing/>
        <w:jc w:val="both"/>
        <w:rPr>
          <w:rFonts w:ascii="Bookman Old Style" w:eastAsia="MS Mincho" w:hAnsi="Bookman Old Style" w:cs="Arial"/>
          <w:i/>
          <w:iCs/>
          <w:sz w:val="20"/>
          <w:szCs w:val="20"/>
          <w:lang w:val="es-CO"/>
        </w:rPr>
      </w:pPr>
    </w:p>
    <w:p w14:paraId="2DC1E490" w14:textId="3623C4CC" w:rsidR="00D73F8C" w:rsidRPr="00D73F8C" w:rsidRDefault="00D73F8C" w:rsidP="00292999">
      <w:pPr>
        <w:ind w:left="851"/>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Comentario 1.</w:t>
      </w:r>
    </w:p>
    <w:p w14:paraId="47D8313B" w14:textId="77777777" w:rsidR="00A4131F" w:rsidRDefault="00A4131F" w:rsidP="00A4131F">
      <w:pPr>
        <w:ind w:left="993"/>
        <w:contextualSpacing/>
        <w:jc w:val="both"/>
        <w:rPr>
          <w:rFonts w:ascii="Bookman Old Style" w:eastAsia="MS Mincho" w:hAnsi="Bookman Old Style" w:cs="Arial"/>
          <w:i/>
          <w:iCs/>
          <w:sz w:val="20"/>
          <w:szCs w:val="20"/>
          <w:lang w:val="es-CO"/>
        </w:rPr>
      </w:pPr>
    </w:p>
    <w:p w14:paraId="2600B280" w14:textId="73041016" w:rsidR="00D73F8C" w:rsidRPr="00D73F8C" w:rsidRDefault="00D73F8C" w:rsidP="00292999">
      <w:pPr>
        <w:ind w:left="1134"/>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 Sugerimos aclarar cómo se relaciona lo propuesto en la Resolución CREG 01/18 sobre</w:t>
      </w:r>
      <w:r w:rsidR="00C63E62">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Generador Distribuido y Autogenerador a Pequeña y Gran Escala, respecto al mecanismo</w:t>
      </w:r>
      <w:r w:rsidR="009F32A3">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vigente de remuneración de la actividad de generación en ZNI (Resolución GREG 091/07),</w:t>
      </w:r>
      <w:r w:rsidR="009F32A3">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teniendo en cuenta que la regulación aplicable en ZNI prevé la conexión de ‘..un generador, o un</w:t>
      </w:r>
      <w:r w:rsidR="009F32A3">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usuario, a un Sistema de Distribución’ . Sugerimos aclarar si no se considera este mecanismo</w:t>
      </w:r>
      <w:r w:rsidR="009F32A3">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previsto en la Resolución CREG 091/07, aplicable en las ZNI, un esquema de generación</w:t>
      </w:r>
      <w:r w:rsidR="009F32A3">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distribuida. En este sentido, es apropiado que se precise cuál es el objetivo que se persigue con</w:t>
      </w:r>
      <w:r w:rsidR="009F32A3">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la propuesta regulatoria planteada para comentarios. (…)’</w:t>
      </w:r>
    </w:p>
    <w:p w14:paraId="6CDC2C10" w14:textId="77777777" w:rsidR="00C63E62" w:rsidRDefault="00C63E62" w:rsidP="00A4131F">
      <w:pPr>
        <w:ind w:left="993"/>
        <w:contextualSpacing/>
        <w:jc w:val="both"/>
        <w:rPr>
          <w:rFonts w:ascii="Bookman Old Style" w:eastAsia="MS Mincho" w:hAnsi="Bookman Old Style" w:cs="Arial"/>
          <w:i/>
          <w:iCs/>
          <w:sz w:val="20"/>
          <w:szCs w:val="20"/>
          <w:lang w:val="es-CO"/>
        </w:rPr>
      </w:pPr>
    </w:p>
    <w:p w14:paraId="03CCA322" w14:textId="5DFA780B" w:rsidR="00D73F8C" w:rsidRPr="00D73F8C" w:rsidRDefault="00D73F8C" w:rsidP="00292999">
      <w:pPr>
        <w:ind w:left="851"/>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Respuesta 1.</w:t>
      </w:r>
    </w:p>
    <w:p w14:paraId="1129F061" w14:textId="77777777" w:rsidR="00C63E62" w:rsidRDefault="00C63E62" w:rsidP="00A4131F">
      <w:pPr>
        <w:ind w:left="993"/>
        <w:contextualSpacing/>
        <w:jc w:val="both"/>
        <w:rPr>
          <w:rFonts w:ascii="Bookman Old Style" w:eastAsia="MS Mincho" w:hAnsi="Bookman Old Style" w:cs="Arial"/>
          <w:i/>
          <w:iCs/>
          <w:sz w:val="20"/>
          <w:szCs w:val="20"/>
          <w:lang w:val="es-CO"/>
        </w:rPr>
      </w:pPr>
    </w:p>
    <w:p w14:paraId="42C92D6A" w14:textId="47A629DA" w:rsidR="00C534BE" w:rsidRDefault="00D73F8C" w:rsidP="00292999">
      <w:pPr>
        <w:ind w:left="1134"/>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El objetivo de la propuesta presentada, tal y como se menciona en el numeral 3 del documento</w:t>
      </w:r>
      <w:r w:rsidR="004B31BA">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soporte CREG D-001-2018, es ‘incrementar la oferta energética en las zonas no interconectadas</w:t>
      </w:r>
      <w:r w:rsidR="004B31BA">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del país a partir de la integración a las redes de distribución de generadores distribuidos y</w:t>
      </w:r>
      <w:r w:rsidR="00C534BE">
        <w:rPr>
          <w:rFonts w:ascii="Bookman Old Style" w:eastAsia="MS Mincho" w:hAnsi="Bookman Old Style" w:cs="Arial"/>
          <w:i/>
          <w:iCs/>
          <w:sz w:val="20"/>
          <w:szCs w:val="20"/>
          <w:lang w:val="es-CO"/>
        </w:rPr>
        <w:t xml:space="preserve"> </w:t>
      </w:r>
      <w:r w:rsidR="00C534BE" w:rsidRPr="00C534BE">
        <w:rPr>
          <w:rFonts w:ascii="Bookman Old Style" w:eastAsia="MS Mincho" w:hAnsi="Bookman Old Style" w:cs="Arial"/>
          <w:i/>
          <w:iCs/>
          <w:sz w:val="20"/>
          <w:szCs w:val="20"/>
          <w:lang w:val="es-CO"/>
        </w:rPr>
        <w:t>autogeneradores’, en este sentido, para el cumplimiento de este objetivo y los objetivos específicos</w:t>
      </w:r>
      <w:r w:rsidR="001023EE">
        <w:rPr>
          <w:rFonts w:ascii="Bookman Old Style" w:eastAsia="MS Mincho" w:hAnsi="Bookman Old Style" w:cs="Arial"/>
          <w:i/>
          <w:iCs/>
          <w:sz w:val="20"/>
          <w:szCs w:val="20"/>
          <w:lang w:val="es-CO"/>
        </w:rPr>
        <w:t xml:space="preserve"> </w:t>
      </w:r>
      <w:r w:rsidR="00C534BE" w:rsidRPr="00C534BE">
        <w:rPr>
          <w:rFonts w:ascii="Bookman Old Style" w:eastAsia="MS Mincho" w:hAnsi="Bookman Old Style" w:cs="Arial"/>
          <w:i/>
          <w:iCs/>
          <w:sz w:val="20"/>
          <w:szCs w:val="20"/>
          <w:lang w:val="es-CO"/>
        </w:rPr>
        <w:t>planteados, esta Comisión presentó el análisis de las alternativas planteadas junto con los impactos</w:t>
      </w:r>
      <w:r w:rsidR="001023EE">
        <w:rPr>
          <w:rFonts w:ascii="Bookman Old Style" w:eastAsia="MS Mincho" w:hAnsi="Bookman Old Style" w:cs="Arial"/>
          <w:i/>
          <w:iCs/>
          <w:sz w:val="20"/>
          <w:szCs w:val="20"/>
          <w:lang w:val="es-CO"/>
        </w:rPr>
        <w:t xml:space="preserve"> </w:t>
      </w:r>
      <w:r w:rsidR="00C534BE" w:rsidRPr="00C534BE">
        <w:rPr>
          <w:rFonts w:ascii="Bookman Old Style" w:eastAsia="MS Mincho" w:hAnsi="Bookman Old Style" w:cs="Arial"/>
          <w:i/>
          <w:iCs/>
          <w:sz w:val="20"/>
          <w:szCs w:val="20"/>
          <w:lang w:val="es-CO"/>
        </w:rPr>
        <w:t>de la propuesta.</w:t>
      </w:r>
    </w:p>
    <w:p w14:paraId="41304B85" w14:textId="77777777" w:rsidR="001023EE" w:rsidRPr="00C534BE" w:rsidRDefault="001023EE" w:rsidP="00292999">
      <w:pPr>
        <w:ind w:left="1134"/>
        <w:contextualSpacing/>
        <w:jc w:val="both"/>
        <w:rPr>
          <w:rFonts w:ascii="Bookman Old Style" w:eastAsia="MS Mincho" w:hAnsi="Bookman Old Style" w:cs="Arial"/>
          <w:i/>
          <w:iCs/>
          <w:sz w:val="20"/>
          <w:szCs w:val="20"/>
          <w:lang w:val="es-CO"/>
        </w:rPr>
      </w:pPr>
    </w:p>
    <w:p w14:paraId="06B2CE2F" w14:textId="41A57541" w:rsidR="00C534BE" w:rsidRDefault="00C534BE" w:rsidP="00292999">
      <w:pPr>
        <w:ind w:left="1134"/>
        <w:contextualSpacing/>
        <w:jc w:val="both"/>
        <w:rPr>
          <w:rFonts w:ascii="Bookman Old Style" w:eastAsia="MS Mincho" w:hAnsi="Bookman Old Style" w:cs="Arial"/>
          <w:i/>
          <w:iCs/>
          <w:sz w:val="20"/>
          <w:szCs w:val="20"/>
          <w:lang w:val="es-CO"/>
        </w:rPr>
      </w:pPr>
      <w:r w:rsidRPr="00C534BE">
        <w:rPr>
          <w:rFonts w:ascii="Bookman Old Style" w:eastAsia="MS Mincho" w:hAnsi="Bookman Old Style" w:cs="Arial"/>
          <w:i/>
          <w:iCs/>
          <w:sz w:val="20"/>
          <w:szCs w:val="20"/>
          <w:lang w:val="es-CO"/>
        </w:rPr>
        <w:t>En la Resolución CREG 091 de 2007 no se prevé ningún mecanismo para la remuneración de los</w:t>
      </w:r>
      <w:r w:rsidR="001023EE">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excedentes entregados por un autogenerador en ZNI a un sistema de distribución. No obstante lo</w:t>
      </w:r>
      <w:r w:rsidR="001023EE">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anterior, de acuerdo con los lineamientos dados en el Decreto 348 de 2017 se hace necesario</w:t>
      </w:r>
      <w:r w:rsidR="001023EE">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establecer un trámite simplificado para la conexión y entrega de excedentes de los autogeneradores</w:t>
      </w:r>
      <w:r w:rsidR="001023EE">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a pequeña escala al sistema de distribución, y definir el mecanismo de remuneración de los</w:t>
      </w:r>
      <w:r w:rsidR="001023EE">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excedentes de autogeneración a pequeña escala y el responsable de su liquidación y medición.</w:t>
      </w:r>
    </w:p>
    <w:p w14:paraId="5B5CCDCB" w14:textId="77777777" w:rsidR="000C06D5" w:rsidRPr="00C534BE" w:rsidRDefault="000C06D5" w:rsidP="00292999">
      <w:pPr>
        <w:ind w:left="1134"/>
        <w:contextualSpacing/>
        <w:jc w:val="both"/>
        <w:rPr>
          <w:rFonts w:ascii="Bookman Old Style" w:eastAsia="MS Mincho" w:hAnsi="Bookman Old Style" w:cs="Arial"/>
          <w:i/>
          <w:iCs/>
          <w:sz w:val="20"/>
          <w:szCs w:val="20"/>
          <w:lang w:val="es-CO"/>
        </w:rPr>
      </w:pPr>
    </w:p>
    <w:p w14:paraId="09E2A1CE" w14:textId="34DD08DF" w:rsidR="00C534BE" w:rsidRDefault="00C534BE" w:rsidP="00292999">
      <w:pPr>
        <w:ind w:left="1134"/>
        <w:contextualSpacing/>
        <w:jc w:val="both"/>
        <w:rPr>
          <w:rFonts w:ascii="Bookman Old Style" w:eastAsia="MS Mincho" w:hAnsi="Bookman Old Style" w:cs="Arial"/>
          <w:i/>
          <w:iCs/>
          <w:sz w:val="20"/>
          <w:szCs w:val="20"/>
          <w:lang w:val="es-CO"/>
        </w:rPr>
      </w:pPr>
      <w:r w:rsidRPr="00C534BE">
        <w:rPr>
          <w:rFonts w:ascii="Bookman Old Style" w:eastAsia="MS Mincho" w:hAnsi="Bookman Old Style" w:cs="Arial"/>
          <w:i/>
          <w:iCs/>
          <w:sz w:val="20"/>
          <w:szCs w:val="20"/>
          <w:lang w:val="es-CO"/>
        </w:rPr>
        <w:t>Por su parte, la Resolución CREG 091 de 2007 contempla el mecanismo de remuneración para la</w:t>
      </w:r>
      <w:r w:rsidR="000C06D5">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actividad de generación en ZNI mediante la definición de un cargo máximo que resulta aplicable a</w:t>
      </w:r>
      <w:r w:rsidR="000C06D5">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los generadores distribuidos, sin establecer condiciones y procedimientos para la conexión de</w:t>
      </w:r>
      <w:r w:rsidR="000C06D5">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dichos generadores al sistema de distribución.</w:t>
      </w:r>
    </w:p>
    <w:p w14:paraId="7F541236" w14:textId="77777777" w:rsidR="000C06D5" w:rsidRPr="00C534BE" w:rsidRDefault="000C06D5" w:rsidP="00292999">
      <w:pPr>
        <w:ind w:left="1134"/>
        <w:contextualSpacing/>
        <w:jc w:val="both"/>
        <w:rPr>
          <w:rFonts w:ascii="Bookman Old Style" w:eastAsia="MS Mincho" w:hAnsi="Bookman Old Style" w:cs="Arial"/>
          <w:i/>
          <w:iCs/>
          <w:sz w:val="20"/>
          <w:szCs w:val="20"/>
          <w:lang w:val="es-CO"/>
        </w:rPr>
      </w:pPr>
    </w:p>
    <w:p w14:paraId="245AC241" w14:textId="0FFEC30E" w:rsidR="00C534BE" w:rsidRPr="00C534BE" w:rsidRDefault="00C534BE" w:rsidP="00292999">
      <w:pPr>
        <w:ind w:left="1134"/>
        <w:contextualSpacing/>
        <w:jc w:val="both"/>
        <w:rPr>
          <w:rFonts w:ascii="Bookman Old Style" w:eastAsia="MS Mincho" w:hAnsi="Bookman Old Style" w:cs="Arial"/>
          <w:i/>
          <w:iCs/>
          <w:sz w:val="20"/>
          <w:szCs w:val="20"/>
          <w:lang w:val="es-CO"/>
        </w:rPr>
      </w:pPr>
      <w:r w:rsidRPr="00C534BE">
        <w:rPr>
          <w:rFonts w:ascii="Bookman Old Style" w:eastAsia="MS Mincho" w:hAnsi="Bookman Old Style" w:cs="Arial"/>
          <w:i/>
          <w:iCs/>
          <w:sz w:val="20"/>
          <w:szCs w:val="20"/>
          <w:lang w:val="es-CO"/>
        </w:rPr>
        <w:t>Por lo anterior, en aras de garantizar la calidad y continuidad de la prestación del servicio de</w:t>
      </w:r>
      <w:r w:rsidR="000C06D5">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generación en las ZNI, se requiere definir las condiciones y procedimientos para la conexión. (…)</w:t>
      </w:r>
      <w:r w:rsidR="004B31BA">
        <w:rPr>
          <w:rFonts w:ascii="Bookman Old Style" w:eastAsia="MS Mincho" w:hAnsi="Bookman Old Style" w:cs="Arial"/>
          <w:i/>
          <w:iCs/>
          <w:sz w:val="20"/>
          <w:szCs w:val="20"/>
          <w:lang w:val="es-CO"/>
        </w:rPr>
        <w:t>’</w:t>
      </w:r>
    </w:p>
    <w:p w14:paraId="7C6F606E" w14:textId="77777777" w:rsidR="00A4131F" w:rsidRDefault="00A4131F" w:rsidP="00C534BE">
      <w:pPr>
        <w:ind w:left="708"/>
        <w:contextualSpacing/>
        <w:jc w:val="both"/>
        <w:rPr>
          <w:rFonts w:ascii="Bookman Old Style" w:eastAsia="MS Mincho" w:hAnsi="Bookman Old Style" w:cs="Arial"/>
          <w:i/>
          <w:iCs/>
          <w:sz w:val="20"/>
          <w:szCs w:val="20"/>
          <w:lang w:val="es-CO"/>
        </w:rPr>
      </w:pPr>
    </w:p>
    <w:p w14:paraId="3ACA6B47" w14:textId="231BAC5C" w:rsidR="00C534BE" w:rsidRDefault="00C534BE" w:rsidP="00292999">
      <w:pPr>
        <w:ind w:left="567"/>
        <w:contextualSpacing/>
        <w:jc w:val="both"/>
        <w:rPr>
          <w:rFonts w:ascii="Bookman Old Style" w:eastAsia="MS Mincho" w:hAnsi="Bookman Old Style" w:cs="Arial"/>
          <w:i/>
          <w:iCs/>
          <w:sz w:val="20"/>
          <w:szCs w:val="20"/>
          <w:lang w:val="es-CO"/>
        </w:rPr>
      </w:pPr>
      <w:r w:rsidRPr="00C534BE">
        <w:rPr>
          <w:rFonts w:ascii="Bookman Old Style" w:eastAsia="MS Mincho" w:hAnsi="Bookman Old Style" w:cs="Arial"/>
          <w:i/>
          <w:iCs/>
          <w:sz w:val="20"/>
          <w:szCs w:val="20"/>
          <w:lang w:val="es-CO"/>
        </w:rPr>
        <w:t>Adicionalmente, se identifica que sobre la propuesta regulatoria que precedió la</w:t>
      </w:r>
      <w:r w:rsidR="00F973DC">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Resolución CREG 038 de 2018, GENSA S.A. E.S.P. no remitió comentarios.</w:t>
      </w:r>
      <w:r w:rsidR="00F973DC">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Así mismo, en el parágrafo 2 del artículo 5 de la Resolución CREG 038 de 2018, se</w:t>
      </w:r>
      <w:r w:rsidR="00F973DC">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fijó el plazo para que generadores distribuidos y distribuidores celebraran los</w:t>
      </w:r>
      <w:r w:rsidR="00F973DC">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respectivos contratos de conexión según los lineamientos previstos en ese mismo</w:t>
      </w:r>
      <w:r w:rsidR="00F973DC">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artículo:</w:t>
      </w:r>
    </w:p>
    <w:p w14:paraId="382DFBB9" w14:textId="77777777" w:rsidR="00F973DC" w:rsidRPr="00C534BE" w:rsidRDefault="00F973DC" w:rsidP="00C534BE">
      <w:pPr>
        <w:ind w:left="708"/>
        <w:contextualSpacing/>
        <w:jc w:val="both"/>
        <w:rPr>
          <w:rFonts w:ascii="Bookman Old Style" w:eastAsia="MS Mincho" w:hAnsi="Bookman Old Style" w:cs="Arial"/>
          <w:i/>
          <w:iCs/>
          <w:sz w:val="20"/>
          <w:szCs w:val="20"/>
          <w:lang w:val="es-CO"/>
        </w:rPr>
      </w:pPr>
    </w:p>
    <w:p w14:paraId="4092CBA6" w14:textId="40D8EC4A" w:rsidR="00C534BE" w:rsidRPr="00C534BE" w:rsidRDefault="009D7ABE"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C534BE" w:rsidRPr="00C534BE">
        <w:rPr>
          <w:rFonts w:ascii="Bookman Old Style" w:eastAsia="MS Mincho" w:hAnsi="Bookman Old Style" w:cs="Arial"/>
          <w:i/>
          <w:iCs/>
          <w:sz w:val="20"/>
          <w:szCs w:val="20"/>
          <w:lang w:val="es-CO"/>
        </w:rPr>
        <w:t>(…) Parágrafo 2: Para el caso de las conexiones existentes en las que no se haya suscrito</w:t>
      </w:r>
      <w:r>
        <w:rPr>
          <w:rFonts w:ascii="Bookman Old Style" w:eastAsia="MS Mincho" w:hAnsi="Bookman Old Style" w:cs="Arial"/>
          <w:i/>
          <w:iCs/>
          <w:sz w:val="20"/>
          <w:szCs w:val="20"/>
          <w:lang w:val="es-CO"/>
        </w:rPr>
        <w:t xml:space="preserve"> </w:t>
      </w:r>
      <w:r w:rsidR="00C534BE" w:rsidRPr="00C534BE">
        <w:rPr>
          <w:rFonts w:ascii="Bookman Old Style" w:eastAsia="MS Mincho" w:hAnsi="Bookman Old Style" w:cs="Arial"/>
          <w:i/>
          <w:iCs/>
          <w:sz w:val="20"/>
          <w:szCs w:val="20"/>
          <w:lang w:val="es-CO"/>
        </w:rPr>
        <w:t>previamente un contrato de conexión con el distribuidor, se deberá aplicar lo previsto en el presente</w:t>
      </w:r>
      <w:r w:rsidR="00AF7411">
        <w:rPr>
          <w:rFonts w:ascii="Bookman Old Style" w:eastAsia="MS Mincho" w:hAnsi="Bookman Old Style" w:cs="Arial"/>
          <w:i/>
          <w:iCs/>
          <w:sz w:val="20"/>
          <w:szCs w:val="20"/>
          <w:lang w:val="es-CO"/>
        </w:rPr>
        <w:t xml:space="preserve"> </w:t>
      </w:r>
      <w:r w:rsidR="00C534BE" w:rsidRPr="00C534BE">
        <w:rPr>
          <w:rFonts w:ascii="Bookman Old Style" w:eastAsia="MS Mincho" w:hAnsi="Bookman Old Style" w:cs="Arial"/>
          <w:i/>
          <w:iCs/>
          <w:sz w:val="20"/>
          <w:szCs w:val="20"/>
          <w:lang w:val="es-CO"/>
        </w:rPr>
        <w:t>artículo en un plazo no mayor a seis (6) meses después de la entrada en vigencia de la presente</w:t>
      </w:r>
      <w:r w:rsidR="00AF7411">
        <w:rPr>
          <w:rFonts w:ascii="Bookman Old Style" w:eastAsia="MS Mincho" w:hAnsi="Bookman Old Style" w:cs="Arial"/>
          <w:i/>
          <w:iCs/>
          <w:sz w:val="20"/>
          <w:szCs w:val="20"/>
          <w:lang w:val="es-CO"/>
        </w:rPr>
        <w:t xml:space="preserve"> </w:t>
      </w:r>
      <w:r w:rsidR="00C534BE" w:rsidRPr="00C534BE">
        <w:rPr>
          <w:rFonts w:ascii="Bookman Old Style" w:eastAsia="MS Mincho" w:hAnsi="Bookman Old Style" w:cs="Arial"/>
          <w:i/>
          <w:iCs/>
          <w:sz w:val="20"/>
          <w:szCs w:val="20"/>
          <w:lang w:val="es-CO"/>
        </w:rPr>
        <w:t>resolución. (…)</w:t>
      </w:r>
      <w:r w:rsidR="00AF7411">
        <w:rPr>
          <w:rFonts w:ascii="Bookman Old Style" w:eastAsia="MS Mincho" w:hAnsi="Bookman Old Style" w:cs="Arial"/>
          <w:i/>
          <w:iCs/>
          <w:sz w:val="20"/>
          <w:szCs w:val="20"/>
          <w:lang w:val="es-CO"/>
        </w:rPr>
        <w:t>’</w:t>
      </w:r>
    </w:p>
    <w:p w14:paraId="4F094F0A" w14:textId="77777777" w:rsidR="009D7ABE" w:rsidRDefault="009D7ABE" w:rsidP="00C534BE">
      <w:pPr>
        <w:ind w:left="708"/>
        <w:contextualSpacing/>
        <w:jc w:val="both"/>
        <w:rPr>
          <w:rFonts w:ascii="Bookman Old Style" w:eastAsia="MS Mincho" w:hAnsi="Bookman Old Style" w:cs="Arial"/>
          <w:i/>
          <w:iCs/>
          <w:sz w:val="20"/>
          <w:szCs w:val="20"/>
          <w:lang w:val="es-CO"/>
        </w:rPr>
      </w:pPr>
    </w:p>
    <w:p w14:paraId="7C9A2D21" w14:textId="77777777" w:rsidR="00CC6866" w:rsidRDefault="00C534BE" w:rsidP="00292999">
      <w:pPr>
        <w:ind w:left="567"/>
        <w:contextualSpacing/>
        <w:jc w:val="both"/>
        <w:rPr>
          <w:rFonts w:ascii="Bookman Old Style" w:eastAsia="MS Mincho" w:hAnsi="Bookman Old Style" w:cs="Arial"/>
          <w:i/>
          <w:iCs/>
          <w:sz w:val="20"/>
          <w:szCs w:val="20"/>
          <w:lang w:val="es-CO"/>
        </w:rPr>
      </w:pPr>
      <w:r w:rsidRPr="00C534BE">
        <w:rPr>
          <w:rFonts w:ascii="Bookman Old Style" w:eastAsia="MS Mincho" w:hAnsi="Bookman Old Style" w:cs="Arial"/>
          <w:i/>
          <w:iCs/>
          <w:sz w:val="20"/>
          <w:szCs w:val="20"/>
          <w:lang w:val="es-CO"/>
        </w:rPr>
        <w:t>Considerando lo anteriormente expuesto, que GENSA S.A. E.S.P. en su calidad de</w:t>
      </w:r>
      <w:r w:rsidR="00AF7411">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generador de energía eléctrica en las ZNI debía dar cumplimiento a lo previsto en el</w:t>
      </w:r>
      <w:r w:rsidR="00AF7411">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parágrafo 2 del artículo 5 de la Resolución CREG 038 de 2018, y que la información</w:t>
      </w:r>
      <w:r w:rsidR="00AF7411">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que relaciona en su respuesta de radicado CREG E-2021-007731 corresponde a</w:t>
      </w:r>
      <w:r w:rsidR="00AF7411">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contrato con el comercializador de la zona y no a los contratos de conexión solicitados</w:t>
      </w:r>
      <w:r w:rsidR="00F35CD5">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en el Auto I-2021-001628, se evidencia que no se ha atendido el respectivo</w:t>
      </w:r>
      <w:r w:rsidR="00F35CD5">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requerimiento.</w:t>
      </w:r>
      <w:r w:rsidR="00F35CD5">
        <w:rPr>
          <w:rFonts w:ascii="Bookman Old Style" w:eastAsia="MS Mincho" w:hAnsi="Bookman Old Style" w:cs="Arial"/>
          <w:i/>
          <w:iCs/>
          <w:sz w:val="20"/>
          <w:szCs w:val="20"/>
          <w:lang w:val="es-CO"/>
        </w:rPr>
        <w:t xml:space="preserve"> </w:t>
      </w:r>
      <w:r w:rsidR="00A93D7D">
        <w:rPr>
          <w:rFonts w:ascii="Bookman Old Style" w:eastAsia="MS Mincho" w:hAnsi="Bookman Old Style" w:cs="Arial"/>
          <w:i/>
          <w:iCs/>
          <w:sz w:val="20"/>
          <w:szCs w:val="20"/>
          <w:lang w:val="es-CO"/>
        </w:rPr>
        <w:t>(…)</w:t>
      </w:r>
    </w:p>
    <w:p w14:paraId="2FEE4192" w14:textId="77777777" w:rsidR="00CC6866" w:rsidRDefault="00CC6866" w:rsidP="00292999">
      <w:pPr>
        <w:ind w:left="567"/>
        <w:contextualSpacing/>
        <w:jc w:val="both"/>
        <w:rPr>
          <w:rFonts w:ascii="Bookman Old Style" w:eastAsia="MS Mincho" w:hAnsi="Bookman Old Style" w:cs="Arial"/>
          <w:i/>
          <w:iCs/>
          <w:sz w:val="20"/>
          <w:szCs w:val="20"/>
          <w:lang w:val="es-CO"/>
        </w:rPr>
      </w:pPr>
    </w:p>
    <w:p w14:paraId="2E681285" w14:textId="22F2A48C" w:rsidR="006E1F34" w:rsidRDefault="006E1F34" w:rsidP="00292999">
      <w:pPr>
        <w:ind w:left="567"/>
        <w:contextualSpacing/>
        <w:jc w:val="both"/>
        <w:rPr>
          <w:rFonts w:ascii="Bookman Old Style" w:eastAsia="MS Mincho" w:hAnsi="Bookman Old Style" w:cs="Arial"/>
          <w:i/>
          <w:iCs/>
          <w:sz w:val="20"/>
          <w:szCs w:val="20"/>
          <w:lang w:val="es-CO"/>
        </w:rPr>
      </w:pPr>
      <w:r w:rsidRPr="006E1F34">
        <w:rPr>
          <w:rFonts w:ascii="Bookman Old Style" w:eastAsia="MS Mincho" w:hAnsi="Bookman Old Style" w:cs="Arial"/>
          <w:i/>
          <w:iCs/>
          <w:sz w:val="20"/>
          <w:szCs w:val="20"/>
          <w:lang w:val="es-CO"/>
        </w:rPr>
        <w:t>Mediante Auto I-2021-001628 la Comisión resolvió oficiar a la Gobernación del</w:t>
      </w:r>
      <w:r w:rsidR="002738BF">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Vaupés para que rindiera un informe en el que se le pedía que respondiera, entre</w:t>
      </w:r>
      <w:r w:rsidR="002738BF">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otras, las siguientes inquietudes:</w:t>
      </w:r>
    </w:p>
    <w:p w14:paraId="68BA6CA4" w14:textId="77777777" w:rsidR="002738BF" w:rsidRPr="006E1F34" w:rsidRDefault="002738BF" w:rsidP="006E1F34">
      <w:pPr>
        <w:ind w:left="708"/>
        <w:contextualSpacing/>
        <w:jc w:val="both"/>
        <w:rPr>
          <w:rFonts w:ascii="Bookman Old Style" w:eastAsia="MS Mincho" w:hAnsi="Bookman Old Style" w:cs="Arial"/>
          <w:i/>
          <w:iCs/>
          <w:sz w:val="20"/>
          <w:szCs w:val="20"/>
          <w:lang w:val="es-CO"/>
        </w:rPr>
      </w:pPr>
    </w:p>
    <w:p w14:paraId="62043A5C" w14:textId="17AA10F7" w:rsidR="006E1F34" w:rsidRPr="006E1F34" w:rsidRDefault="002738BF"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6E1F34" w:rsidRPr="006E1F34">
        <w:rPr>
          <w:rFonts w:ascii="Bookman Old Style" w:eastAsia="MS Mincho" w:hAnsi="Bookman Old Style" w:cs="Arial"/>
          <w:i/>
          <w:iCs/>
          <w:sz w:val="20"/>
          <w:szCs w:val="20"/>
          <w:lang w:val="es-CO"/>
        </w:rPr>
        <w:t>(…) f) ¿Cómo se atiende a las poblaciones o comunidades de: Santa cruz, puente lata, finca</w:t>
      </w:r>
      <w:r w:rsidR="00A272E4">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bambague, comunidad yararaka, comunidad de timbo, comunidad de pueblo nuevo, finca</w:t>
      </w:r>
      <w:r w:rsidR="00AE365C">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caqueteña, comunidad cucura, finca yeny quiñones, finca la esperanza, comunidad de macayuca,</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comunidad de ceima san pablo, granja departamental, finca Gaudencio braga, finca Aníbal, finca</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Jesús Hica, finc a del mono nieto, finca de Jesús chica, comunidad de villa pinzón, finca de los curas,</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finca de don Luis, comunidad yararaka?</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w:t>
      </w:r>
      <w:r w:rsidR="00AE365C">
        <w:rPr>
          <w:rFonts w:ascii="Bookman Old Style" w:eastAsia="MS Mincho" w:hAnsi="Bookman Old Style" w:cs="Arial"/>
          <w:i/>
          <w:iCs/>
          <w:sz w:val="20"/>
          <w:szCs w:val="20"/>
          <w:lang w:val="es-CO"/>
        </w:rPr>
        <w:t>’</w:t>
      </w:r>
    </w:p>
    <w:p w14:paraId="126B3B55" w14:textId="77777777" w:rsidR="002738BF" w:rsidRDefault="002738BF" w:rsidP="006E1F34">
      <w:pPr>
        <w:ind w:left="708"/>
        <w:contextualSpacing/>
        <w:jc w:val="both"/>
        <w:rPr>
          <w:rFonts w:ascii="Bookman Old Style" w:eastAsia="MS Mincho" w:hAnsi="Bookman Old Style" w:cs="Arial"/>
          <w:i/>
          <w:iCs/>
          <w:sz w:val="20"/>
          <w:szCs w:val="20"/>
          <w:lang w:val="es-CO"/>
        </w:rPr>
      </w:pPr>
    </w:p>
    <w:p w14:paraId="5602DA22" w14:textId="1F580454" w:rsidR="006E1F34" w:rsidRDefault="006E1F34" w:rsidP="00292999">
      <w:pPr>
        <w:ind w:left="567"/>
        <w:contextualSpacing/>
        <w:jc w:val="both"/>
        <w:rPr>
          <w:rFonts w:ascii="Bookman Old Style" w:eastAsia="MS Mincho" w:hAnsi="Bookman Old Style" w:cs="Arial"/>
          <w:i/>
          <w:iCs/>
          <w:sz w:val="20"/>
          <w:szCs w:val="20"/>
          <w:lang w:val="es-CO"/>
        </w:rPr>
      </w:pPr>
      <w:r w:rsidRPr="006E1F34">
        <w:rPr>
          <w:rFonts w:ascii="Bookman Old Style" w:eastAsia="MS Mincho" w:hAnsi="Bookman Old Style" w:cs="Arial"/>
          <w:i/>
          <w:iCs/>
          <w:sz w:val="20"/>
          <w:szCs w:val="20"/>
          <w:lang w:val="es-CO"/>
        </w:rPr>
        <w:t>Con respecto al literal f) anteriormente citado, La Gobernación del Vaupés, por</w:t>
      </w:r>
      <w:r w:rsidR="00AE365C">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intermedio de la Secretaría de Infraestructura Departamental, en comunicación de</w:t>
      </w:r>
      <w:r w:rsidR="00AE365C">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radicado CREG E-2021-007957, informó:</w:t>
      </w:r>
    </w:p>
    <w:p w14:paraId="4B74DAD6" w14:textId="77777777" w:rsidR="00AE365C" w:rsidRPr="006E1F34" w:rsidRDefault="00AE365C" w:rsidP="006E1F34">
      <w:pPr>
        <w:ind w:left="708"/>
        <w:contextualSpacing/>
        <w:jc w:val="both"/>
        <w:rPr>
          <w:rFonts w:ascii="Bookman Old Style" w:eastAsia="MS Mincho" w:hAnsi="Bookman Old Style" w:cs="Arial"/>
          <w:i/>
          <w:iCs/>
          <w:sz w:val="20"/>
          <w:szCs w:val="20"/>
          <w:lang w:val="es-CO"/>
        </w:rPr>
      </w:pPr>
    </w:p>
    <w:p w14:paraId="21A4AADD" w14:textId="64EF8AEC" w:rsidR="006E1F34" w:rsidRPr="006E1F34" w:rsidRDefault="00AE365C" w:rsidP="00292999">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6E1F34" w:rsidRPr="006E1F34">
        <w:rPr>
          <w:rFonts w:ascii="Bookman Old Style" w:eastAsia="MS Mincho" w:hAnsi="Bookman Old Style" w:cs="Arial"/>
          <w:i/>
          <w:iCs/>
          <w:sz w:val="20"/>
          <w:szCs w:val="20"/>
          <w:lang w:val="es-CO"/>
        </w:rPr>
        <w:t>(…) La administración departamental de Vaupés atiende todos los daños que se presenten sobre</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la red de 13.200 v sobre el circuito yararaka incluyendo comunidades y daños sobre la red donde</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se encuentren conectadas las fincas del circuito yararaka, también se hacen remplazos de equipos</w:t>
      </w:r>
      <w:r>
        <w:rPr>
          <w:rFonts w:ascii="Bookman Old Style" w:eastAsia="MS Mincho" w:hAnsi="Bookman Old Style" w:cs="Arial"/>
          <w:i/>
          <w:iCs/>
          <w:sz w:val="20"/>
          <w:szCs w:val="20"/>
          <w:lang w:val="es-CO"/>
        </w:rPr>
        <w:t xml:space="preserve"> </w:t>
      </w:r>
      <w:r w:rsidR="006E1F34" w:rsidRPr="006E1F34">
        <w:rPr>
          <w:rFonts w:ascii="Bookman Old Style" w:eastAsia="MS Mincho" w:hAnsi="Bookman Old Style" w:cs="Arial"/>
          <w:i/>
          <w:iCs/>
          <w:sz w:val="20"/>
          <w:szCs w:val="20"/>
          <w:lang w:val="es-CO"/>
        </w:rPr>
        <w:t>en las comunidades cuando sea necesario. (…)</w:t>
      </w:r>
      <w:r>
        <w:rPr>
          <w:rFonts w:ascii="Bookman Old Style" w:eastAsia="MS Mincho" w:hAnsi="Bookman Old Style" w:cs="Arial"/>
          <w:i/>
          <w:iCs/>
          <w:sz w:val="20"/>
          <w:szCs w:val="20"/>
          <w:lang w:val="es-CO"/>
        </w:rPr>
        <w:t>’</w:t>
      </w:r>
    </w:p>
    <w:p w14:paraId="7E602C60" w14:textId="77777777" w:rsidR="00AE365C" w:rsidRDefault="00AE365C" w:rsidP="006E1F34">
      <w:pPr>
        <w:ind w:left="708"/>
        <w:contextualSpacing/>
        <w:jc w:val="both"/>
        <w:rPr>
          <w:rFonts w:ascii="Bookman Old Style" w:eastAsia="MS Mincho" w:hAnsi="Bookman Old Style" w:cs="Arial"/>
          <w:i/>
          <w:iCs/>
          <w:sz w:val="20"/>
          <w:szCs w:val="20"/>
          <w:lang w:val="es-CO"/>
        </w:rPr>
      </w:pPr>
    </w:p>
    <w:p w14:paraId="23681C14" w14:textId="58E32BDC" w:rsidR="00CC6866" w:rsidRDefault="006E1F34" w:rsidP="00292999">
      <w:pPr>
        <w:ind w:left="567"/>
        <w:contextualSpacing/>
        <w:jc w:val="both"/>
        <w:rPr>
          <w:rFonts w:ascii="Bookman Old Style" w:eastAsia="MS Mincho" w:hAnsi="Bookman Old Style" w:cs="Arial"/>
          <w:i/>
          <w:iCs/>
          <w:sz w:val="20"/>
          <w:szCs w:val="20"/>
          <w:lang w:val="es-CO"/>
        </w:rPr>
      </w:pPr>
      <w:r w:rsidRPr="006E1F34">
        <w:rPr>
          <w:rFonts w:ascii="Bookman Old Style" w:eastAsia="MS Mincho" w:hAnsi="Bookman Old Style" w:cs="Arial"/>
          <w:i/>
          <w:iCs/>
          <w:sz w:val="20"/>
          <w:szCs w:val="20"/>
          <w:lang w:val="es-CO"/>
        </w:rPr>
        <w:t>La Comisión en este literal no indagaba sobre el responsable de atender los daños</w:t>
      </w:r>
      <w:r w:rsidR="00AE365C">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que se presentaran sobre la red de 13.200v. Se indagó sobre la forma en la que se le</w:t>
      </w:r>
      <w:r w:rsidR="00AE365C">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llevaba el servicio de energía eléctrica a una serie de poblaciones o comunidades allí</w:t>
      </w:r>
      <w:r w:rsidR="008B3727">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listadas. En ese sentido, se hace necesario solicitar nuevamente la información</w:t>
      </w:r>
      <w:r w:rsidR="008B3727">
        <w:rPr>
          <w:rFonts w:ascii="Bookman Old Style" w:eastAsia="MS Mincho" w:hAnsi="Bookman Old Style" w:cs="Arial"/>
          <w:i/>
          <w:iCs/>
          <w:sz w:val="20"/>
          <w:szCs w:val="20"/>
          <w:lang w:val="es-CO"/>
        </w:rPr>
        <w:t xml:space="preserve"> </w:t>
      </w:r>
      <w:r w:rsidRPr="006E1F34">
        <w:rPr>
          <w:rFonts w:ascii="Bookman Old Style" w:eastAsia="MS Mincho" w:hAnsi="Bookman Old Style" w:cs="Arial"/>
          <w:i/>
          <w:iCs/>
          <w:sz w:val="20"/>
          <w:szCs w:val="20"/>
          <w:lang w:val="es-CO"/>
        </w:rPr>
        <w:t>requerida.</w:t>
      </w:r>
      <w:r w:rsidR="008B3727">
        <w:rPr>
          <w:rFonts w:ascii="Bookman Old Style" w:eastAsia="MS Mincho" w:hAnsi="Bookman Old Style" w:cs="Arial"/>
          <w:i/>
          <w:iCs/>
          <w:sz w:val="20"/>
          <w:szCs w:val="20"/>
          <w:lang w:val="es-CO"/>
        </w:rPr>
        <w:t xml:space="preserve"> (…)</w:t>
      </w:r>
    </w:p>
    <w:p w14:paraId="5CF6A5C3" w14:textId="77777777" w:rsidR="008B3727" w:rsidRDefault="008B3727" w:rsidP="00292999">
      <w:pPr>
        <w:ind w:left="567"/>
        <w:contextualSpacing/>
        <w:jc w:val="both"/>
        <w:rPr>
          <w:rFonts w:ascii="Bookman Old Style" w:eastAsia="MS Mincho" w:hAnsi="Bookman Old Style" w:cs="Arial"/>
          <w:i/>
          <w:iCs/>
          <w:sz w:val="20"/>
          <w:szCs w:val="20"/>
          <w:lang w:val="es-CO"/>
        </w:rPr>
      </w:pPr>
    </w:p>
    <w:p w14:paraId="7CDF211B" w14:textId="33226F9F" w:rsidR="008B3727" w:rsidRPr="008B3727" w:rsidRDefault="008B3727" w:rsidP="00292999">
      <w:pPr>
        <w:ind w:left="567"/>
        <w:contextualSpacing/>
        <w:jc w:val="both"/>
        <w:rPr>
          <w:rFonts w:ascii="Bookman Old Style" w:eastAsia="MS Mincho" w:hAnsi="Bookman Old Style" w:cs="Arial"/>
          <w:i/>
          <w:iCs/>
          <w:sz w:val="20"/>
          <w:szCs w:val="20"/>
          <w:lang w:val="es-CO"/>
        </w:rPr>
      </w:pPr>
      <w:r w:rsidRPr="008B3727">
        <w:rPr>
          <w:rFonts w:ascii="Bookman Old Style" w:eastAsia="MS Mincho" w:hAnsi="Bookman Old Style" w:cs="Arial"/>
          <w:i/>
          <w:iCs/>
          <w:sz w:val="20"/>
          <w:szCs w:val="20"/>
          <w:lang w:val="es-CO"/>
        </w:rPr>
        <w:t>En mérito de lo expuesto, y de conformidad con lo previsto en el artículo 40 del Código</w:t>
      </w:r>
      <w:r>
        <w:rPr>
          <w:rFonts w:ascii="Bookman Old Style" w:eastAsia="MS Mincho" w:hAnsi="Bookman Old Style" w:cs="Arial"/>
          <w:i/>
          <w:iCs/>
          <w:sz w:val="20"/>
          <w:szCs w:val="20"/>
          <w:lang w:val="es-CO"/>
        </w:rPr>
        <w:t xml:space="preserve"> </w:t>
      </w:r>
      <w:r w:rsidRPr="008B3727">
        <w:rPr>
          <w:rFonts w:ascii="Bookman Old Style" w:eastAsia="MS Mincho" w:hAnsi="Bookman Old Style" w:cs="Arial"/>
          <w:i/>
          <w:iCs/>
          <w:sz w:val="20"/>
          <w:szCs w:val="20"/>
          <w:lang w:val="es-CO"/>
        </w:rPr>
        <w:t>de Procedimiento Administrativo y de lo Contencioso Administrativo,</w:t>
      </w:r>
    </w:p>
    <w:p w14:paraId="4BD628FB" w14:textId="77777777" w:rsidR="008B3727" w:rsidRDefault="008B3727" w:rsidP="008B3727">
      <w:pPr>
        <w:ind w:left="708"/>
        <w:contextualSpacing/>
        <w:jc w:val="both"/>
        <w:rPr>
          <w:rFonts w:ascii="Bookman Old Style" w:eastAsia="MS Mincho" w:hAnsi="Bookman Old Style" w:cs="Arial"/>
          <w:i/>
          <w:iCs/>
          <w:sz w:val="20"/>
          <w:szCs w:val="20"/>
          <w:lang w:val="es-CO"/>
        </w:rPr>
      </w:pPr>
    </w:p>
    <w:p w14:paraId="170607F7" w14:textId="4B20FEA7" w:rsidR="008B3727" w:rsidRPr="008B3727" w:rsidRDefault="008B3727" w:rsidP="00292999">
      <w:pPr>
        <w:ind w:left="567"/>
        <w:contextualSpacing/>
        <w:jc w:val="center"/>
        <w:rPr>
          <w:rFonts w:ascii="Bookman Old Style" w:eastAsia="MS Mincho" w:hAnsi="Bookman Old Style" w:cs="Arial"/>
          <w:i/>
          <w:iCs/>
          <w:sz w:val="20"/>
          <w:szCs w:val="20"/>
          <w:lang w:val="es-CO"/>
        </w:rPr>
      </w:pPr>
      <w:r w:rsidRPr="008B3727">
        <w:rPr>
          <w:rFonts w:ascii="Bookman Old Style" w:eastAsia="MS Mincho" w:hAnsi="Bookman Old Style" w:cs="Arial"/>
          <w:i/>
          <w:iCs/>
          <w:sz w:val="20"/>
          <w:szCs w:val="20"/>
          <w:lang w:val="es-CO"/>
        </w:rPr>
        <w:t>RESUELVE:</w:t>
      </w:r>
    </w:p>
    <w:p w14:paraId="77786955" w14:textId="77777777" w:rsidR="008B3727" w:rsidRDefault="008B3727" w:rsidP="00292999">
      <w:pPr>
        <w:ind w:left="567"/>
        <w:contextualSpacing/>
        <w:jc w:val="both"/>
        <w:rPr>
          <w:rFonts w:ascii="Bookman Old Style" w:eastAsia="MS Mincho" w:hAnsi="Bookman Old Style" w:cs="Arial"/>
          <w:i/>
          <w:iCs/>
          <w:sz w:val="20"/>
          <w:szCs w:val="20"/>
          <w:lang w:val="es-CO"/>
        </w:rPr>
      </w:pPr>
    </w:p>
    <w:p w14:paraId="6A7F85C4" w14:textId="78F6BD78" w:rsidR="008B3727" w:rsidRDefault="008B3727" w:rsidP="00292999">
      <w:pPr>
        <w:ind w:left="567"/>
        <w:contextualSpacing/>
        <w:jc w:val="both"/>
        <w:rPr>
          <w:rFonts w:ascii="Bookman Old Style" w:eastAsia="MS Mincho" w:hAnsi="Bookman Old Style" w:cs="Arial"/>
          <w:i/>
          <w:iCs/>
          <w:sz w:val="20"/>
          <w:szCs w:val="20"/>
          <w:lang w:val="es-CO"/>
        </w:rPr>
      </w:pPr>
      <w:r w:rsidRPr="008B3727">
        <w:rPr>
          <w:rFonts w:ascii="Bookman Old Style" w:eastAsia="MS Mincho" w:hAnsi="Bookman Old Style" w:cs="Arial"/>
          <w:i/>
          <w:iCs/>
          <w:sz w:val="20"/>
          <w:szCs w:val="20"/>
          <w:lang w:val="es-CO"/>
        </w:rPr>
        <w:t>PRIMERO. Rechazar la solicitud presentada por la empresa GENSA S.A E.S.P.</w:t>
      </w:r>
      <w:r>
        <w:rPr>
          <w:rFonts w:ascii="Bookman Old Style" w:eastAsia="MS Mincho" w:hAnsi="Bookman Old Style" w:cs="Arial"/>
          <w:i/>
          <w:iCs/>
          <w:sz w:val="20"/>
          <w:szCs w:val="20"/>
          <w:lang w:val="es-CO"/>
        </w:rPr>
        <w:t xml:space="preserve"> </w:t>
      </w:r>
      <w:r w:rsidRPr="008B3727">
        <w:rPr>
          <w:rFonts w:ascii="Bookman Old Style" w:eastAsia="MS Mincho" w:hAnsi="Bookman Old Style" w:cs="Arial"/>
          <w:i/>
          <w:iCs/>
          <w:sz w:val="20"/>
          <w:szCs w:val="20"/>
          <w:lang w:val="es-CO"/>
        </w:rPr>
        <w:t>mediante radicado CREG E-2021-007731</w:t>
      </w:r>
      <w:r>
        <w:rPr>
          <w:rFonts w:ascii="Bookman Old Style" w:eastAsia="MS Mincho" w:hAnsi="Bookman Old Style" w:cs="Arial"/>
          <w:i/>
          <w:iCs/>
          <w:sz w:val="20"/>
          <w:szCs w:val="20"/>
          <w:lang w:val="es-CO"/>
        </w:rPr>
        <w:t>.</w:t>
      </w:r>
    </w:p>
    <w:p w14:paraId="556A65E3" w14:textId="77777777" w:rsidR="00CC6866" w:rsidRDefault="00CC6866" w:rsidP="00292999">
      <w:pPr>
        <w:ind w:left="567"/>
        <w:contextualSpacing/>
        <w:jc w:val="both"/>
        <w:rPr>
          <w:rFonts w:ascii="Bookman Old Style" w:eastAsia="MS Mincho" w:hAnsi="Bookman Old Style" w:cs="Arial"/>
          <w:i/>
          <w:iCs/>
          <w:sz w:val="20"/>
          <w:szCs w:val="20"/>
          <w:lang w:val="es-CO"/>
        </w:rPr>
      </w:pPr>
    </w:p>
    <w:p w14:paraId="5F60FBDA" w14:textId="78AC8141" w:rsidR="0006339E"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SEGUNDO. Requerir a la empresa GENSA S.A. E.S.P. para que, dentro del término</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de tres (3) días hábiles siguientes al recibo de la comunicación de este auto, remita a</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esta Comisión, con copia a DUE CAPITAL AND SERVICES S.A.S., la siguiente</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información:</w:t>
      </w:r>
    </w:p>
    <w:p w14:paraId="2AE3646B" w14:textId="77777777" w:rsidR="0006339E" w:rsidRPr="0006339E" w:rsidRDefault="0006339E" w:rsidP="00292999">
      <w:pPr>
        <w:ind w:left="567"/>
        <w:contextualSpacing/>
        <w:jc w:val="both"/>
        <w:rPr>
          <w:rFonts w:ascii="Bookman Old Style" w:eastAsia="MS Mincho" w:hAnsi="Bookman Old Style" w:cs="Arial"/>
          <w:i/>
          <w:iCs/>
          <w:sz w:val="20"/>
          <w:szCs w:val="20"/>
          <w:lang w:val="es-CO"/>
        </w:rPr>
      </w:pPr>
    </w:p>
    <w:p w14:paraId="20ABEC7C" w14:textId="51F41453" w:rsidR="0006339E"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a) En relación con las condiciones técnicas de las conexiones, según lo previsto en</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parágrafo 1 del artículo 5 de la Resolución CREG 038 de 2018, el caso particular</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del mercado relevante de comercialización de Mitú y el parque de generación</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conectado a su respectivo sistema de distribución y tomando como referencia lo</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publicado por el Consejo Nacional de Operación, CNO, en el documento</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LINEAMIENTOS Y CONTENIDO ESTUDIO DE CONEXIÓN SIMPLIFICADO</w:t>
      </w:r>
      <w:r>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PARA AGPE EN EL RANGO DE CAPACIDAD ENTRE 0.1 y 1, y AGGE MENOR</w:t>
      </w:r>
      <w:r w:rsidR="00613CE9">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A 5 MW</w:t>
      </w:r>
      <w:r w:rsidR="00613CE9">
        <w:rPr>
          <w:rFonts w:ascii="Bookman Old Style" w:eastAsia="MS Mincho" w:hAnsi="Bookman Old Style" w:cs="Arial"/>
          <w:i/>
          <w:iCs/>
          <w:sz w:val="20"/>
          <w:szCs w:val="20"/>
          <w:lang w:val="es-CO"/>
        </w:rPr>
        <w:t>’</w:t>
      </w:r>
      <w:r w:rsidRPr="0006339E">
        <w:rPr>
          <w:rFonts w:ascii="Bookman Old Style" w:eastAsia="MS Mincho" w:hAnsi="Bookman Old Style" w:cs="Arial"/>
          <w:i/>
          <w:iCs/>
          <w:sz w:val="20"/>
          <w:szCs w:val="20"/>
          <w:lang w:val="es-CO"/>
        </w:rPr>
        <w:t>:</w:t>
      </w:r>
    </w:p>
    <w:p w14:paraId="2B555E4F" w14:textId="77777777" w:rsidR="00613CE9" w:rsidRPr="0006339E" w:rsidRDefault="00613CE9" w:rsidP="00292999">
      <w:pPr>
        <w:ind w:left="567"/>
        <w:contextualSpacing/>
        <w:jc w:val="both"/>
        <w:rPr>
          <w:rFonts w:ascii="Bookman Old Style" w:eastAsia="MS Mincho" w:hAnsi="Bookman Old Style" w:cs="Arial"/>
          <w:i/>
          <w:iCs/>
          <w:sz w:val="20"/>
          <w:szCs w:val="20"/>
          <w:lang w:val="es-CO"/>
        </w:rPr>
      </w:pPr>
    </w:p>
    <w:p w14:paraId="0EC49858" w14:textId="77777777" w:rsidR="00613CE9"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i) Para conexiones al nivel de tensión N3 en sistema enmallado:</w:t>
      </w:r>
      <w:r w:rsidR="00613CE9">
        <w:rPr>
          <w:rFonts w:ascii="Bookman Old Style" w:eastAsia="MS Mincho" w:hAnsi="Bookman Old Style" w:cs="Arial"/>
          <w:i/>
          <w:iCs/>
          <w:sz w:val="20"/>
          <w:szCs w:val="20"/>
          <w:lang w:val="es-CO"/>
        </w:rPr>
        <w:t xml:space="preserve"> </w:t>
      </w:r>
    </w:p>
    <w:p w14:paraId="3A3B8139" w14:textId="75B530D8" w:rsidR="0006339E" w:rsidRPr="0006339E"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 Equivalentes de todas las subestaciones aledañas del punto de conexión</w:t>
      </w:r>
      <w:r w:rsidR="00B3766D">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(sin incluir conexiones en T) del proyecto del interesado, para todos los</w:t>
      </w:r>
      <w:r w:rsidR="00B3766D">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 xml:space="preserve">posibles caminos hasta configurarse el </w:t>
      </w:r>
      <w:r w:rsidR="00B3766D">
        <w:rPr>
          <w:rFonts w:ascii="Bookman Old Style" w:eastAsia="MS Mincho" w:hAnsi="Bookman Old Style" w:cs="Arial"/>
          <w:i/>
          <w:iCs/>
          <w:sz w:val="20"/>
          <w:szCs w:val="20"/>
          <w:lang w:val="es-CO"/>
        </w:rPr>
        <w:t>‘</w:t>
      </w:r>
      <w:r w:rsidRPr="0006339E">
        <w:rPr>
          <w:rFonts w:ascii="Bookman Old Style" w:eastAsia="MS Mincho" w:hAnsi="Bookman Old Style" w:cs="Arial"/>
          <w:i/>
          <w:iCs/>
          <w:sz w:val="20"/>
          <w:szCs w:val="20"/>
          <w:lang w:val="es-CO"/>
        </w:rPr>
        <w:t>enmallamiento</w:t>
      </w:r>
      <w:r w:rsidR="00B3766D">
        <w:rPr>
          <w:rFonts w:ascii="Bookman Old Style" w:eastAsia="MS Mincho" w:hAnsi="Bookman Old Style" w:cs="Arial"/>
          <w:i/>
          <w:iCs/>
          <w:sz w:val="20"/>
          <w:szCs w:val="20"/>
          <w:lang w:val="es-CO"/>
        </w:rPr>
        <w:t>’</w:t>
      </w:r>
      <w:r w:rsidRPr="0006339E">
        <w:rPr>
          <w:rFonts w:ascii="Bookman Old Style" w:eastAsia="MS Mincho" w:hAnsi="Bookman Old Style" w:cs="Arial"/>
          <w:i/>
          <w:iCs/>
          <w:sz w:val="20"/>
          <w:szCs w:val="20"/>
          <w:lang w:val="es-CO"/>
        </w:rPr>
        <w:t xml:space="preserve"> (ver figura).</w:t>
      </w:r>
    </w:p>
    <w:p w14:paraId="036CB847" w14:textId="208C7654" w:rsidR="0006339E" w:rsidRPr="0006339E"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 Conexiones en T que impacten la zona de influencia del proyecto del</w:t>
      </w:r>
      <w:r w:rsidR="00B3766D">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interesado en conectarse.</w:t>
      </w:r>
    </w:p>
    <w:p w14:paraId="27092C39" w14:textId="2CE347E1" w:rsidR="0006339E" w:rsidRPr="0006339E"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 Demanda equivalente de las subestaciones aledañas y parámetros de las</w:t>
      </w:r>
      <w:r w:rsidR="00B3766D">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redes asociadas.</w:t>
      </w:r>
    </w:p>
    <w:p w14:paraId="30577118" w14:textId="6461684F" w:rsidR="0006339E" w:rsidRPr="0006339E"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 Características de los generadores conectados en las subestaciones</w:t>
      </w:r>
      <w:r w:rsidR="00B3766D">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aledañas y/o que impacten a la zona de influencia de la conexión del</w:t>
      </w:r>
      <w:r w:rsidR="00B3766D">
        <w:rPr>
          <w:rFonts w:ascii="Bookman Old Style" w:eastAsia="MS Mincho" w:hAnsi="Bookman Old Style" w:cs="Arial"/>
          <w:i/>
          <w:iCs/>
          <w:sz w:val="20"/>
          <w:szCs w:val="20"/>
          <w:lang w:val="es-CO"/>
        </w:rPr>
        <w:t xml:space="preserve"> </w:t>
      </w:r>
      <w:r w:rsidRPr="0006339E">
        <w:rPr>
          <w:rFonts w:ascii="Bookman Old Style" w:eastAsia="MS Mincho" w:hAnsi="Bookman Old Style" w:cs="Arial"/>
          <w:i/>
          <w:iCs/>
          <w:sz w:val="20"/>
          <w:szCs w:val="20"/>
          <w:lang w:val="es-CO"/>
        </w:rPr>
        <w:t>interesado.</w:t>
      </w:r>
    </w:p>
    <w:p w14:paraId="6AAB984C" w14:textId="259A6110" w:rsidR="00CC6866" w:rsidRDefault="0006339E" w:rsidP="00292999">
      <w:pPr>
        <w:ind w:left="567"/>
        <w:contextualSpacing/>
        <w:jc w:val="both"/>
        <w:rPr>
          <w:rFonts w:ascii="Bookman Old Style" w:eastAsia="MS Mincho" w:hAnsi="Bookman Old Style" w:cs="Arial"/>
          <w:i/>
          <w:iCs/>
          <w:sz w:val="20"/>
          <w:szCs w:val="20"/>
          <w:lang w:val="es-CO"/>
        </w:rPr>
      </w:pPr>
      <w:r w:rsidRPr="0006339E">
        <w:rPr>
          <w:rFonts w:ascii="Bookman Old Style" w:eastAsia="MS Mincho" w:hAnsi="Bookman Old Style" w:cs="Arial"/>
          <w:i/>
          <w:iCs/>
          <w:sz w:val="20"/>
          <w:szCs w:val="20"/>
          <w:lang w:val="es-CO"/>
        </w:rPr>
        <w:t>• Principales condiciones operativas y despachos típicos.</w:t>
      </w:r>
    </w:p>
    <w:p w14:paraId="64BB8523" w14:textId="77777777" w:rsidR="00CC6866" w:rsidRDefault="00CC6866" w:rsidP="00292999">
      <w:pPr>
        <w:ind w:left="567"/>
        <w:contextualSpacing/>
        <w:jc w:val="both"/>
        <w:rPr>
          <w:rFonts w:ascii="Bookman Old Style" w:eastAsia="MS Mincho" w:hAnsi="Bookman Old Style" w:cs="Arial"/>
          <w:i/>
          <w:iCs/>
          <w:sz w:val="20"/>
          <w:szCs w:val="20"/>
          <w:lang w:val="es-CO"/>
        </w:rPr>
      </w:pPr>
    </w:p>
    <w:p w14:paraId="5E23D972" w14:textId="77777777" w:rsid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ii) Para conexión al nivel de tensión N3 en sistemas radiales:</w:t>
      </w:r>
    </w:p>
    <w:p w14:paraId="761C1C24"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p>
    <w:p w14:paraId="2059D14B"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Equivalente de la subestación.</w:t>
      </w:r>
    </w:p>
    <w:p w14:paraId="30BEECC9"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Demanda equivalente de la subestación y del circuito a modelar.</w:t>
      </w:r>
    </w:p>
    <w:p w14:paraId="278E99E3"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Parámetros de la red troncal principal.</w:t>
      </w:r>
    </w:p>
    <w:p w14:paraId="24B25C27"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Demandas agregadas que se conectan a la red troncal principal.</w:t>
      </w:r>
    </w:p>
    <w:p w14:paraId="5745DAE6" w14:textId="16EE100A"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Características de los generadores conectados en el mismo circuito y/o que</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impacten a la subestación.</w:t>
      </w:r>
    </w:p>
    <w:p w14:paraId="2DEB9D78"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Principales condiciones operativas</w:t>
      </w:r>
    </w:p>
    <w:p w14:paraId="4304DE5C" w14:textId="77777777" w:rsidR="00FB543D" w:rsidRP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 Equivalente de la subestación de respaldo, cuando aplique.</w:t>
      </w:r>
    </w:p>
    <w:p w14:paraId="413AB02B" w14:textId="77777777" w:rsidR="00CA21BD" w:rsidRDefault="00CA21BD" w:rsidP="00292999">
      <w:pPr>
        <w:ind w:left="567"/>
        <w:contextualSpacing/>
        <w:jc w:val="both"/>
        <w:rPr>
          <w:rFonts w:ascii="Bookman Old Style" w:eastAsia="MS Mincho" w:hAnsi="Bookman Old Style" w:cs="Arial"/>
          <w:i/>
          <w:iCs/>
          <w:sz w:val="20"/>
          <w:szCs w:val="20"/>
          <w:lang w:val="es-CO"/>
        </w:rPr>
      </w:pPr>
    </w:p>
    <w:p w14:paraId="793CFB90" w14:textId="1E0A7820" w:rsid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b) La información requerida para la realización del Estudio de Coordinación de</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Protecciones (corrientes máximas que circulan en caso de falla en cada</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elemento del sistema).</w:t>
      </w:r>
    </w:p>
    <w:p w14:paraId="660CC477" w14:textId="77777777" w:rsidR="00CA21BD" w:rsidRPr="00FB543D" w:rsidRDefault="00CA21BD" w:rsidP="00292999">
      <w:pPr>
        <w:ind w:left="567"/>
        <w:contextualSpacing/>
        <w:jc w:val="both"/>
        <w:rPr>
          <w:rFonts w:ascii="Bookman Old Style" w:eastAsia="MS Mincho" w:hAnsi="Bookman Old Style" w:cs="Arial"/>
          <w:i/>
          <w:iCs/>
          <w:sz w:val="20"/>
          <w:szCs w:val="20"/>
          <w:lang w:val="es-CO"/>
        </w:rPr>
      </w:pPr>
    </w:p>
    <w:p w14:paraId="639B0AD7" w14:textId="3A5E5F23" w:rsid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c) En relación con la utilización de modelos estándar para evaluar la estabilidad,</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indíquele a esta Comisión ¿cuáles son los valores de entrada del modelo?</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¿cuáles son las referencias de controladores genéricos que deben usarse? y, en</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general, ¿cuáles son los criterios que se pueden emplear para evaluar la</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estabilidad?</w:t>
      </w:r>
    </w:p>
    <w:p w14:paraId="0243DF78" w14:textId="77777777" w:rsidR="00CA21BD" w:rsidRPr="00FB543D" w:rsidRDefault="00CA21BD" w:rsidP="00292999">
      <w:pPr>
        <w:ind w:left="567"/>
        <w:contextualSpacing/>
        <w:jc w:val="both"/>
        <w:rPr>
          <w:rFonts w:ascii="Bookman Old Style" w:eastAsia="MS Mincho" w:hAnsi="Bookman Old Style" w:cs="Arial"/>
          <w:i/>
          <w:iCs/>
          <w:sz w:val="20"/>
          <w:szCs w:val="20"/>
          <w:lang w:val="es-CO"/>
        </w:rPr>
      </w:pPr>
    </w:p>
    <w:p w14:paraId="33C958B1" w14:textId="2FA29DEA" w:rsidR="00FB543D"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d) En relación con los puntos de conexión y de medición entre generador y</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distribuidor para el mercado relevante de comercialización de Mitú, allegue a esta</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Comisión el o los contratos de conexión suscritos con el distribuidor de la zona,</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según lo previsto en el parágrafo 2 del artículo 5, de la Resolución CREG 038 de</w:t>
      </w:r>
      <w:r w:rsidR="00CA21BD">
        <w:rPr>
          <w:rFonts w:ascii="Bookman Old Style" w:eastAsia="MS Mincho" w:hAnsi="Bookman Old Style" w:cs="Arial"/>
          <w:i/>
          <w:iCs/>
          <w:sz w:val="20"/>
          <w:szCs w:val="20"/>
          <w:lang w:val="es-CO"/>
        </w:rPr>
        <w:t xml:space="preserve"> </w:t>
      </w:r>
      <w:r w:rsidRPr="00FB543D">
        <w:rPr>
          <w:rFonts w:ascii="Bookman Old Style" w:eastAsia="MS Mincho" w:hAnsi="Bookman Old Style" w:cs="Arial"/>
          <w:i/>
          <w:iCs/>
          <w:sz w:val="20"/>
          <w:szCs w:val="20"/>
          <w:lang w:val="es-CO"/>
        </w:rPr>
        <w:t>2018, y en caso de no tenerlos manifestar por escrito dicha situación.</w:t>
      </w:r>
    </w:p>
    <w:p w14:paraId="2EBF8AD3" w14:textId="77777777" w:rsidR="00CA21BD" w:rsidRPr="00FB543D" w:rsidRDefault="00CA21BD" w:rsidP="00292999">
      <w:pPr>
        <w:ind w:left="567"/>
        <w:contextualSpacing/>
        <w:jc w:val="both"/>
        <w:rPr>
          <w:rFonts w:ascii="Bookman Old Style" w:eastAsia="MS Mincho" w:hAnsi="Bookman Old Style" w:cs="Arial"/>
          <w:i/>
          <w:iCs/>
          <w:sz w:val="20"/>
          <w:szCs w:val="20"/>
          <w:lang w:val="es-CO"/>
        </w:rPr>
      </w:pPr>
    </w:p>
    <w:p w14:paraId="6526ED72" w14:textId="4E5C5B10" w:rsidR="00CC6866" w:rsidRDefault="00FB543D" w:rsidP="00292999">
      <w:pPr>
        <w:ind w:left="567"/>
        <w:contextualSpacing/>
        <w:jc w:val="both"/>
        <w:rPr>
          <w:rFonts w:ascii="Bookman Old Style" w:eastAsia="MS Mincho" w:hAnsi="Bookman Old Style" w:cs="Arial"/>
          <w:i/>
          <w:iCs/>
          <w:sz w:val="20"/>
          <w:szCs w:val="20"/>
          <w:lang w:val="es-CO"/>
        </w:rPr>
      </w:pPr>
      <w:r w:rsidRPr="00FB543D">
        <w:rPr>
          <w:rFonts w:ascii="Bookman Old Style" w:eastAsia="MS Mincho" w:hAnsi="Bookman Old Style" w:cs="Arial"/>
          <w:i/>
          <w:iCs/>
          <w:sz w:val="20"/>
          <w:szCs w:val="20"/>
          <w:lang w:val="es-CO"/>
        </w:rPr>
        <w:t>e) Copia del comunicado GENSA-PRE12712021.</w:t>
      </w:r>
    </w:p>
    <w:p w14:paraId="621BF5BB" w14:textId="77777777" w:rsidR="00CC6866" w:rsidRDefault="00CC6866" w:rsidP="00292999">
      <w:pPr>
        <w:ind w:left="567"/>
        <w:contextualSpacing/>
        <w:jc w:val="both"/>
        <w:rPr>
          <w:rFonts w:ascii="Bookman Old Style" w:eastAsia="MS Mincho" w:hAnsi="Bookman Old Style" w:cs="Arial"/>
          <w:i/>
          <w:iCs/>
          <w:sz w:val="20"/>
          <w:szCs w:val="20"/>
          <w:lang w:val="es-CO"/>
        </w:rPr>
      </w:pPr>
    </w:p>
    <w:p w14:paraId="7D1675CA" w14:textId="6A9DBBC8" w:rsidR="007E6FC1" w:rsidRDefault="007E6FC1" w:rsidP="00292999">
      <w:pPr>
        <w:ind w:left="567"/>
        <w:contextualSpacing/>
        <w:jc w:val="both"/>
        <w:rPr>
          <w:rFonts w:ascii="Bookman Old Style" w:eastAsia="MS Mincho" w:hAnsi="Bookman Old Style" w:cs="Arial"/>
          <w:i/>
          <w:iCs/>
          <w:sz w:val="20"/>
          <w:szCs w:val="20"/>
          <w:lang w:val="es-CO"/>
        </w:rPr>
      </w:pPr>
      <w:r w:rsidRPr="007E6FC1">
        <w:rPr>
          <w:rFonts w:ascii="Bookman Old Style" w:eastAsia="MS Mincho" w:hAnsi="Bookman Old Style" w:cs="Arial"/>
          <w:i/>
          <w:iCs/>
          <w:sz w:val="20"/>
          <w:szCs w:val="20"/>
          <w:lang w:val="es-CO"/>
        </w:rPr>
        <w:t>TERCERO. Dar a Due Capital &amp; Services S.A.S. un término de cinco (5) días hábiles</w:t>
      </w:r>
      <w:r>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siguientes al recibo de la información de que trata el artículo segundo de este auto</w:t>
      </w:r>
      <w:r>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para que se pronuncie sobre su contenido y si a bien tiene, complemente o ajuste el</w:t>
      </w:r>
      <w:r>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estudio de conexión remitido a GENSA S.A. E.S.P. el 25 de junio del año en curso</w:t>
      </w:r>
      <w:r w:rsidR="003B571E">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referenciado en la comunicación de radicado CREG E-2021-007731. Se solicita que</w:t>
      </w:r>
      <w:r w:rsidR="003B571E">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la respuesta sea remitida a esta Comisión y a GENSA S.A. E.S.P.</w:t>
      </w:r>
    </w:p>
    <w:p w14:paraId="035C2FD4" w14:textId="77777777" w:rsidR="003B571E" w:rsidRPr="007E6FC1" w:rsidRDefault="003B571E" w:rsidP="00292999">
      <w:pPr>
        <w:ind w:left="567"/>
        <w:contextualSpacing/>
        <w:jc w:val="both"/>
        <w:rPr>
          <w:rFonts w:ascii="Bookman Old Style" w:eastAsia="MS Mincho" w:hAnsi="Bookman Old Style" w:cs="Arial"/>
          <w:i/>
          <w:iCs/>
          <w:sz w:val="20"/>
          <w:szCs w:val="20"/>
          <w:lang w:val="es-CO"/>
        </w:rPr>
      </w:pPr>
    </w:p>
    <w:p w14:paraId="45688867" w14:textId="2CBC1077" w:rsidR="007E6FC1" w:rsidRDefault="007E6FC1" w:rsidP="00292999">
      <w:pPr>
        <w:ind w:left="567"/>
        <w:contextualSpacing/>
        <w:jc w:val="both"/>
        <w:rPr>
          <w:rFonts w:ascii="Bookman Old Style" w:eastAsia="MS Mincho" w:hAnsi="Bookman Old Style" w:cs="Arial"/>
          <w:i/>
          <w:iCs/>
          <w:sz w:val="20"/>
          <w:szCs w:val="20"/>
          <w:lang w:val="es-CO"/>
        </w:rPr>
      </w:pPr>
      <w:r w:rsidRPr="007E6FC1">
        <w:rPr>
          <w:rFonts w:ascii="Bookman Old Style" w:eastAsia="MS Mincho" w:hAnsi="Bookman Old Style" w:cs="Arial"/>
          <w:i/>
          <w:iCs/>
          <w:sz w:val="20"/>
          <w:szCs w:val="20"/>
          <w:lang w:val="es-CO"/>
        </w:rPr>
        <w:t>CUARTO. Teniendo en cuenta que GENSA S.A. E.S.P. tiene conocimiento del estudio</w:t>
      </w:r>
      <w:r w:rsidR="003B571E">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 xml:space="preserve">de conexión </w:t>
      </w:r>
      <w:r w:rsidR="003B571E">
        <w:rPr>
          <w:rFonts w:ascii="Bookman Old Style" w:eastAsia="MS Mincho" w:hAnsi="Bookman Old Style" w:cs="Arial"/>
          <w:i/>
          <w:iCs/>
          <w:sz w:val="20"/>
          <w:szCs w:val="20"/>
          <w:lang w:val="es-CO"/>
        </w:rPr>
        <w:t>‘</w:t>
      </w:r>
      <w:r w:rsidRPr="007E6FC1">
        <w:rPr>
          <w:rFonts w:ascii="Bookman Old Style" w:eastAsia="MS Mincho" w:hAnsi="Bookman Old Style" w:cs="Arial"/>
          <w:i/>
          <w:iCs/>
          <w:sz w:val="20"/>
          <w:szCs w:val="20"/>
          <w:lang w:val="es-CO"/>
        </w:rPr>
        <w:t>versión final</w:t>
      </w:r>
      <w:r w:rsidR="003B571E">
        <w:rPr>
          <w:rFonts w:ascii="Bookman Old Style" w:eastAsia="MS Mincho" w:hAnsi="Bookman Old Style" w:cs="Arial"/>
          <w:i/>
          <w:iCs/>
          <w:sz w:val="20"/>
          <w:szCs w:val="20"/>
          <w:lang w:val="es-CO"/>
        </w:rPr>
        <w:t>’</w:t>
      </w:r>
      <w:r w:rsidRPr="007E6FC1">
        <w:rPr>
          <w:rFonts w:ascii="Bookman Old Style" w:eastAsia="MS Mincho" w:hAnsi="Bookman Old Style" w:cs="Arial"/>
          <w:i/>
          <w:iCs/>
          <w:sz w:val="20"/>
          <w:szCs w:val="20"/>
          <w:lang w:val="es-CO"/>
        </w:rPr>
        <w:t>, remitido mediante correo electrónico por Due Capital &amp;</w:t>
      </w:r>
      <w:r w:rsidR="003B571E">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Services S.A.S., desde el 25 de junio del año en curso, dar a GENSA S.A E.S.P un</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plazo de diez (10) días hábiles siguientes a la respuesta de la que trata el artículo</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tercero del presente auto para que realice el análisis de los estudios y emita concepto</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sobre la factibilidad técnica de la conexión, informándolo a esta Comisión y a Due</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Capital &amp; Services S.A.S.</w:t>
      </w:r>
    </w:p>
    <w:p w14:paraId="686E80D1" w14:textId="77777777" w:rsidR="006E2741" w:rsidRPr="007E6FC1" w:rsidRDefault="006E2741" w:rsidP="00292999">
      <w:pPr>
        <w:ind w:left="567"/>
        <w:contextualSpacing/>
        <w:jc w:val="both"/>
        <w:rPr>
          <w:rFonts w:ascii="Bookman Old Style" w:eastAsia="MS Mincho" w:hAnsi="Bookman Old Style" w:cs="Arial"/>
          <w:i/>
          <w:iCs/>
          <w:sz w:val="20"/>
          <w:szCs w:val="20"/>
          <w:lang w:val="es-CO"/>
        </w:rPr>
      </w:pPr>
    </w:p>
    <w:p w14:paraId="4E52EC07" w14:textId="4E51592B" w:rsidR="007E6FC1" w:rsidRDefault="007E6FC1" w:rsidP="00292999">
      <w:pPr>
        <w:ind w:left="567"/>
        <w:contextualSpacing/>
        <w:jc w:val="both"/>
        <w:rPr>
          <w:rFonts w:ascii="Bookman Old Style" w:eastAsia="MS Mincho" w:hAnsi="Bookman Old Style" w:cs="Arial"/>
          <w:i/>
          <w:iCs/>
          <w:sz w:val="20"/>
          <w:szCs w:val="20"/>
          <w:lang w:val="es-CO"/>
        </w:rPr>
      </w:pPr>
      <w:r w:rsidRPr="007E6FC1">
        <w:rPr>
          <w:rFonts w:ascii="Bookman Old Style" w:eastAsia="MS Mincho" w:hAnsi="Bookman Old Style" w:cs="Arial"/>
          <w:i/>
          <w:iCs/>
          <w:sz w:val="20"/>
          <w:szCs w:val="20"/>
          <w:lang w:val="es-CO"/>
        </w:rPr>
        <w:t>En caso de que la conexión no fuera factible, GENSA S.A. E.S.P., en su comunicación,</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deberá justificar técnicamente las causas, especificando el fundamento normativo o</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técnico que lo soporte, indicando con precisión los requisitos que deben ser cumplidos</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para que la conexión sea factible, o detallar las obras requeridas para hacerla posible.</w:t>
      </w:r>
    </w:p>
    <w:p w14:paraId="4215DDB2" w14:textId="77777777" w:rsidR="006E2741" w:rsidRPr="007E6FC1" w:rsidRDefault="006E2741" w:rsidP="00292999">
      <w:pPr>
        <w:ind w:left="567"/>
        <w:contextualSpacing/>
        <w:jc w:val="both"/>
        <w:rPr>
          <w:rFonts w:ascii="Bookman Old Style" w:eastAsia="MS Mincho" w:hAnsi="Bookman Old Style" w:cs="Arial"/>
          <w:i/>
          <w:iCs/>
          <w:sz w:val="20"/>
          <w:szCs w:val="20"/>
          <w:lang w:val="es-CO"/>
        </w:rPr>
      </w:pPr>
    </w:p>
    <w:p w14:paraId="04F6EF4F" w14:textId="3BA650D4" w:rsidR="00CC6866" w:rsidRDefault="007E6FC1" w:rsidP="00292999">
      <w:pPr>
        <w:ind w:left="567"/>
        <w:contextualSpacing/>
        <w:jc w:val="both"/>
        <w:rPr>
          <w:rFonts w:ascii="Bookman Old Style" w:eastAsia="MS Mincho" w:hAnsi="Bookman Old Style" w:cs="Arial"/>
          <w:i/>
          <w:iCs/>
          <w:sz w:val="20"/>
          <w:szCs w:val="20"/>
          <w:lang w:val="es-CO"/>
        </w:rPr>
      </w:pPr>
      <w:r w:rsidRPr="007E6FC1">
        <w:rPr>
          <w:rFonts w:ascii="Bookman Old Style" w:eastAsia="MS Mincho" w:hAnsi="Bookman Old Style" w:cs="Arial"/>
          <w:i/>
          <w:iCs/>
          <w:sz w:val="20"/>
          <w:szCs w:val="20"/>
          <w:lang w:val="es-CO"/>
        </w:rPr>
        <w:t>QUINTO. Solicitar a la Gobernación del Vaupés, Secretaría de Infraestructura</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Departamental, para que dentro del término de cinco (5) días hábiles siguientes al</w:t>
      </w:r>
      <w:r w:rsidR="006E2741">
        <w:rPr>
          <w:rFonts w:ascii="Bookman Old Style" w:eastAsia="MS Mincho" w:hAnsi="Bookman Old Style" w:cs="Arial"/>
          <w:i/>
          <w:iCs/>
          <w:sz w:val="20"/>
          <w:szCs w:val="20"/>
          <w:lang w:val="es-CO"/>
        </w:rPr>
        <w:t xml:space="preserve"> </w:t>
      </w:r>
      <w:r w:rsidRPr="007E6FC1">
        <w:rPr>
          <w:rFonts w:ascii="Bookman Old Style" w:eastAsia="MS Mincho" w:hAnsi="Bookman Old Style" w:cs="Arial"/>
          <w:i/>
          <w:iCs/>
          <w:sz w:val="20"/>
          <w:szCs w:val="20"/>
          <w:lang w:val="es-CO"/>
        </w:rPr>
        <w:t>recibo de la comunicación de este auto, le informe a esta Comisión:</w:t>
      </w:r>
    </w:p>
    <w:p w14:paraId="636F37C3" w14:textId="77777777" w:rsidR="00403106" w:rsidRDefault="00403106" w:rsidP="00292999">
      <w:pPr>
        <w:ind w:left="567"/>
        <w:contextualSpacing/>
        <w:jc w:val="both"/>
        <w:rPr>
          <w:rFonts w:ascii="Bookman Old Style" w:eastAsia="MS Mincho" w:hAnsi="Bookman Old Style" w:cs="Arial"/>
          <w:i/>
          <w:iCs/>
          <w:sz w:val="20"/>
          <w:szCs w:val="20"/>
          <w:lang w:val="es-CO"/>
        </w:rPr>
      </w:pPr>
    </w:p>
    <w:p w14:paraId="12D37A07" w14:textId="4E3E1156" w:rsidR="00403106" w:rsidRPr="00403106" w:rsidRDefault="00403106" w:rsidP="00292999">
      <w:pPr>
        <w:ind w:left="567"/>
        <w:contextualSpacing/>
        <w:jc w:val="both"/>
        <w:rPr>
          <w:rFonts w:ascii="Bookman Old Style" w:eastAsia="MS Mincho" w:hAnsi="Bookman Old Style" w:cs="Arial"/>
          <w:i/>
          <w:iCs/>
          <w:sz w:val="20"/>
          <w:szCs w:val="20"/>
          <w:lang w:val="es-CO"/>
        </w:rPr>
      </w:pPr>
      <w:r w:rsidRPr="00403106">
        <w:rPr>
          <w:rFonts w:ascii="Bookman Old Style" w:eastAsia="MS Mincho" w:hAnsi="Bookman Old Style" w:cs="Arial"/>
          <w:i/>
          <w:iCs/>
          <w:sz w:val="20"/>
          <w:szCs w:val="20"/>
          <w:lang w:val="es-CO"/>
        </w:rPr>
        <w:t>a) ¿Cómo se atiende a las poblaciones o comunidades de: Santa cruz, puente lata,</w:t>
      </w:r>
      <w:r>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finca bambague, comunidad yararaka, comunidad de timbo, comunidad de pueblo</w:t>
      </w:r>
      <w:r>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nuevo, finca caqueteña, comunidad cucura, finca yeny quiñones, finca la</w:t>
      </w:r>
      <w:r>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esperanza, comunidad de macayuca, comunidad de ceima san pablo, granja</w:t>
      </w:r>
      <w:r>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departamental, finca Gaudencio braga, finca Aníbal, finca Jesús Hica, fin</w:t>
      </w:r>
      <w:r>
        <w:rPr>
          <w:rFonts w:ascii="Bookman Old Style" w:eastAsia="MS Mincho" w:hAnsi="Bookman Old Style" w:cs="Arial"/>
          <w:i/>
          <w:iCs/>
          <w:sz w:val="20"/>
          <w:szCs w:val="20"/>
          <w:lang w:val="es-CO"/>
        </w:rPr>
        <w:t>c</w:t>
      </w:r>
      <w:r w:rsidRPr="00403106">
        <w:rPr>
          <w:rFonts w:ascii="Bookman Old Style" w:eastAsia="MS Mincho" w:hAnsi="Bookman Old Style" w:cs="Arial"/>
          <w:i/>
          <w:iCs/>
          <w:sz w:val="20"/>
          <w:szCs w:val="20"/>
          <w:lang w:val="es-CO"/>
        </w:rPr>
        <w:t xml:space="preserve"> a del</w:t>
      </w:r>
      <w:r>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mono nieto, finca de Jesús chica, comunidad de villa pinzón, finca de los curas,</w:t>
      </w:r>
      <w:r w:rsidR="0061737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finca de don Luis, comunidad yararaka?.</w:t>
      </w:r>
    </w:p>
    <w:p w14:paraId="35E5579F" w14:textId="77777777" w:rsidR="00617376" w:rsidRDefault="00617376" w:rsidP="00292999">
      <w:pPr>
        <w:ind w:left="567"/>
        <w:contextualSpacing/>
        <w:jc w:val="both"/>
        <w:rPr>
          <w:rFonts w:ascii="Bookman Old Style" w:eastAsia="MS Mincho" w:hAnsi="Bookman Old Style" w:cs="Arial"/>
          <w:i/>
          <w:iCs/>
          <w:sz w:val="20"/>
          <w:szCs w:val="20"/>
          <w:lang w:val="es-CO"/>
        </w:rPr>
      </w:pPr>
    </w:p>
    <w:p w14:paraId="70FBDD6D" w14:textId="7F14CEE1" w:rsidR="00A93D7D" w:rsidRDefault="00403106" w:rsidP="00292999">
      <w:pPr>
        <w:ind w:left="567"/>
        <w:contextualSpacing/>
        <w:jc w:val="both"/>
        <w:rPr>
          <w:rFonts w:ascii="Bookman Old Style" w:eastAsia="MS Mincho" w:hAnsi="Bookman Old Style" w:cs="Arial"/>
          <w:i/>
          <w:iCs/>
          <w:sz w:val="20"/>
          <w:szCs w:val="20"/>
          <w:lang w:val="es-CO"/>
        </w:rPr>
      </w:pPr>
      <w:r w:rsidRPr="00403106">
        <w:rPr>
          <w:rFonts w:ascii="Bookman Old Style" w:eastAsia="MS Mincho" w:hAnsi="Bookman Old Style" w:cs="Arial"/>
          <w:i/>
          <w:iCs/>
          <w:sz w:val="20"/>
          <w:szCs w:val="20"/>
          <w:lang w:val="es-CO"/>
        </w:rPr>
        <w:t>En el informe requerido se debe indicar para cada población: i. ¿Cuáles son los</w:t>
      </w:r>
      <w:r w:rsidR="0061737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activos de distribución, incluyendo su nivel de tensión, con los que se atiende dicha</w:t>
      </w:r>
      <w:r w:rsidR="0061737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población o comunidad y son administrados, operados y mantenidos por la</w:t>
      </w:r>
      <w:r w:rsidR="0061737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Gobernación del Vaupés? ii. ¿Cuál es el nivel de tensión de la infraestructura a la</w:t>
      </w:r>
      <w:r w:rsidR="009970A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que se conectan y de donde toman la energía los activos de distribución que</w:t>
      </w:r>
      <w:r w:rsidR="009970A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administra, opera y mantiene la Gobernación del Vaupés para atender dicha</w:t>
      </w:r>
      <w:r w:rsidR="009970A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población o comunidad?; iii. ¿Cuál es el punto de conexión entre los activos de</w:t>
      </w:r>
      <w:r w:rsidR="009970A6">
        <w:rPr>
          <w:rFonts w:ascii="Bookman Old Style" w:eastAsia="MS Mincho" w:hAnsi="Bookman Old Style" w:cs="Arial"/>
          <w:i/>
          <w:iCs/>
          <w:sz w:val="20"/>
          <w:szCs w:val="20"/>
          <w:lang w:val="es-CO"/>
        </w:rPr>
        <w:t xml:space="preserve"> </w:t>
      </w:r>
      <w:r w:rsidRPr="00403106">
        <w:rPr>
          <w:rFonts w:ascii="Bookman Old Style" w:eastAsia="MS Mincho" w:hAnsi="Bookman Old Style" w:cs="Arial"/>
          <w:i/>
          <w:iCs/>
          <w:sz w:val="20"/>
          <w:szCs w:val="20"/>
          <w:lang w:val="es-CO"/>
        </w:rPr>
        <w:t>distribución que administra, opera y mantiene la Gobernación del Vaupés para</w:t>
      </w:r>
      <w:r w:rsidR="009970A6">
        <w:rPr>
          <w:rFonts w:ascii="Bookman Old Style" w:eastAsia="MS Mincho" w:hAnsi="Bookman Old Style" w:cs="Arial"/>
          <w:i/>
          <w:iCs/>
          <w:sz w:val="20"/>
          <w:szCs w:val="20"/>
          <w:lang w:val="es-CO"/>
        </w:rPr>
        <w:t xml:space="preserve"> </w:t>
      </w:r>
      <w:r w:rsidR="009970A6" w:rsidRPr="009970A6">
        <w:rPr>
          <w:rFonts w:ascii="Bookman Old Style" w:eastAsia="MS Mincho" w:hAnsi="Bookman Old Style" w:cs="Arial"/>
          <w:i/>
          <w:iCs/>
          <w:sz w:val="20"/>
          <w:szCs w:val="20"/>
          <w:lang w:val="es-CO"/>
        </w:rPr>
        <w:t>atender dicha población o comunidad y la infraestructura a la que se conectan para</w:t>
      </w:r>
      <w:r w:rsidR="00BF33A9">
        <w:rPr>
          <w:rFonts w:ascii="Bookman Old Style" w:eastAsia="MS Mincho" w:hAnsi="Bookman Old Style" w:cs="Arial"/>
          <w:i/>
          <w:iCs/>
          <w:sz w:val="20"/>
          <w:szCs w:val="20"/>
          <w:lang w:val="es-CO"/>
        </w:rPr>
        <w:t xml:space="preserve"> </w:t>
      </w:r>
      <w:r w:rsidR="009970A6" w:rsidRPr="009970A6">
        <w:rPr>
          <w:rFonts w:ascii="Bookman Old Style" w:eastAsia="MS Mincho" w:hAnsi="Bookman Old Style" w:cs="Arial"/>
          <w:i/>
          <w:iCs/>
          <w:sz w:val="20"/>
          <w:szCs w:val="20"/>
          <w:lang w:val="es-CO"/>
        </w:rPr>
        <w:t>tomar la energía?</w:t>
      </w:r>
      <w:r w:rsidR="00BF33A9">
        <w:rPr>
          <w:rFonts w:ascii="Bookman Old Style" w:eastAsia="MS Mincho" w:hAnsi="Bookman Old Style" w:cs="Arial"/>
          <w:i/>
          <w:iCs/>
          <w:sz w:val="20"/>
          <w:szCs w:val="20"/>
          <w:lang w:val="es-CO"/>
        </w:rPr>
        <w:t xml:space="preserve"> (…)</w:t>
      </w:r>
      <w:r w:rsidR="00A93D7D">
        <w:rPr>
          <w:rFonts w:ascii="Bookman Old Style" w:eastAsia="MS Mincho" w:hAnsi="Bookman Old Style" w:cs="Arial"/>
          <w:i/>
          <w:iCs/>
          <w:sz w:val="20"/>
          <w:szCs w:val="20"/>
          <w:lang w:val="es-CO"/>
        </w:rPr>
        <w:t>”</w:t>
      </w:r>
    </w:p>
    <w:p w14:paraId="008FB4AF" w14:textId="77777777" w:rsidR="00FD44F4" w:rsidRPr="00A93D7D" w:rsidRDefault="00FD44F4" w:rsidP="00E57F55">
      <w:pPr>
        <w:ind w:left="284"/>
        <w:contextualSpacing/>
        <w:jc w:val="both"/>
        <w:rPr>
          <w:rFonts w:ascii="Bookman Old Style" w:eastAsia="MS Mincho" w:hAnsi="Bookman Old Style" w:cs="Arial"/>
          <w:lang w:val="es-CO"/>
        </w:rPr>
      </w:pPr>
    </w:p>
    <w:p w14:paraId="4C950FEC" w14:textId="524E2D98" w:rsidR="0086593E" w:rsidRPr="0086458B" w:rsidRDefault="0086593E" w:rsidP="0086593E">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 xml:space="preserve">Mediante comunicaciones </w:t>
      </w:r>
      <w:r>
        <w:rPr>
          <w:rFonts w:ascii="Bookman Old Style" w:eastAsia="MS Mincho" w:hAnsi="Bookman Old Style" w:cs="Arial"/>
          <w:lang w:val="es-CO"/>
        </w:rPr>
        <w:t xml:space="preserve">con radicados </w:t>
      </w:r>
      <w:r w:rsidRPr="0086458B">
        <w:rPr>
          <w:rFonts w:ascii="Bookman Old Style" w:eastAsia="MS Mincho" w:hAnsi="Bookman Old Style" w:cs="Arial"/>
          <w:lang w:val="es-CO"/>
        </w:rPr>
        <w:t>S-2021-00</w:t>
      </w:r>
      <w:r w:rsidR="000561B5">
        <w:rPr>
          <w:rFonts w:ascii="Bookman Old Style" w:eastAsia="MS Mincho" w:hAnsi="Bookman Old Style" w:cs="Arial"/>
          <w:lang w:val="es-CO"/>
        </w:rPr>
        <w:t>3293</w:t>
      </w:r>
      <w:r w:rsidRPr="0086458B">
        <w:rPr>
          <w:rFonts w:ascii="Bookman Old Style" w:eastAsia="MS Mincho" w:hAnsi="Bookman Old Style" w:cs="Arial"/>
          <w:lang w:val="es-CO"/>
        </w:rPr>
        <w:t>, S-2021-00</w:t>
      </w:r>
      <w:r w:rsidR="000561B5">
        <w:rPr>
          <w:rFonts w:ascii="Bookman Old Style" w:eastAsia="MS Mincho" w:hAnsi="Bookman Old Style" w:cs="Arial"/>
          <w:lang w:val="es-CO"/>
        </w:rPr>
        <w:t>3294</w:t>
      </w:r>
      <w:r w:rsidRPr="0086458B">
        <w:rPr>
          <w:rFonts w:ascii="Bookman Old Style" w:eastAsia="MS Mincho" w:hAnsi="Bookman Old Style" w:cs="Arial"/>
          <w:lang w:val="es-CO"/>
        </w:rPr>
        <w:t>, S-2021-00</w:t>
      </w:r>
      <w:r w:rsidR="000561B5">
        <w:rPr>
          <w:rFonts w:ascii="Bookman Old Style" w:eastAsia="MS Mincho" w:hAnsi="Bookman Old Style" w:cs="Arial"/>
          <w:lang w:val="es-CO"/>
        </w:rPr>
        <w:t xml:space="preserve">3295 </w:t>
      </w:r>
      <w:r w:rsidRPr="0086458B">
        <w:rPr>
          <w:rFonts w:ascii="Bookman Old Style" w:eastAsia="MS Mincho" w:hAnsi="Bookman Old Style" w:cs="Arial"/>
          <w:lang w:val="es-CO"/>
        </w:rPr>
        <w:t>y S-2021-00</w:t>
      </w:r>
      <w:r w:rsidR="000561B5">
        <w:rPr>
          <w:rFonts w:ascii="Bookman Old Style" w:eastAsia="MS Mincho" w:hAnsi="Bookman Old Style" w:cs="Arial"/>
          <w:lang w:val="es-CO"/>
        </w:rPr>
        <w:t>3296</w:t>
      </w:r>
      <w:r w:rsidRPr="0086458B">
        <w:rPr>
          <w:rFonts w:ascii="Bookman Old Style" w:eastAsia="MS Mincho" w:hAnsi="Bookman Old Style" w:cs="Arial"/>
          <w:lang w:val="es-CO"/>
        </w:rPr>
        <w:t xml:space="preserve"> se informó a </w:t>
      </w:r>
      <w:r>
        <w:rPr>
          <w:rFonts w:ascii="Bookman Old Style" w:eastAsia="MS Mincho" w:hAnsi="Bookman Old Style" w:cs="Arial"/>
          <w:lang w:val="es-CO"/>
        </w:rPr>
        <w:t>DUE</w:t>
      </w:r>
      <w:r w:rsidRPr="0086458B">
        <w:rPr>
          <w:rFonts w:ascii="Bookman Old Style" w:eastAsia="MS Mincho" w:hAnsi="Bookman Old Style" w:cs="Arial"/>
          <w:lang w:val="es-CO"/>
        </w:rPr>
        <w:t xml:space="preserve">, GENSA, la Gobernación y </w:t>
      </w:r>
      <w:r>
        <w:rPr>
          <w:rFonts w:ascii="Bookman Old Style" w:eastAsia="MS Mincho" w:hAnsi="Bookman Old Style" w:cs="Arial"/>
          <w:lang w:val="es-CO"/>
        </w:rPr>
        <w:t>MME</w:t>
      </w:r>
      <w:r w:rsidRPr="0086458B">
        <w:rPr>
          <w:rFonts w:ascii="Bookman Old Style" w:eastAsia="MS Mincho" w:hAnsi="Bookman Old Style" w:cs="Arial"/>
          <w:lang w:val="es-CO"/>
        </w:rPr>
        <w:t>, del contenido del Auto I-2021-00</w:t>
      </w:r>
      <w:r w:rsidR="00766205">
        <w:rPr>
          <w:rFonts w:ascii="Bookman Old Style" w:eastAsia="MS Mincho" w:hAnsi="Bookman Old Style" w:cs="Arial"/>
          <w:lang w:val="es-CO"/>
        </w:rPr>
        <w:t>2009</w:t>
      </w:r>
      <w:r w:rsidRPr="0086458B">
        <w:rPr>
          <w:rFonts w:ascii="Bookman Old Style" w:eastAsia="MS Mincho" w:hAnsi="Bookman Old Style" w:cs="Arial"/>
          <w:lang w:val="es-CO"/>
        </w:rPr>
        <w:t>.</w:t>
      </w:r>
    </w:p>
    <w:p w14:paraId="7042C539" w14:textId="77777777" w:rsidR="0086593E" w:rsidRDefault="0086593E" w:rsidP="00E57F55">
      <w:pPr>
        <w:ind w:left="284"/>
        <w:contextualSpacing/>
        <w:jc w:val="both"/>
        <w:rPr>
          <w:rFonts w:ascii="Bookman Old Style" w:eastAsia="MS Mincho" w:hAnsi="Bookman Old Style" w:cs="Arial"/>
        </w:rPr>
      </w:pPr>
    </w:p>
    <w:p w14:paraId="09964D86" w14:textId="5950A78A" w:rsidR="003807AB" w:rsidRDefault="00AD103E" w:rsidP="00E57F55">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 xml:space="preserve">Mediante </w:t>
      </w:r>
      <w:r w:rsidR="00766205">
        <w:rPr>
          <w:rFonts w:ascii="Bookman Old Style" w:eastAsia="MS Mincho" w:hAnsi="Bookman Old Style" w:cs="Arial"/>
          <w:lang w:val="es-CO"/>
        </w:rPr>
        <w:t xml:space="preserve">comunicación con </w:t>
      </w:r>
      <w:r w:rsidRPr="0086458B">
        <w:rPr>
          <w:rFonts w:ascii="Bookman Old Style" w:eastAsia="MS Mincho" w:hAnsi="Bookman Old Style" w:cs="Arial"/>
          <w:lang w:val="es-CO"/>
        </w:rPr>
        <w:t>radicado CREG E-2021-00</w:t>
      </w:r>
      <w:r w:rsidR="003C44CE" w:rsidRPr="0086458B">
        <w:rPr>
          <w:rFonts w:ascii="Bookman Old Style" w:eastAsia="MS Mincho" w:hAnsi="Bookman Old Style" w:cs="Arial"/>
          <w:lang w:val="es-CO"/>
        </w:rPr>
        <w:t xml:space="preserve">8120 </w:t>
      </w:r>
      <w:r w:rsidR="00DB3349">
        <w:rPr>
          <w:rFonts w:ascii="Bookman Old Style" w:eastAsia="MS Mincho" w:hAnsi="Bookman Old Style" w:cs="Arial"/>
          <w:lang w:val="es-CO"/>
        </w:rPr>
        <w:t xml:space="preserve">DUE </w:t>
      </w:r>
      <w:r w:rsidR="00FE3ED5" w:rsidRPr="0086458B">
        <w:rPr>
          <w:rFonts w:ascii="Bookman Old Style" w:eastAsia="MS Mincho" w:hAnsi="Bookman Old Style" w:cs="Arial"/>
          <w:lang w:val="es-CO"/>
        </w:rPr>
        <w:t xml:space="preserve">se pronunció sobre </w:t>
      </w:r>
      <w:r w:rsidR="0025485B" w:rsidRPr="0086458B">
        <w:rPr>
          <w:rFonts w:ascii="Bookman Old Style" w:eastAsia="MS Mincho" w:hAnsi="Bookman Old Style" w:cs="Arial"/>
          <w:lang w:val="es-CO"/>
        </w:rPr>
        <w:t>el contenido de</w:t>
      </w:r>
      <w:r w:rsidR="00F64FF4">
        <w:rPr>
          <w:rFonts w:ascii="Bookman Old Style" w:eastAsia="MS Mincho" w:hAnsi="Bookman Old Style" w:cs="Arial"/>
          <w:lang w:val="es-CO"/>
        </w:rPr>
        <w:t xml:space="preserve"> </w:t>
      </w:r>
      <w:r w:rsidR="0025485B" w:rsidRPr="0086458B">
        <w:rPr>
          <w:rFonts w:ascii="Bookman Old Style" w:eastAsia="MS Mincho" w:hAnsi="Bookman Old Style" w:cs="Arial"/>
          <w:lang w:val="es-CO"/>
        </w:rPr>
        <w:t>l</w:t>
      </w:r>
      <w:r w:rsidR="00F64FF4">
        <w:rPr>
          <w:rFonts w:ascii="Bookman Old Style" w:eastAsia="MS Mincho" w:hAnsi="Bookman Old Style" w:cs="Arial"/>
          <w:lang w:val="es-CO"/>
        </w:rPr>
        <w:t>os</w:t>
      </w:r>
      <w:r w:rsidR="0025485B" w:rsidRPr="0086458B">
        <w:rPr>
          <w:rFonts w:ascii="Bookman Old Style" w:eastAsia="MS Mincho" w:hAnsi="Bookman Old Style" w:cs="Arial"/>
          <w:lang w:val="es-CO"/>
        </w:rPr>
        <w:t xml:space="preserve"> documento</w:t>
      </w:r>
      <w:r w:rsidR="00F64FF4">
        <w:rPr>
          <w:rFonts w:ascii="Bookman Old Style" w:eastAsia="MS Mincho" w:hAnsi="Bookman Old Style" w:cs="Arial"/>
          <w:lang w:val="es-CO"/>
        </w:rPr>
        <w:t>s</w:t>
      </w:r>
      <w:r w:rsidR="00FE3ED5" w:rsidRPr="0086458B">
        <w:rPr>
          <w:rFonts w:ascii="Bookman Old Style" w:eastAsia="MS Mincho" w:hAnsi="Bookman Old Style" w:cs="Arial"/>
          <w:lang w:val="es-CO"/>
        </w:rPr>
        <w:t xml:space="preserve"> </w:t>
      </w:r>
      <w:r w:rsidR="0025485B" w:rsidRPr="0086458B">
        <w:rPr>
          <w:rFonts w:ascii="Bookman Old Style" w:eastAsia="MS Mincho" w:hAnsi="Bookman Old Style" w:cs="Arial"/>
          <w:lang w:val="es-CO"/>
        </w:rPr>
        <w:t xml:space="preserve">con radicado CREG </w:t>
      </w:r>
      <w:r w:rsidR="00F64FF4" w:rsidRPr="00F64FF4">
        <w:rPr>
          <w:rFonts w:ascii="Bookman Old Style" w:eastAsia="MS Mincho" w:hAnsi="Bookman Old Style" w:cs="Arial"/>
          <w:lang w:val="es-CO"/>
        </w:rPr>
        <w:t>E-2021-007083</w:t>
      </w:r>
      <w:r w:rsidR="00F64FF4">
        <w:rPr>
          <w:rFonts w:ascii="Bookman Old Style" w:eastAsia="MS Mincho" w:hAnsi="Bookman Old Style" w:cs="Arial"/>
          <w:lang w:val="es-CO"/>
        </w:rPr>
        <w:t xml:space="preserve"> y </w:t>
      </w:r>
      <w:r w:rsidR="00690F52" w:rsidRPr="0086458B">
        <w:rPr>
          <w:rFonts w:ascii="Bookman Old Style" w:eastAsia="MS Mincho" w:hAnsi="Bookman Old Style" w:cs="Arial"/>
          <w:lang w:val="es-CO"/>
        </w:rPr>
        <w:t>E-2021-007731</w:t>
      </w:r>
      <w:r w:rsidR="0025485B" w:rsidRPr="0086458B">
        <w:rPr>
          <w:rFonts w:ascii="Bookman Old Style" w:eastAsia="MS Mincho" w:hAnsi="Bookman Old Style" w:cs="Arial"/>
          <w:lang w:val="es-CO"/>
        </w:rPr>
        <w:t xml:space="preserve"> presentado</w:t>
      </w:r>
      <w:r w:rsidR="00F64FF4">
        <w:rPr>
          <w:rFonts w:ascii="Bookman Old Style" w:eastAsia="MS Mincho" w:hAnsi="Bookman Old Style" w:cs="Arial"/>
          <w:lang w:val="es-CO"/>
        </w:rPr>
        <w:t>s</w:t>
      </w:r>
      <w:r w:rsidR="0025485B" w:rsidRPr="0086458B">
        <w:rPr>
          <w:rFonts w:ascii="Bookman Old Style" w:eastAsia="MS Mincho" w:hAnsi="Bookman Old Style" w:cs="Arial"/>
          <w:lang w:val="es-CO"/>
        </w:rPr>
        <w:t xml:space="preserve"> por </w:t>
      </w:r>
      <w:r w:rsidR="00F64FF4">
        <w:rPr>
          <w:rFonts w:ascii="Bookman Old Style" w:eastAsia="MS Mincho" w:hAnsi="Bookman Old Style" w:cs="Arial"/>
          <w:lang w:val="es-CO"/>
        </w:rPr>
        <w:t xml:space="preserve">MME y </w:t>
      </w:r>
      <w:r w:rsidR="0025485B" w:rsidRPr="0086458B">
        <w:rPr>
          <w:rFonts w:ascii="Bookman Old Style" w:eastAsia="MS Mincho" w:hAnsi="Bookman Old Style" w:cs="Arial"/>
          <w:lang w:val="es-CO"/>
        </w:rPr>
        <w:t>GENSA</w:t>
      </w:r>
      <w:r w:rsidR="00F64FF4">
        <w:rPr>
          <w:rFonts w:ascii="Bookman Old Style" w:eastAsia="MS Mincho" w:hAnsi="Bookman Old Style" w:cs="Arial"/>
          <w:lang w:val="es-CO"/>
        </w:rPr>
        <w:t xml:space="preserve"> respectivamente, </w:t>
      </w:r>
      <w:r w:rsidR="003807AB">
        <w:rPr>
          <w:rFonts w:ascii="Bookman Old Style" w:eastAsia="MS Mincho" w:hAnsi="Bookman Old Style" w:cs="Arial"/>
          <w:lang w:val="es-CO"/>
        </w:rPr>
        <w:t xml:space="preserve">resaltando algunos aspectos de dichas comunicaciones y </w:t>
      </w:r>
      <w:r w:rsidR="004972E1">
        <w:rPr>
          <w:rFonts w:ascii="Bookman Old Style" w:eastAsia="MS Mincho" w:hAnsi="Bookman Old Style" w:cs="Arial"/>
          <w:lang w:val="es-CO"/>
        </w:rPr>
        <w:t>concluyendo</w:t>
      </w:r>
      <w:r w:rsidR="003807AB">
        <w:rPr>
          <w:rFonts w:ascii="Bookman Old Style" w:eastAsia="MS Mincho" w:hAnsi="Bookman Old Style" w:cs="Arial"/>
          <w:lang w:val="es-CO"/>
        </w:rPr>
        <w:t>:</w:t>
      </w:r>
    </w:p>
    <w:p w14:paraId="42A1230F" w14:textId="77777777" w:rsidR="003807AB" w:rsidRDefault="003807AB" w:rsidP="00E57F55">
      <w:pPr>
        <w:ind w:left="284"/>
        <w:contextualSpacing/>
        <w:jc w:val="both"/>
        <w:rPr>
          <w:rFonts w:ascii="Bookman Old Style" w:eastAsia="MS Mincho" w:hAnsi="Bookman Old Style" w:cs="Arial"/>
          <w:lang w:val="es-CO"/>
        </w:rPr>
      </w:pPr>
    </w:p>
    <w:p w14:paraId="11627353" w14:textId="66EA5213" w:rsidR="00C511FC" w:rsidRDefault="004972E1"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C511FC" w:rsidRPr="00C511FC">
        <w:rPr>
          <w:rFonts w:ascii="Bookman Old Style" w:eastAsia="MS Mincho" w:hAnsi="Bookman Old Style" w:cs="Arial"/>
          <w:i/>
          <w:iCs/>
          <w:sz w:val="20"/>
          <w:szCs w:val="20"/>
          <w:lang w:val="es-CO"/>
        </w:rPr>
        <w:t>1. Está probado que la línea de transmisión de 34.5 kV de la MCH de Mitú es</w:t>
      </w:r>
      <w:r w:rsidR="00C511FC">
        <w:rPr>
          <w:rFonts w:ascii="Bookman Old Style" w:eastAsia="MS Mincho" w:hAnsi="Bookman Old Style" w:cs="Arial"/>
          <w:i/>
          <w:iCs/>
          <w:sz w:val="20"/>
          <w:szCs w:val="20"/>
          <w:lang w:val="es-CO"/>
        </w:rPr>
        <w:t xml:space="preserve"> </w:t>
      </w:r>
      <w:r w:rsidR="00C511FC" w:rsidRPr="00C511FC">
        <w:rPr>
          <w:rFonts w:ascii="Bookman Old Style" w:eastAsia="MS Mincho" w:hAnsi="Bookman Old Style" w:cs="Arial"/>
          <w:i/>
          <w:iCs/>
          <w:sz w:val="20"/>
          <w:szCs w:val="20"/>
          <w:lang w:val="es-CO"/>
        </w:rPr>
        <w:t>una línea de uso que hace parte del Sistema que atiende a usuarios finales.</w:t>
      </w:r>
    </w:p>
    <w:p w14:paraId="4111FC92" w14:textId="77777777" w:rsidR="00C511FC" w:rsidRPr="00C511FC" w:rsidRDefault="00C511FC" w:rsidP="00292999">
      <w:pPr>
        <w:ind w:left="567"/>
        <w:contextualSpacing/>
        <w:jc w:val="both"/>
        <w:rPr>
          <w:rFonts w:ascii="Bookman Old Style" w:eastAsia="MS Mincho" w:hAnsi="Bookman Old Style" w:cs="Arial"/>
          <w:i/>
          <w:iCs/>
          <w:sz w:val="20"/>
          <w:szCs w:val="20"/>
          <w:lang w:val="es-CO"/>
        </w:rPr>
      </w:pPr>
    </w:p>
    <w:p w14:paraId="6528CCA7" w14:textId="4D0E136D" w:rsidR="00C511FC" w:rsidRDefault="00C511FC" w:rsidP="00292999">
      <w:pPr>
        <w:ind w:left="567"/>
        <w:contextualSpacing/>
        <w:jc w:val="both"/>
        <w:rPr>
          <w:rFonts w:ascii="Bookman Old Style" w:eastAsia="MS Mincho" w:hAnsi="Bookman Old Style" w:cs="Arial"/>
          <w:i/>
          <w:iCs/>
          <w:sz w:val="20"/>
          <w:szCs w:val="20"/>
          <w:lang w:val="es-CO"/>
        </w:rPr>
      </w:pPr>
      <w:r w:rsidRPr="00C511FC">
        <w:rPr>
          <w:rFonts w:ascii="Bookman Old Style" w:eastAsia="MS Mincho" w:hAnsi="Bookman Old Style" w:cs="Arial"/>
          <w:i/>
          <w:iCs/>
          <w:sz w:val="20"/>
          <w:szCs w:val="20"/>
          <w:lang w:val="es-CO"/>
        </w:rPr>
        <w:t>2. Está probado que la conexión es técnicamente viable y que los estudios de conexión</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presentados demuestran que en las condiciones más críticas la planta Matakavi genera</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confiabilidad, operatividad, calidad de servicio y estabilidad a la red eléctrica de la</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cabecera municipal de Mitú.</w:t>
      </w:r>
    </w:p>
    <w:p w14:paraId="023C6446" w14:textId="77777777" w:rsidR="00C511FC" w:rsidRPr="00C511FC" w:rsidRDefault="00C511FC" w:rsidP="00292999">
      <w:pPr>
        <w:ind w:left="567"/>
        <w:contextualSpacing/>
        <w:jc w:val="both"/>
        <w:rPr>
          <w:rFonts w:ascii="Bookman Old Style" w:eastAsia="MS Mincho" w:hAnsi="Bookman Old Style" w:cs="Arial"/>
          <w:i/>
          <w:iCs/>
          <w:sz w:val="20"/>
          <w:szCs w:val="20"/>
          <w:lang w:val="es-CO"/>
        </w:rPr>
      </w:pPr>
    </w:p>
    <w:p w14:paraId="578A501A" w14:textId="1FD87743" w:rsidR="00C511FC" w:rsidRDefault="00C511FC" w:rsidP="00292999">
      <w:pPr>
        <w:ind w:left="567"/>
        <w:contextualSpacing/>
        <w:jc w:val="both"/>
        <w:rPr>
          <w:rFonts w:ascii="Bookman Old Style" w:eastAsia="MS Mincho" w:hAnsi="Bookman Old Style" w:cs="Arial"/>
          <w:i/>
          <w:iCs/>
          <w:sz w:val="20"/>
          <w:szCs w:val="20"/>
          <w:lang w:val="es-CO"/>
        </w:rPr>
      </w:pPr>
      <w:r w:rsidRPr="00C511FC">
        <w:rPr>
          <w:rFonts w:ascii="Bookman Old Style" w:eastAsia="MS Mincho" w:hAnsi="Bookman Old Style" w:cs="Arial"/>
          <w:i/>
          <w:iCs/>
          <w:sz w:val="20"/>
          <w:szCs w:val="20"/>
          <w:lang w:val="es-CO"/>
        </w:rPr>
        <w:t>3. Los certificados RETIE sólo se deben obtener una vez la planta se haya construido y con</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antelación a la energización de la misma.</w:t>
      </w:r>
    </w:p>
    <w:p w14:paraId="5CFBDEE1" w14:textId="77777777" w:rsidR="00C511FC" w:rsidRPr="00C511FC" w:rsidRDefault="00C511FC" w:rsidP="00292999">
      <w:pPr>
        <w:ind w:left="567"/>
        <w:contextualSpacing/>
        <w:jc w:val="both"/>
        <w:rPr>
          <w:rFonts w:ascii="Bookman Old Style" w:eastAsia="MS Mincho" w:hAnsi="Bookman Old Style" w:cs="Arial"/>
          <w:i/>
          <w:iCs/>
          <w:sz w:val="20"/>
          <w:szCs w:val="20"/>
          <w:lang w:val="es-CO"/>
        </w:rPr>
      </w:pPr>
    </w:p>
    <w:p w14:paraId="5F48838E" w14:textId="3C74A4DE" w:rsidR="004972E1" w:rsidRDefault="00C511FC" w:rsidP="00292999">
      <w:pPr>
        <w:ind w:left="567"/>
        <w:contextualSpacing/>
        <w:jc w:val="both"/>
        <w:rPr>
          <w:rFonts w:ascii="Bookman Old Style" w:eastAsia="MS Mincho" w:hAnsi="Bookman Old Style" w:cs="Arial"/>
          <w:i/>
          <w:iCs/>
          <w:sz w:val="20"/>
          <w:szCs w:val="20"/>
          <w:lang w:val="es-CO"/>
        </w:rPr>
      </w:pPr>
      <w:r w:rsidRPr="00C511FC">
        <w:rPr>
          <w:rFonts w:ascii="Bookman Old Style" w:eastAsia="MS Mincho" w:hAnsi="Bookman Old Style" w:cs="Arial"/>
          <w:i/>
          <w:iCs/>
          <w:sz w:val="20"/>
          <w:szCs w:val="20"/>
          <w:lang w:val="es-CO"/>
        </w:rPr>
        <w:t>4. DUE como promotor del Proyecto Matakavi hará todas las inversiones en activos de</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conexión y se encargará de su administración, operación y mantenimiento por lo cual no</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hay lugar a reconocer cargos de conexión a GENSA. De todas formas, respecto de las</w:t>
      </w:r>
      <w:r>
        <w:rPr>
          <w:rFonts w:ascii="Bookman Old Style" w:eastAsia="MS Mincho" w:hAnsi="Bookman Old Style" w:cs="Arial"/>
          <w:i/>
          <w:iCs/>
          <w:sz w:val="20"/>
          <w:szCs w:val="20"/>
          <w:lang w:val="es-CO"/>
        </w:rPr>
        <w:t xml:space="preserve"> </w:t>
      </w:r>
      <w:r w:rsidRPr="00C511FC">
        <w:rPr>
          <w:rFonts w:ascii="Bookman Old Style" w:eastAsia="MS Mincho" w:hAnsi="Bookman Old Style" w:cs="Arial"/>
          <w:i/>
          <w:iCs/>
          <w:sz w:val="20"/>
          <w:szCs w:val="20"/>
          <w:lang w:val="es-CO"/>
        </w:rPr>
        <w:t>conexiones existentes, GENSA no recibe</w:t>
      </w:r>
      <w:r w:rsidR="00164BBC">
        <w:rPr>
          <w:rFonts w:ascii="Bookman Old Style" w:eastAsia="MS Mincho" w:hAnsi="Bookman Old Style" w:cs="Arial"/>
          <w:i/>
          <w:iCs/>
          <w:sz w:val="20"/>
          <w:szCs w:val="20"/>
          <w:lang w:val="es-CO"/>
        </w:rPr>
        <w:t xml:space="preserve"> </w:t>
      </w:r>
      <w:r w:rsidR="00164BBC" w:rsidRPr="00164BBC">
        <w:rPr>
          <w:rFonts w:ascii="Bookman Old Style" w:eastAsia="MS Mincho" w:hAnsi="Bookman Old Style" w:cs="Arial"/>
          <w:i/>
          <w:iCs/>
          <w:sz w:val="20"/>
          <w:szCs w:val="20"/>
          <w:lang w:val="es-CO"/>
        </w:rPr>
        <w:t>remuneración ni por la inversión, ni por el AOM</w:t>
      </w:r>
      <w:r w:rsidR="00164BBC">
        <w:rPr>
          <w:rFonts w:ascii="Bookman Old Style" w:eastAsia="MS Mincho" w:hAnsi="Bookman Old Style" w:cs="Arial"/>
          <w:i/>
          <w:iCs/>
          <w:sz w:val="20"/>
          <w:szCs w:val="20"/>
          <w:lang w:val="es-CO"/>
        </w:rPr>
        <w:t xml:space="preserve"> </w:t>
      </w:r>
      <w:r w:rsidR="00164BBC" w:rsidRPr="00164BBC">
        <w:rPr>
          <w:rFonts w:ascii="Bookman Old Style" w:eastAsia="MS Mincho" w:hAnsi="Bookman Old Style" w:cs="Arial"/>
          <w:i/>
          <w:iCs/>
          <w:sz w:val="20"/>
          <w:szCs w:val="20"/>
          <w:lang w:val="es-CO"/>
        </w:rPr>
        <w:t>de los activos de conexión utilizados.</w:t>
      </w:r>
      <w:r w:rsidR="00164BBC">
        <w:rPr>
          <w:rFonts w:ascii="Bookman Old Style" w:eastAsia="MS Mincho" w:hAnsi="Bookman Old Style" w:cs="Arial"/>
          <w:i/>
          <w:iCs/>
          <w:sz w:val="20"/>
          <w:szCs w:val="20"/>
          <w:lang w:val="es-CO"/>
        </w:rPr>
        <w:t xml:space="preserve"> </w:t>
      </w:r>
      <w:r w:rsidR="004972E1">
        <w:rPr>
          <w:rFonts w:ascii="Bookman Old Style" w:eastAsia="MS Mincho" w:hAnsi="Bookman Old Style" w:cs="Arial"/>
          <w:i/>
          <w:iCs/>
          <w:sz w:val="20"/>
          <w:szCs w:val="20"/>
          <w:lang w:val="es-CO"/>
        </w:rPr>
        <w:t>(…)”</w:t>
      </w:r>
    </w:p>
    <w:p w14:paraId="120A4C4B" w14:textId="77777777" w:rsidR="00CE2E92" w:rsidRPr="0086458B" w:rsidRDefault="00CE2E92" w:rsidP="00E57F55">
      <w:pPr>
        <w:ind w:left="284"/>
        <w:contextualSpacing/>
        <w:jc w:val="both"/>
        <w:rPr>
          <w:rFonts w:ascii="Bookman Old Style" w:eastAsia="MS Mincho" w:hAnsi="Bookman Old Style" w:cs="Arial"/>
          <w:lang w:val="es-CO"/>
        </w:rPr>
      </w:pPr>
    </w:p>
    <w:p w14:paraId="77CC30F7" w14:textId="5D67B280" w:rsidR="00CE2E92" w:rsidRDefault="00246BBF" w:rsidP="00E57F55">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 xml:space="preserve">Mediante </w:t>
      </w:r>
      <w:r w:rsidR="001439B8">
        <w:rPr>
          <w:rFonts w:ascii="Bookman Old Style" w:eastAsia="MS Mincho" w:hAnsi="Bookman Old Style" w:cs="Arial"/>
          <w:lang w:val="es-CO"/>
        </w:rPr>
        <w:t xml:space="preserve">comunicación de </w:t>
      </w:r>
      <w:r w:rsidRPr="0086458B">
        <w:rPr>
          <w:rFonts w:ascii="Bookman Old Style" w:eastAsia="MS Mincho" w:hAnsi="Bookman Old Style" w:cs="Arial"/>
          <w:lang w:val="es-CO"/>
        </w:rPr>
        <w:t>radicado CREG E-2021-008133</w:t>
      </w:r>
      <w:r w:rsidRPr="0ECC7FE6">
        <w:rPr>
          <w:rFonts w:ascii="Bookman Old Style" w:eastAsia="MS Mincho" w:hAnsi="Bookman Old Style" w:cs="Arial"/>
          <w:lang w:val="es-CO"/>
        </w:rPr>
        <w:t>,</w:t>
      </w:r>
      <w:r w:rsidRPr="0086458B">
        <w:rPr>
          <w:rFonts w:ascii="Bookman Old Style" w:eastAsia="MS Mincho" w:hAnsi="Bookman Old Style" w:cs="Arial"/>
          <w:lang w:val="es-CO"/>
        </w:rPr>
        <w:t xml:space="preserve"> GENSA presentó aclaraciones sobre las declaraciones efectuadas en el marco de la audiencia del 13 de julio de 2021 e información solicitada dentro de la diligencia.</w:t>
      </w:r>
      <w:r w:rsidR="002E19B7">
        <w:rPr>
          <w:rFonts w:ascii="Bookman Old Style" w:eastAsia="MS Mincho" w:hAnsi="Bookman Old Style" w:cs="Arial"/>
          <w:lang w:val="es-CO"/>
        </w:rPr>
        <w:t xml:space="preserve"> Al respecto</w:t>
      </w:r>
      <w:r w:rsidR="00340BEA">
        <w:rPr>
          <w:rFonts w:ascii="Bookman Old Style" w:eastAsia="MS Mincho" w:hAnsi="Bookman Old Style" w:cs="Arial"/>
          <w:lang w:val="es-CO"/>
        </w:rPr>
        <w:t>, entre otras cosas,</w:t>
      </w:r>
      <w:r w:rsidR="002E19B7">
        <w:rPr>
          <w:rFonts w:ascii="Bookman Old Style" w:eastAsia="MS Mincho" w:hAnsi="Bookman Old Style" w:cs="Arial"/>
          <w:lang w:val="es-CO"/>
        </w:rPr>
        <w:t xml:space="preserve"> informó:</w:t>
      </w:r>
    </w:p>
    <w:p w14:paraId="6220D5BC" w14:textId="77777777" w:rsidR="002E19B7" w:rsidRDefault="002E19B7" w:rsidP="00225865">
      <w:pPr>
        <w:contextualSpacing/>
        <w:jc w:val="both"/>
        <w:rPr>
          <w:rFonts w:ascii="Bookman Old Style" w:eastAsia="MS Mincho" w:hAnsi="Bookman Old Style" w:cs="Arial"/>
          <w:lang w:val="es-CO"/>
        </w:rPr>
      </w:pPr>
    </w:p>
    <w:p w14:paraId="21AE5FA0" w14:textId="58533555" w:rsidR="002E19B7" w:rsidRDefault="002E19B7" w:rsidP="0029299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2D2E5C" w:rsidRPr="002D2E5C">
        <w:rPr>
          <w:rFonts w:ascii="Bookman Old Style" w:eastAsia="MS Mincho" w:hAnsi="Bookman Old Style" w:cs="Arial"/>
          <w:i/>
          <w:iCs/>
          <w:sz w:val="20"/>
          <w:szCs w:val="20"/>
          <w:lang w:val="es-CO"/>
        </w:rPr>
        <w:t xml:space="preserve">una vez realizada revisión documental al interior de la compañía, se ha podido determinar que existe un Contrato lnteradministrativo denominado GSA-090-2007, suscrito entre MINISTERIO DE MINAS Y ENERGÍA y GESTIÓN ENERGETICA S.A. E.S.P., para la administración general y asistencia técnica de la ejecución de los recursos FAZNI asignados a un proyecto denominado BFAZN-11 </w:t>
      </w:r>
      <w:r w:rsidR="00844C4F">
        <w:rPr>
          <w:rFonts w:ascii="Bookman Old Style" w:eastAsia="MS Mincho" w:hAnsi="Bookman Old Style" w:cs="Arial"/>
          <w:i/>
          <w:iCs/>
          <w:sz w:val="20"/>
          <w:szCs w:val="20"/>
          <w:lang w:val="es-CO"/>
        </w:rPr>
        <w:t>8</w:t>
      </w:r>
      <w:r w:rsidR="002D2E5C" w:rsidRPr="002D2E5C">
        <w:rPr>
          <w:rFonts w:ascii="Bookman Old Style" w:eastAsia="MS Mincho" w:hAnsi="Bookman Old Style" w:cs="Arial"/>
          <w:i/>
          <w:iCs/>
          <w:sz w:val="20"/>
          <w:szCs w:val="20"/>
          <w:lang w:val="es-CO"/>
        </w:rPr>
        <w:t xml:space="preserve">A, cuyo objeto es </w:t>
      </w:r>
      <w:r w:rsidR="00844C4F">
        <w:rPr>
          <w:rFonts w:ascii="Bookman Old Style" w:eastAsia="MS Mincho" w:hAnsi="Bookman Old Style" w:cs="Arial"/>
          <w:i/>
          <w:iCs/>
          <w:sz w:val="20"/>
          <w:szCs w:val="20"/>
          <w:lang w:val="es-CO"/>
        </w:rPr>
        <w:t>‘</w:t>
      </w:r>
      <w:r w:rsidR="002D2E5C" w:rsidRPr="002D2E5C">
        <w:rPr>
          <w:rFonts w:ascii="Bookman Old Style" w:eastAsia="MS Mincho" w:hAnsi="Bookman Old Style" w:cs="Arial"/>
          <w:i/>
          <w:iCs/>
          <w:sz w:val="20"/>
          <w:szCs w:val="20"/>
          <w:lang w:val="es-CO"/>
        </w:rPr>
        <w:t>AMPLIACIÓN DE REDES RURALES DE MEDIA Y BAJA TENSIÓN EN EL MUNICIPIO DE MIT</w:t>
      </w:r>
      <w:r w:rsidR="00844C4F">
        <w:rPr>
          <w:rFonts w:ascii="Bookman Old Style" w:eastAsia="MS Mincho" w:hAnsi="Bookman Old Style" w:cs="Arial"/>
          <w:i/>
          <w:iCs/>
          <w:sz w:val="20"/>
          <w:szCs w:val="20"/>
          <w:lang w:val="es-CO"/>
        </w:rPr>
        <w:t>Ú</w:t>
      </w:r>
      <w:r w:rsidR="00E12B8E">
        <w:rPr>
          <w:rFonts w:ascii="Bookman Old Style" w:eastAsia="MS Mincho" w:hAnsi="Bookman Old Style" w:cs="Arial"/>
          <w:i/>
          <w:iCs/>
          <w:sz w:val="20"/>
          <w:szCs w:val="20"/>
          <w:lang w:val="es-CO"/>
        </w:rPr>
        <w:t xml:space="preserve"> DEPARTAMENTO </w:t>
      </w:r>
      <w:r w:rsidR="00E12B8E" w:rsidRPr="00E12B8E">
        <w:rPr>
          <w:rFonts w:ascii="Bookman Old Style" w:eastAsia="MS Mincho" w:hAnsi="Bookman Old Style" w:cs="Arial"/>
          <w:i/>
          <w:iCs/>
          <w:sz w:val="20"/>
          <w:szCs w:val="20"/>
          <w:lang w:val="es-CO"/>
        </w:rPr>
        <w:t>DE VAUPES</w:t>
      </w:r>
      <w:r w:rsidR="00E12B8E">
        <w:rPr>
          <w:rFonts w:ascii="Bookman Old Style" w:eastAsia="MS Mincho" w:hAnsi="Bookman Old Style" w:cs="Arial"/>
          <w:i/>
          <w:iCs/>
          <w:sz w:val="20"/>
          <w:szCs w:val="20"/>
          <w:lang w:val="es-CO"/>
        </w:rPr>
        <w:t>’</w:t>
      </w:r>
      <w:r w:rsidR="00E12B8E" w:rsidRPr="00E12B8E">
        <w:rPr>
          <w:rFonts w:ascii="Bookman Old Style" w:eastAsia="MS Mincho" w:hAnsi="Bookman Old Style" w:cs="Arial"/>
          <w:i/>
          <w:iCs/>
          <w:sz w:val="20"/>
          <w:szCs w:val="20"/>
          <w:lang w:val="es-CO"/>
        </w:rPr>
        <w:t xml:space="preserve">, y en el cual se contempla la comunidad de Santa </w:t>
      </w:r>
      <w:r w:rsidR="00E34DD4">
        <w:rPr>
          <w:rFonts w:ascii="Bookman Old Style" w:eastAsia="MS Mincho" w:hAnsi="Bookman Old Style" w:cs="Arial"/>
          <w:i/>
          <w:iCs/>
          <w:sz w:val="20"/>
          <w:szCs w:val="20"/>
          <w:lang w:val="es-CO"/>
        </w:rPr>
        <w:t>Cruz bajo la de</w:t>
      </w:r>
      <w:r w:rsidR="00E12B8E" w:rsidRPr="00E12B8E">
        <w:rPr>
          <w:rFonts w:ascii="Bookman Old Style" w:eastAsia="MS Mincho" w:hAnsi="Bookman Old Style" w:cs="Arial"/>
          <w:i/>
          <w:iCs/>
          <w:sz w:val="20"/>
          <w:szCs w:val="20"/>
          <w:lang w:val="es-CO"/>
        </w:rPr>
        <w:t xml:space="preserve">nominación de </w:t>
      </w:r>
      <w:r w:rsidR="00E12B8E">
        <w:rPr>
          <w:rFonts w:ascii="Bookman Old Style" w:eastAsia="MS Mincho" w:hAnsi="Bookman Old Style" w:cs="Arial"/>
          <w:i/>
          <w:iCs/>
          <w:sz w:val="20"/>
          <w:szCs w:val="20"/>
          <w:lang w:val="es-CO"/>
        </w:rPr>
        <w:t>‘</w:t>
      </w:r>
      <w:r w:rsidR="00E12B8E" w:rsidRPr="00E12B8E">
        <w:rPr>
          <w:rFonts w:ascii="Bookman Old Style" w:eastAsia="MS Mincho" w:hAnsi="Bookman Old Style" w:cs="Arial"/>
          <w:i/>
          <w:iCs/>
          <w:sz w:val="20"/>
          <w:szCs w:val="20"/>
          <w:lang w:val="es-CO"/>
        </w:rPr>
        <w:t>Sector 6</w:t>
      </w:r>
      <w:r w:rsidR="00E12B8E">
        <w:rPr>
          <w:rFonts w:ascii="Bookman Old Style" w:eastAsia="MS Mincho" w:hAnsi="Bookman Old Style" w:cs="Arial"/>
          <w:i/>
          <w:iCs/>
          <w:sz w:val="20"/>
          <w:szCs w:val="20"/>
          <w:lang w:val="es-CO"/>
        </w:rPr>
        <w:t>’</w:t>
      </w:r>
      <w:r w:rsidR="00E12B8E" w:rsidRPr="00E12B8E">
        <w:rPr>
          <w:rFonts w:ascii="Bookman Old Style" w:eastAsia="MS Mincho" w:hAnsi="Bookman Old Style" w:cs="Arial"/>
          <w:i/>
          <w:iCs/>
          <w:sz w:val="20"/>
          <w:szCs w:val="20"/>
          <w:lang w:val="es-CO"/>
        </w:rPr>
        <w:t>.</w:t>
      </w:r>
      <w:r w:rsidR="00290DF0">
        <w:rPr>
          <w:rFonts w:ascii="Bookman Old Style" w:eastAsia="MS Mincho" w:hAnsi="Bookman Old Style" w:cs="Arial"/>
          <w:i/>
          <w:iCs/>
          <w:sz w:val="20"/>
          <w:szCs w:val="20"/>
          <w:lang w:val="es-CO"/>
        </w:rPr>
        <w:t xml:space="preserve"> (…)</w:t>
      </w:r>
    </w:p>
    <w:p w14:paraId="118F66A2" w14:textId="77777777" w:rsidR="00290DF0" w:rsidRDefault="00290DF0" w:rsidP="00292999">
      <w:pPr>
        <w:ind w:left="567"/>
        <w:contextualSpacing/>
        <w:jc w:val="both"/>
        <w:rPr>
          <w:rFonts w:ascii="Bookman Old Style" w:eastAsia="MS Mincho" w:hAnsi="Bookman Old Style" w:cs="Arial"/>
          <w:i/>
          <w:iCs/>
          <w:sz w:val="20"/>
          <w:szCs w:val="20"/>
          <w:lang w:val="es-CO"/>
        </w:rPr>
      </w:pPr>
    </w:p>
    <w:p w14:paraId="014B385C" w14:textId="14F92C73" w:rsidR="002E19B7" w:rsidRDefault="00290DF0" w:rsidP="00292999">
      <w:pPr>
        <w:ind w:left="567"/>
        <w:contextualSpacing/>
        <w:jc w:val="both"/>
        <w:rPr>
          <w:rFonts w:ascii="Bookman Old Style" w:eastAsia="MS Mincho" w:hAnsi="Bookman Old Style" w:cs="Arial"/>
          <w:i/>
          <w:iCs/>
          <w:sz w:val="20"/>
          <w:szCs w:val="20"/>
          <w:lang w:val="es-CO"/>
        </w:rPr>
      </w:pPr>
      <w:r w:rsidRPr="00290DF0">
        <w:rPr>
          <w:rFonts w:ascii="Bookman Old Style" w:eastAsia="MS Mincho" w:hAnsi="Bookman Old Style" w:cs="Arial"/>
          <w:i/>
          <w:iCs/>
          <w:sz w:val="20"/>
          <w:szCs w:val="20"/>
          <w:lang w:val="es-CO"/>
        </w:rPr>
        <w:t>ratifico lo manifestado de mi parte en la audiencia, en el sentido que por haber sido construido, con recursos públicos del fondo FAZNI, infiero que la propiedad estos activos de energización de la comunidad de Santa Cruz es del Ministerio de Minas y Energía, dado que el ART</w:t>
      </w:r>
      <w:r w:rsidR="00972427">
        <w:rPr>
          <w:rFonts w:ascii="Bookman Old Style" w:eastAsia="MS Mincho" w:hAnsi="Bookman Old Style" w:cs="Arial"/>
          <w:i/>
          <w:iCs/>
          <w:sz w:val="20"/>
          <w:szCs w:val="20"/>
          <w:lang w:val="es-CO"/>
        </w:rPr>
        <w:t>I</w:t>
      </w:r>
      <w:r w:rsidRPr="00290DF0">
        <w:rPr>
          <w:rFonts w:ascii="Bookman Old Style" w:eastAsia="MS Mincho" w:hAnsi="Bookman Old Style" w:cs="Arial"/>
          <w:i/>
          <w:iCs/>
          <w:sz w:val="20"/>
          <w:szCs w:val="20"/>
          <w:lang w:val="es-CO"/>
        </w:rPr>
        <w:t xml:space="preserve">CULO 2.2.3.3.2.2.2.6 del Decreto 1073 de 2015 indica que </w:t>
      </w:r>
      <w:r w:rsidR="00331FBF">
        <w:rPr>
          <w:rFonts w:ascii="Bookman Old Style" w:eastAsia="MS Mincho" w:hAnsi="Bookman Old Style" w:cs="Arial"/>
          <w:i/>
          <w:iCs/>
          <w:sz w:val="20"/>
          <w:szCs w:val="20"/>
          <w:lang w:val="es-CO"/>
        </w:rPr>
        <w:t>‘</w:t>
      </w:r>
      <w:r w:rsidRPr="00290DF0">
        <w:rPr>
          <w:rFonts w:ascii="Bookman Old Style" w:eastAsia="MS Mincho" w:hAnsi="Bookman Old Style" w:cs="Arial"/>
          <w:i/>
          <w:iCs/>
          <w:sz w:val="20"/>
          <w:szCs w:val="20"/>
          <w:lang w:val="es-CO"/>
        </w:rPr>
        <w:t xml:space="preserve">... Ejecución de los recursos y propiedad de los activos. Los recursos del Fondo de Apoyo Financiero para la energización de las Zonas No Interconectadas -FAZNI-, se ejecutarán por parte del Ministerio de Minas y Energía, conforme a la política de energización a que se refiere el artículo 4 del presente decreto. En todo caso, las inversiones con recursos del Fondo de Apoyo Financiero para la energización de las Zonas No Interconectadas -FAZNI- en los planes, programas y proyectos </w:t>
      </w:r>
      <w:r w:rsidRPr="00D53BB8">
        <w:rPr>
          <w:rFonts w:ascii="Bookman Old Style" w:eastAsia="MS Mincho" w:hAnsi="Bookman Old Style" w:cs="Arial"/>
          <w:b/>
          <w:bCs/>
          <w:i/>
          <w:iCs/>
          <w:sz w:val="20"/>
          <w:szCs w:val="20"/>
          <w:u w:val="single"/>
          <w:lang w:val="es-CO"/>
        </w:rPr>
        <w:t>tendrán como titular a la Nación - Ministerio de Minas y Energía</w:t>
      </w:r>
      <w:r w:rsidR="001C56AE">
        <w:rPr>
          <w:rFonts w:ascii="Bookman Old Style" w:eastAsia="MS Mincho" w:hAnsi="Bookman Old Style" w:cs="Arial"/>
          <w:i/>
          <w:iCs/>
          <w:sz w:val="20"/>
          <w:szCs w:val="20"/>
          <w:lang w:val="es-CO"/>
        </w:rPr>
        <w:t xml:space="preserve"> e</w:t>
      </w:r>
      <w:r w:rsidRPr="00290DF0">
        <w:rPr>
          <w:rFonts w:ascii="Bookman Old Style" w:eastAsia="MS Mincho" w:hAnsi="Bookman Old Style" w:cs="Arial"/>
          <w:i/>
          <w:iCs/>
          <w:sz w:val="20"/>
          <w:szCs w:val="20"/>
          <w:lang w:val="es-CO"/>
        </w:rPr>
        <w:t>n p</w:t>
      </w:r>
      <w:r w:rsidR="00CD18CC">
        <w:rPr>
          <w:rFonts w:ascii="Bookman Old Style" w:eastAsia="MS Mincho" w:hAnsi="Bookman Old Style" w:cs="Arial"/>
          <w:i/>
          <w:iCs/>
          <w:sz w:val="20"/>
          <w:szCs w:val="20"/>
          <w:lang w:val="es-CO"/>
        </w:rPr>
        <w:t>r</w:t>
      </w:r>
      <w:r w:rsidRPr="00290DF0">
        <w:rPr>
          <w:rFonts w:ascii="Bookman Old Style" w:eastAsia="MS Mincho" w:hAnsi="Bookman Old Style" w:cs="Arial"/>
          <w:i/>
          <w:iCs/>
          <w:sz w:val="20"/>
          <w:szCs w:val="20"/>
          <w:lang w:val="es-CO"/>
        </w:rPr>
        <w:t>oporción a su aporte ...</w:t>
      </w:r>
      <w:r w:rsidR="001C56AE">
        <w:rPr>
          <w:rFonts w:ascii="Bookman Old Style" w:eastAsia="MS Mincho" w:hAnsi="Bookman Old Style" w:cs="Arial"/>
          <w:i/>
          <w:iCs/>
          <w:sz w:val="20"/>
          <w:szCs w:val="20"/>
          <w:lang w:val="es-CO"/>
        </w:rPr>
        <w:t>’</w:t>
      </w:r>
      <w:r w:rsidRPr="00290DF0">
        <w:rPr>
          <w:rFonts w:ascii="Bookman Old Style" w:eastAsia="MS Mincho" w:hAnsi="Bookman Old Style" w:cs="Arial"/>
          <w:i/>
          <w:iCs/>
          <w:sz w:val="20"/>
          <w:szCs w:val="20"/>
          <w:lang w:val="es-CO"/>
        </w:rPr>
        <w:t xml:space="preserve"> (negrilla y subraya fuera de texto original)</w:t>
      </w:r>
      <w:r w:rsidR="00340BEA">
        <w:rPr>
          <w:rFonts w:ascii="Bookman Old Style" w:eastAsia="MS Mincho" w:hAnsi="Bookman Old Style" w:cs="Arial"/>
          <w:i/>
          <w:iCs/>
          <w:sz w:val="20"/>
          <w:szCs w:val="20"/>
          <w:lang w:val="es-CO"/>
        </w:rPr>
        <w:t xml:space="preserve"> </w:t>
      </w:r>
      <w:r w:rsidR="002E19B7">
        <w:rPr>
          <w:rFonts w:ascii="Bookman Old Style" w:eastAsia="MS Mincho" w:hAnsi="Bookman Old Style" w:cs="Arial"/>
          <w:i/>
          <w:iCs/>
          <w:sz w:val="20"/>
          <w:szCs w:val="20"/>
          <w:lang w:val="es-CO"/>
        </w:rPr>
        <w:t>(…)”</w:t>
      </w:r>
    </w:p>
    <w:p w14:paraId="42F8A11D" w14:textId="77777777" w:rsidR="006128D8" w:rsidRDefault="006128D8" w:rsidP="00E57F55">
      <w:pPr>
        <w:ind w:left="284"/>
        <w:contextualSpacing/>
        <w:jc w:val="both"/>
        <w:rPr>
          <w:rFonts w:ascii="Bookman Old Style" w:eastAsia="MS Mincho" w:hAnsi="Bookman Old Style" w:cs="Arial"/>
          <w:sz w:val="22"/>
          <w:szCs w:val="22"/>
          <w:lang w:val="es-CO"/>
        </w:rPr>
      </w:pPr>
    </w:p>
    <w:p w14:paraId="1DBDE1C2" w14:textId="3AC24FA8" w:rsidR="001439B8" w:rsidRDefault="001439B8" w:rsidP="001439B8">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 xml:space="preserve">Mediante </w:t>
      </w:r>
      <w:r w:rsidR="002E19B7">
        <w:rPr>
          <w:rFonts w:ascii="Bookman Old Style" w:eastAsia="MS Mincho" w:hAnsi="Bookman Old Style" w:cs="Arial"/>
          <w:lang w:val="es-CO"/>
        </w:rPr>
        <w:t xml:space="preserve">comunicación de </w:t>
      </w:r>
      <w:r w:rsidRPr="0086458B">
        <w:rPr>
          <w:rFonts w:ascii="Bookman Old Style" w:eastAsia="MS Mincho" w:hAnsi="Bookman Old Style" w:cs="Arial"/>
          <w:lang w:val="es-CO"/>
        </w:rPr>
        <w:t>radicado CREG E-2021-008888</w:t>
      </w:r>
      <w:r w:rsidRPr="0ECC7FE6">
        <w:rPr>
          <w:rFonts w:ascii="Bookman Old Style" w:eastAsia="MS Mincho" w:hAnsi="Bookman Old Style" w:cs="Arial"/>
          <w:lang w:val="es-CO"/>
        </w:rPr>
        <w:t>,</w:t>
      </w:r>
      <w:r w:rsidRPr="0086458B">
        <w:rPr>
          <w:rFonts w:ascii="Bookman Old Style" w:eastAsia="MS Mincho" w:hAnsi="Bookman Old Style" w:cs="Arial"/>
          <w:lang w:val="es-CO"/>
        </w:rPr>
        <w:t xml:space="preserve"> GENSA </w:t>
      </w:r>
      <w:r w:rsidR="00CC40D8">
        <w:rPr>
          <w:rFonts w:ascii="Bookman Old Style" w:eastAsia="MS Mincho" w:hAnsi="Bookman Old Style" w:cs="Arial"/>
          <w:lang w:val="es-CO"/>
        </w:rPr>
        <w:t xml:space="preserve">remite respuesta al Auto </w:t>
      </w:r>
      <w:r w:rsidR="009B46C3">
        <w:rPr>
          <w:rFonts w:ascii="Bookman Old Style" w:eastAsia="MS Mincho" w:hAnsi="Bookman Old Style" w:cs="Arial"/>
          <w:lang w:val="es-CO"/>
        </w:rPr>
        <w:t>I-2021-002009 en el siguiente sentido:</w:t>
      </w:r>
    </w:p>
    <w:p w14:paraId="790A0A65" w14:textId="77777777" w:rsidR="009B46C3" w:rsidRDefault="009B46C3" w:rsidP="001439B8">
      <w:pPr>
        <w:ind w:left="284"/>
        <w:contextualSpacing/>
        <w:jc w:val="both"/>
        <w:rPr>
          <w:rFonts w:ascii="Bookman Old Style" w:eastAsia="MS Mincho" w:hAnsi="Bookman Old Style" w:cs="Arial"/>
          <w:lang w:val="es-CO"/>
        </w:rPr>
      </w:pPr>
    </w:p>
    <w:p w14:paraId="13125E03" w14:textId="7C1A85AF" w:rsidR="00FC5B05" w:rsidRDefault="005C7CBD" w:rsidP="00361A5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FC5B05" w:rsidRPr="00FC5B05">
        <w:rPr>
          <w:rFonts w:ascii="Bookman Old Style" w:eastAsia="MS Mincho" w:hAnsi="Bookman Old Style" w:cs="Arial"/>
          <w:i/>
          <w:iCs/>
          <w:sz w:val="20"/>
          <w:szCs w:val="20"/>
          <w:lang w:val="es-CO"/>
        </w:rPr>
        <w:t xml:space="preserve">Con relación al Artículo Segundo Literal a): </w:t>
      </w:r>
    </w:p>
    <w:p w14:paraId="79A8E800" w14:textId="77777777" w:rsidR="00FC5B05" w:rsidRPr="00FC5B05" w:rsidRDefault="00FC5B05" w:rsidP="00361A59">
      <w:pPr>
        <w:ind w:left="567"/>
        <w:contextualSpacing/>
        <w:jc w:val="both"/>
        <w:rPr>
          <w:rFonts w:ascii="Bookman Old Style" w:eastAsia="MS Mincho" w:hAnsi="Bookman Old Style" w:cs="Arial"/>
          <w:i/>
          <w:iCs/>
          <w:sz w:val="20"/>
          <w:szCs w:val="20"/>
          <w:lang w:val="es-CO"/>
        </w:rPr>
      </w:pPr>
    </w:p>
    <w:p w14:paraId="75D14177" w14:textId="4AA8EA05" w:rsidR="00FC5B05" w:rsidRDefault="00FC5B05" w:rsidP="00361A59">
      <w:pPr>
        <w:ind w:left="567"/>
        <w:contextualSpacing/>
        <w:jc w:val="both"/>
        <w:rPr>
          <w:rFonts w:ascii="Bookman Old Style" w:eastAsia="MS Mincho" w:hAnsi="Bookman Old Style" w:cs="Arial"/>
          <w:i/>
          <w:iCs/>
          <w:sz w:val="20"/>
          <w:szCs w:val="20"/>
          <w:lang w:val="es-CO"/>
        </w:rPr>
      </w:pPr>
      <w:r w:rsidRPr="00FC5B05">
        <w:rPr>
          <w:rFonts w:ascii="Bookman Old Style" w:eastAsia="MS Mincho" w:hAnsi="Bookman Old Style" w:cs="Arial"/>
          <w:i/>
          <w:iCs/>
          <w:sz w:val="20"/>
          <w:szCs w:val="20"/>
          <w:lang w:val="es-CO"/>
        </w:rPr>
        <w:t xml:space="preserve">Lo primero es indicar que el parágrafo indicado por la CREG en su solicitud aplica para la formalización de un contrato de conexión </w:t>
      </w:r>
      <w:r>
        <w:rPr>
          <w:rFonts w:ascii="Bookman Old Style" w:eastAsia="MS Mincho" w:hAnsi="Bookman Old Style" w:cs="Arial"/>
          <w:i/>
          <w:iCs/>
          <w:sz w:val="20"/>
          <w:szCs w:val="20"/>
          <w:lang w:val="es-CO"/>
        </w:rPr>
        <w:t>‘</w:t>
      </w:r>
      <w:r w:rsidRPr="00FC5B05">
        <w:rPr>
          <w:rFonts w:ascii="Bookman Old Style" w:eastAsia="MS Mincho" w:hAnsi="Bookman Old Style" w:cs="Arial"/>
          <w:i/>
          <w:iCs/>
          <w:sz w:val="20"/>
          <w:szCs w:val="20"/>
          <w:lang w:val="es-CO"/>
        </w:rPr>
        <w:t>... entre el distribuidor y un autogenerador</w:t>
      </w:r>
      <w:r w:rsidR="001F1E74">
        <w:rPr>
          <w:rFonts w:ascii="Bookman Old Style" w:eastAsia="MS Mincho" w:hAnsi="Bookman Old Style" w:cs="Arial"/>
          <w:i/>
          <w:iCs/>
          <w:sz w:val="20"/>
          <w:szCs w:val="20"/>
          <w:lang w:val="es-CO"/>
        </w:rPr>
        <w:t xml:space="preserve"> o </w:t>
      </w:r>
      <w:r w:rsidR="001F1E74" w:rsidRPr="001F1E74">
        <w:rPr>
          <w:rFonts w:ascii="Bookman Old Style" w:eastAsia="MS Mincho" w:hAnsi="Bookman Old Style" w:cs="Arial"/>
          <w:i/>
          <w:iCs/>
          <w:sz w:val="20"/>
          <w:szCs w:val="20"/>
          <w:lang w:val="es-CO"/>
        </w:rPr>
        <w:t>generador distribuido...</w:t>
      </w:r>
      <w:r w:rsidR="001F1E74">
        <w:rPr>
          <w:rFonts w:ascii="Bookman Old Style" w:eastAsia="MS Mincho" w:hAnsi="Bookman Old Style" w:cs="Arial"/>
          <w:i/>
          <w:iCs/>
          <w:sz w:val="20"/>
          <w:szCs w:val="20"/>
          <w:lang w:val="es-CO"/>
        </w:rPr>
        <w:t>’</w:t>
      </w:r>
      <w:r w:rsidR="001F1E74" w:rsidRPr="001F1E74">
        <w:rPr>
          <w:rFonts w:ascii="Bookman Old Style" w:eastAsia="MS Mincho" w:hAnsi="Bookman Old Style" w:cs="Arial"/>
          <w:i/>
          <w:iCs/>
          <w:sz w:val="20"/>
          <w:szCs w:val="20"/>
          <w:lang w:val="es-CO"/>
        </w:rPr>
        <w:t xml:space="preserve"> (cursiva propia) y para el caso que ocupa a GENSA, como ya se ha indicado en repetidas oportunidades, se entiende que la empresa no posee la calidad de ninguno de estos tres agentes en lo que respecta a la ejecución del Contrato Especial GGC-209-2013 el cual regula, desde lo contractual, la activad que GENSA S.A. ESP desempeña en lo relacionado al sistema de generación de energía de Mitú Vaupés.</w:t>
      </w:r>
      <w:r w:rsidR="00117517">
        <w:rPr>
          <w:rFonts w:ascii="Bookman Old Style" w:eastAsia="MS Mincho" w:hAnsi="Bookman Old Style" w:cs="Arial"/>
          <w:i/>
          <w:iCs/>
          <w:sz w:val="20"/>
          <w:szCs w:val="20"/>
          <w:lang w:val="es-CO"/>
        </w:rPr>
        <w:t xml:space="preserve"> (…)</w:t>
      </w:r>
    </w:p>
    <w:p w14:paraId="5B094667" w14:textId="77777777" w:rsidR="00117517" w:rsidRDefault="00117517" w:rsidP="00361A59">
      <w:pPr>
        <w:ind w:left="567"/>
        <w:contextualSpacing/>
        <w:jc w:val="both"/>
        <w:rPr>
          <w:rFonts w:ascii="Bookman Old Style" w:eastAsia="MS Mincho" w:hAnsi="Bookman Old Style" w:cs="Arial"/>
          <w:i/>
          <w:iCs/>
          <w:sz w:val="20"/>
          <w:szCs w:val="20"/>
          <w:lang w:val="es-CO"/>
        </w:rPr>
      </w:pPr>
    </w:p>
    <w:p w14:paraId="3711AF27" w14:textId="11C78EE6" w:rsidR="00117517" w:rsidRDefault="00117517" w:rsidP="00361A59">
      <w:pPr>
        <w:ind w:left="567"/>
        <w:contextualSpacing/>
        <w:jc w:val="both"/>
        <w:rPr>
          <w:rFonts w:ascii="Bookman Old Style" w:eastAsia="MS Mincho" w:hAnsi="Bookman Old Style" w:cs="Arial"/>
          <w:i/>
          <w:iCs/>
          <w:sz w:val="20"/>
          <w:szCs w:val="20"/>
          <w:lang w:val="es-CO"/>
        </w:rPr>
      </w:pPr>
      <w:r w:rsidRPr="00117517">
        <w:rPr>
          <w:rFonts w:ascii="Bookman Old Style" w:eastAsia="MS Mincho" w:hAnsi="Bookman Old Style" w:cs="Arial"/>
          <w:i/>
          <w:iCs/>
          <w:sz w:val="20"/>
          <w:szCs w:val="20"/>
          <w:lang w:val="es-CO"/>
        </w:rPr>
        <w:t>Con base lo descrito, la empresa no posee la información solicitada por la CREG</w:t>
      </w:r>
      <w:r>
        <w:rPr>
          <w:rFonts w:ascii="Bookman Old Style" w:eastAsia="MS Mincho" w:hAnsi="Bookman Old Style" w:cs="Arial"/>
          <w:i/>
          <w:iCs/>
          <w:sz w:val="20"/>
          <w:szCs w:val="20"/>
          <w:lang w:val="es-CO"/>
        </w:rPr>
        <w:t xml:space="preserve"> (…)</w:t>
      </w:r>
    </w:p>
    <w:p w14:paraId="398CA542" w14:textId="77777777" w:rsidR="00117517" w:rsidRDefault="00117517" w:rsidP="00361A59">
      <w:pPr>
        <w:ind w:left="567"/>
        <w:contextualSpacing/>
        <w:jc w:val="both"/>
        <w:rPr>
          <w:rFonts w:ascii="Bookman Old Style" w:eastAsia="MS Mincho" w:hAnsi="Bookman Old Style" w:cs="Arial"/>
          <w:i/>
          <w:iCs/>
          <w:sz w:val="20"/>
          <w:szCs w:val="20"/>
          <w:lang w:val="es-CO"/>
        </w:rPr>
      </w:pPr>
    </w:p>
    <w:p w14:paraId="6FA4DD29" w14:textId="259DB497" w:rsidR="00117517" w:rsidRDefault="00F14E36" w:rsidP="00361A59">
      <w:pPr>
        <w:ind w:left="567"/>
        <w:contextualSpacing/>
        <w:jc w:val="both"/>
        <w:rPr>
          <w:rFonts w:ascii="Bookman Old Style" w:eastAsia="MS Mincho" w:hAnsi="Bookman Old Style" w:cs="Arial"/>
          <w:i/>
          <w:iCs/>
          <w:sz w:val="20"/>
          <w:szCs w:val="20"/>
          <w:lang w:val="es-CO"/>
        </w:rPr>
      </w:pPr>
      <w:r w:rsidRPr="00F14E36">
        <w:rPr>
          <w:rFonts w:ascii="Bookman Old Style" w:eastAsia="MS Mincho" w:hAnsi="Bookman Old Style" w:cs="Arial"/>
          <w:i/>
          <w:iCs/>
          <w:sz w:val="20"/>
          <w:szCs w:val="20"/>
          <w:lang w:val="es-CO"/>
        </w:rPr>
        <w:t>Con relación al Artículo Segundo Literal b):</w:t>
      </w:r>
    </w:p>
    <w:p w14:paraId="5C0A2F4A" w14:textId="77777777" w:rsidR="004A12A8" w:rsidRDefault="004A12A8" w:rsidP="00361A59">
      <w:pPr>
        <w:ind w:left="567"/>
        <w:contextualSpacing/>
        <w:jc w:val="both"/>
        <w:rPr>
          <w:rFonts w:ascii="Bookman Old Style" w:eastAsia="MS Mincho" w:hAnsi="Bookman Old Style" w:cs="Arial"/>
          <w:i/>
          <w:iCs/>
          <w:sz w:val="20"/>
          <w:szCs w:val="20"/>
          <w:lang w:val="es-CO"/>
        </w:rPr>
      </w:pPr>
    </w:p>
    <w:p w14:paraId="4C2DA51E" w14:textId="77777777" w:rsidR="005C7272" w:rsidRPr="005C7272" w:rsidRDefault="005C7272" w:rsidP="00361A59">
      <w:pPr>
        <w:ind w:left="567"/>
        <w:contextualSpacing/>
        <w:jc w:val="both"/>
        <w:rPr>
          <w:rFonts w:ascii="Bookman Old Style" w:eastAsia="MS Mincho" w:hAnsi="Bookman Old Style" w:cs="Arial"/>
          <w:i/>
          <w:iCs/>
          <w:sz w:val="20"/>
          <w:szCs w:val="20"/>
          <w:lang w:val="es-CO"/>
        </w:rPr>
      </w:pPr>
      <w:r w:rsidRPr="005C7272">
        <w:rPr>
          <w:rFonts w:ascii="Bookman Old Style" w:eastAsia="MS Mincho" w:hAnsi="Bookman Old Style" w:cs="Arial"/>
          <w:i/>
          <w:iCs/>
          <w:sz w:val="20"/>
          <w:szCs w:val="20"/>
          <w:lang w:val="es-CO"/>
        </w:rPr>
        <w:t xml:space="preserve">Se entrega en Anexo 1 el estudio de coordinación de protecciones completo elaborado en el año 2018. El estudio de protecciones fue remitido a DUE CAPITAL el 25 de junio de 2021, de acuerdo a conclusiones de mesas de trabajo conjuntas realizadas en este mes. Se aclara que esta información ya fue entregada a CREG mediante documento PRE12712021. </w:t>
      </w:r>
    </w:p>
    <w:p w14:paraId="7F02671F" w14:textId="77777777" w:rsidR="004F7ED1" w:rsidRDefault="004F7ED1" w:rsidP="00361A59">
      <w:pPr>
        <w:ind w:left="567"/>
        <w:contextualSpacing/>
        <w:jc w:val="both"/>
        <w:rPr>
          <w:rFonts w:ascii="Bookman Old Style" w:eastAsia="MS Mincho" w:hAnsi="Bookman Old Style" w:cs="Arial"/>
          <w:i/>
          <w:iCs/>
          <w:sz w:val="20"/>
          <w:szCs w:val="20"/>
          <w:lang w:val="es-CO"/>
        </w:rPr>
      </w:pPr>
    </w:p>
    <w:p w14:paraId="1480CB63" w14:textId="2D5CB87A" w:rsidR="00D22FBD" w:rsidRDefault="005C7272" w:rsidP="00361A59">
      <w:pPr>
        <w:ind w:left="567"/>
        <w:contextualSpacing/>
        <w:jc w:val="both"/>
        <w:rPr>
          <w:rFonts w:ascii="Bookman Old Style" w:eastAsia="MS Mincho" w:hAnsi="Bookman Old Style" w:cs="Arial"/>
          <w:i/>
          <w:iCs/>
          <w:sz w:val="20"/>
          <w:szCs w:val="20"/>
          <w:lang w:val="es-CO"/>
        </w:rPr>
      </w:pPr>
      <w:r w:rsidRPr="005C7272">
        <w:rPr>
          <w:rFonts w:ascii="Bookman Old Style" w:eastAsia="MS Mincho" w:hAnsi="Bookman Old Style" w:cs="Arial"/>
          <w:i/>
          <w:iCs/>
          <w:sz w:val="20"/>
          <w:szCs w:val="20"/>
          <w:lang w:val="es-CO"/>
        </w:rPr>
        <w:t>Con relación al Artículo Segundo Literal c):</w:t>
      </w:r>
      <w:r w:rsidR="004F7ED1">
        <w:rPr>
          <w:rFonts w:ascii="Bookman Old Style" w:eastAsia="MS Mincho" w:hAnsi="Bookman Old Style" w:cs="Arial"/>
          <w:i/>
          <w:iCs/>
          <w:sz w:val="20"/>
          <w:szCs w:val="20"/>
          <w:lang w:val="es-CO"/>
        </w:rPr>
        <w:t xml:space="preserve"> (…)</w:t>
      </w:r>
    </w:p>
    <w:p w14:paraId="69613E9F" w14:textId="77777777" w:rsidR="004F7ED1" w:rsidRDefault="004F7ED1" w:rsidP="00361A59">
      <w:pPr>
        <w:ind w:left="567"/>
        <w:contextualSpacing/>
        <w:jc w:val="both"/>
        <w:rPr>
          <w:rFonts w:ascii="Bookman Old Style" w:eastAsia="MS Mincho" w:hAnsi="Bookman Old Style" w:cs="Arial"/>
          <w:i/>
          <w:iCs/>
          <w:sz w:val="20"/>
          <w:szCs w:val="20"/>
          <w:lang w:val="es-CO"/>
        </w:rPr>
      </w:pPr>
    </w:p>
    <w:p w14:paraId="386331A5" w14:textId="62ADFD30" w:rsidR="004F7ED1" w:rsidRDefault="004F7ED1" w:rsidP="00361A59">
      <w:pPr>
        <w:ind w:left="567"/>
        <w:contextualSpacing/>
        <w:jc w:val="both"/>
        <w:rPr>
          <w:rFonts w:ascii="Bookman Old Style" w:eastAsia="MS Mincho" w:hAnsi="Bookman Old Style" w:cs="Arial"/>
          <w:i/>
          <w:iCs/>
          <w:sz w:val="20"/>
          <w:szCs w:val="20"/>
          <w:lang w:val="es-CO"/>
        </w:rPr>
      </w:pPr>
      <w:r w:rsidRPr="004F7ED1">
        <w:rPr>
          <w:rFonts w:ascii="Bookman Old Style" w:eastAsia="MS Mincho" w:hAnsi="Bookman Old Style" w:cs="Arial"/>
          <w:i/>
          <w:iCs/>
          <w:sz w:val="20"/>
          <w:szCs w:val="20"/>
          <w:lang w:val="es-CO"/>
        </w:rPr>
        <w:t xml:space="preserve">es importante aclarar que con posterioridad a la comunicación CREG </w:t>
      </w:r>
      <w:r>
        <w:rPr>
          <w:rFonts w:ascii="Bookman Old Style" w:eastAsia="MS Mincho" w:hAnsi="Bookman Old Style" w:cs="Arial"/>
          <w:i/>
          <w:iCs/>
          <w:sz w:val="20"/>
          <w:szCs w:val="20"/>
          <w:lang w:val="es-CO"/>
        </w:rPr>
        <w:t>E-2021-00008</w:t>
      </w:r>
      <w:r w:rsidRPr="004F7ED1">
        <w:rPr>
          <w:rFonts w:ascii="Bookman Old Style" w:eastAsia="MS Mincho" w:hAnsi="Bookman Old Style" w:cs="Arial"/>
          <w:i/>
          <w:iCs/>
          <w:sz w:val="20"/>
          <w:szCs w:val="20"/>
          <w:lang w:val="es-CO"/>
        </w:rPr>
        <w:t>3 del 02 de septiembre de 2020 y a la respuesta entregada por GENSA</w:t>
      </w:r>
      <w:r w:rsidR="00F90C68">
        <w:rPr>
          <w:rFonts w:ascii="Bookman Old Style" w:eastAsia="MS Mincho" w:hAnsi="Bookman Old Style" w:cs="Arial"/>
          <w:i/>
          <w:iCs/>
          <w:sz w:val="20"/>
          <w:szCs w:val="20"/>
          <w:lang w:val="es-CO"/>
        </w:rPr>
        <w:t xml:space="preserve"> con r</w:t>
      </w:r>
      <w:r w:rsidR="00F90C68" w:rsidRPr="00F90C68">
        <w:rPr>
          <w:rFonts w:ascii="Bookman Old Style" w:eastAsia="MS Mincho" w:hAnsi="Bookman Old Style" w:cs="Arial"/>
          <w:i/>
          <w:iCs/>
          <w:sz w:val="20"/>
          <w:szCs w:val="20"/>
          <w:lang w:val="es-CO"/>
        </w:rPr>
        <w:t>adicado CREG E-2021-001266 el 25 de enero de 2021, se realizó una reunión técnica con el equipo de DUE CAPITAL y su consultor GERS, con el fin de revisar la información requerida para la realización de los estudios complementarios y la información técnica disponible por GENSA, la cual fue enviada a DUE CAPITAL electrónicamente los días 20 y 21 de enero y 3 de febrero de 2021.</w:t>
      </w:r>
    </w:p>
    <w:p w14:paraId="1AC14A74" w14:textId="77777777" w:rsidR="00D75078" w:rsidRDefault="00D75078" w:rsidP="00361A59">
      <w:pPr>
        <w:ind w:left="567"/>
        <w:contextualSpacing/>
        <w:jc w:val="both"/>
        <w:rPr>
          <w:rFonts w:ascii="Bookman Old Style" w:eastAsia="MS Mincho" w:hAnsi="Bookman Old Style" w:cs="Arial"/>
          <w:i/>
          <w:iCs/>
          <w:sz w:val="20"/>
          <w:szCs w:val="20"/>
          <w:lang w:val="es-CO"/>
        </w:rPr>
      </w:pPr>
    </w:p>
    <w:p w14:paraId="51E318E9" w14:textId="246AB209" w:rsidR="00D75078" w:rsidRDefault="00D75078" w:rsidP="00361A59">
      <w:pPr>
        <w:ind w:left="567"/>
        <w:contextualSpacing/>
        <w:jc w:val="both"/>
        <w:rPr>
          <w:rFonts w:ascii="Bookman Old Style" w:eastAsia="MS Mincho" w:hAnsi="Bookman Old Style" w:cs="Arial"/>
          <w:i/>
          <w:iCs/>
          <w:sz w:val="20"/>
          <w:szCs w:val="20"/>
          <w:lang w:val="es-CO"/>
        </w:rPr>
      </w:pPr>
      <w:r w:rsidRPr="00D75078">
        <w:rPr>
          <w:rFonts w:ascii="Bookman Old Style" w:eastAsia="MS Mincho" w:hAnsi="Bookman Old Style" w:cs="Arial"/>
          <w:i/>
          <w:iCs/>
          <w:sz w:val="20"/>
          <w:szCs w:val="20"/>
          <w:lang w:val="es-CO"/>
        </w:rPr>
        <w:t>Con relación al Artículo Segundo Literal d):</w:t>
      </w:r>
    </w:p>
    <w:p w14:paraId="33046EFD" w14:textId="77777777" w:rsidR="00D75078" w:rsidRPr="00D75078" w:rsidRDefault="00D75078" w:rsidP="00361A59">
      <w:pPr>
        <w:ind w:left="567"/>
        <w:contextualSpacing/>
        <w:jc w:val="both"/>
        <w:rPr>
          <w:rFonts w:ascii="Bookman Old Style" w:eastAsia="MS Mincho" w:hAnsi="Bookman Old Style" w:cs="Arial"/>
          <w:i/>
          <w:iCs/>
          <w:sz w:val="20"/>
          <w:szCs w:val="20"/>
          <w:lang w:val="es-CO"/>
        </w:rPr>
      </w:pPr>
    </w:p>
    <w:p w14:paraId="103F8C4C" w14:textId="7307C5FE" w:rsidR="00D75078" w:rsidRDefault="00D75078" w:rsidP="00361A59">
      <w:pPr>
        <w:ind w:left="567"/>
        <w:contextualSpacing/>
        <w:jc w:val="both"/>
        <w:rPr>
          <w:rFonts w:ascii="Bookman Old Style" w:eastAsia="MS Mincho" w:hAnsi="Bookman Old Style" w:cs="Arial"/>
          <w:i/>
          <w:iCs/>
          <w:sz w:val="20"/>
          <w:szCs w:val="20"/>
          <w:lang w:val="es-CO"/>
        </w:rPr>
      </w:pPr>
      <w:r w:rsidRPr="00D75078">
        <w:rPr>
          <w:rFonts w:ascii="Bookman Old Style" w:eastAsia="MS Mincho" w:hAnsi="Bookman Old Style" w:cs="Arial"/>
          <w:i/>
          <w:iCs/>
          <w:sz w:val="20"/>
          <w:szCs w:val="20"/>
          <w:lang w:val="es-CO"/>
        </w:rPr>
        <w:t xml:space="preserve">GENSA S.A. ESP informa que no tiene firmado ningún contrato de conexión con el Distribuidor, en los términos de lo indicado en el parágrafo 2 del Artículo 5 de la Resolución CREG 038-2018. Valga indicar que los activos que la empresa opera corresponden a un sistema de generación de energía que no se encuentra cerca a los centros de consumo como podría pasar con paneles solar, u otros elementos de generación de energía eléctrica que, por su capacidad y tecnología, pueden instalarse directamente en las viviendas de los consumidores. Desde este punto de vista, GENSA considera que no le resultan aplicables las normas de generación distribuida previstas en la Resolución CREG 038 de </w:t>
      </w:r>
      <w:r w:rsidR="00A40300">
        <w:rPr>
          <w:rFonts w:ascii="Bookman Old Style" w:eastAsia="MS Mincho" w:hAnsi="Bookman Old Style" w:cs="Arial"/>
          <w:i/>
          <w:iCs/>
          <w:sz w:val="20"/>
          <w:szCs w:val="20"/>
          <w:lang w:val="es-CO"/>
        </w:rPr>
        <w:t>2</w:t>
      </w:r>
      <w:r w:rsidRPr="00D75078">
        <w:rPr>
          <w:rFonts w:ascii="Bookman Old Style" w:eastAsia="MS Mincho" w:hAnsi="Bookman Old Style" w:cs="Arial"/>
          <w:i/>
          <w:iCs/>
          <w:sz w:val="20"/>
          <w:szCs w:val="20"/>
          <w:lang w:val="es-CO"/>
        </w:rPr>
        <w:t>018.</w:t>
      </w:r>
    </w:p>
    <w:p w14:paraId="26C6735C" w14:textId="77777777" w:rsidR="00F5103E" w:rsidRPr="00D75078" w:rsidRDefault="00F5103E" w:rsidP="00361A59">
      <w:pPr>
        <w:ind w:left="567"/>
        <w:contextualSpacing/>
        <w:jc w:val="both"/>
        <w:rPr>
          <w:rFonts w:ascii="Bookman Old Style" w:eastAsia="MS Mincho" w:hAnsi="Bookman Old Style" w:cs="Arial"/>
          <w:i/>
          <w:iCs/>
          <w:sz w:val="20"/>
          <w:szCs w:val="20"/>
          <w:lang w:val="es-CO"/>
        </w:rPr>
      </w:pPr>
    </w:p>
    <w:p w14:paraId="70F5F76E" w14:textId="77777777" w:rsidR="00D75078" w:rsidRPr="00D75078" w:rsidRDefault="00D75078" w:rsidP="00361A59">
      <w:pPr>
        <w:ind w:left="567"/>
        <w:contextualSpacing/>
        <w:jc w:val="both"/>
        <w:rPr>
          <w:rFonts w:ascii="Bookman Old Style" w:eastAsia="MS Mincho" w:hAnsi="Bookman Old Style" w:cs="Arial"/>
          <w:i/>
          <w:iCs/>
          <w:sz w:val="20"/>
          <w:szCs w:val="20"/>
          <w:lang w:val="es-CO"/>
        </w:rPr>
      </w:pPr>
      <w:r w:rsidRPr="00D75078">
        <w:rPr>
          <w:rFonts w:ascii="Bookman Old Style" w:eastAsia="MS Mincho" w:hAnsi="Bookman Old Style" w:cs="Arial"/>
          <w:i/>
          <w:iCs/>
          <w:sz w:val="20"/>
          <w:szCs w:val="20"/>
          <w:lang w:val="es-CO"/>
        </w:rPr>
        <w:t xml:space="preserve">Con relación al Artículo Segundo Literal e): </w:t>
      </w:r>
    </w:p>
    <w:p w14:paraId="27CA73BD" w14:textId="77777777" w:rsidR="00F5103E" w:rsidRDefault="00F5103E" w:rsidP="00361A59">
      <w:pPr>
        <w:ind w:left="567"/>
        <w:contextualSpacing/>
        <w:jc w:val="both"/>
        <w:rPr>
          <w:rFonts w:ascii="Bookman Old Style" w:eastAsia="MS Mincho" w:hAnsi="Bookman Old Style" w:cs="Arial"/>
          <w:i/>
          <w:iCs/>
          <w:sz w:val="20"/>
          <w:szCs w:val="20"/>
          <w:lang w:val="es-CO"/>
        </w:rPr>
      </w:pPr>
    </w:p>
    <w:p w14:paraId="27221D2A" w14:textId="26445DAD" w:rsidR="00D75078" w:rsidRPr="00D75078" w:rsidRDefault="00D75078" w:rsidP="00361A59">
      <w:pPr>
        <w:ind w:left="567"/>
        <w:contextualSpacing/>
        <w:jc w:val="both"/>
        <w:rPr>
          <w:rFonts w:ascii="Bookman Old Style" w:eastAsia="MS Mincho" w:hAnsi="Bookman Old Style" w:cs="Arial"/>
          <w:i/>
          <w:iCs/>
          <w:sz w:val="20"/>
          <w:szCs w:val="20"/>
          <w:lang w:val="es-CO"/>
        </w:rPr>
      </w:pPr>
      <w:r w:rsidRPr="00D75078">
        <w:rPr>
          <w:rFonts w:ascii="Bookman Old Style" w:eastAsia="MS Mincho" w:hAnsi="Bookman Old Style" w:cs="Arial"/>
          <w:i/>
          <w:iCs/>
          <w:sz w:val="20"/>
          <w:szCs w:val="20"/>
          <w:lang w:val="es-CO"/>
        </w:rPr>
        <w:t xml:space="preserve">Se adjunta copia de comunicado PRE-12712021. </w:t>
      </w:r>
    </w:p>
    <w:p w14:paraId="17AC04D9" w14:textId="77777777" w:rsidR="00F5103E" w:rsidRDefault="00F5103E" w:rsidP="00361A59">
      <w:pPr>
        <w:ind w:left="567"/>
        <w:contextualSpacing/>
        <w:jc w:val="both"/>
        <w:rPr>
          <w:rFonts w:ascii="Bookman Old Style" w:eastAsia="MS Mincho" w:hAnsi="Bookman Old Style" w:cs="Arial"/>
          <w:i/>
          <w:iCs/>
          <w:sz w:val="20"/>
          <w:szCs w:val="20"/>
          <w:lang w:val="es-CO"/>
        </w:rPr>
      </w:pPr>
    </w:p>
    <w:p w14:paraId="3C41BD8C" w14:textId="35195F13" w:rsidR="00D22FBD" w:rsidRDefault="00D22FBD" w:rsidP="00361A59">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5E472A">
        <w:rPr>
          <w:rFonts w:ascii="Bookman Old Style" w:eastAsia="MS Mincho" w:hAnsi="Bookman Old Style" w:cs="Arial"/>
          <w:i/>
          <w:iCs/>
          <w:sz w:val="20"/>
          <w:szCs w:val="20"/>
          <w:lang w:val="es-CO"/>
        </w:rPr>
        <w:t>”</w:t>
      </w:r>
    </w:p>
    <w:p w14:paraId="6D701B12" w14:textId="77777777" w:rsidR="00D22FBD" w:rsidRDefault="00D22FBD" w:rsidP="001439B8">
      <w:pPr>
        <w:ind w:left="284"/>
        <w:contextualSpacing/>
        <w:jc w:val="both"/>
        <w:rPr>
          <w:rFonts w:ascii="Bookman Old Style" w:eastAsia="MS Mincho" w:hAnsi="Bookman Old Style" w:cs="Arial"/>
          <w:lang w:val="es-CO"/>
        </w:rPr>
      </w:pPr>
    </w:p>
    <w:p w14:paraId="0A0CACAD" w14:textId="47CC9ECC" w:rsidR="00414FB8" w:rsidRDefault="00414FB8" w:rsidP="00414FB8">
      <w:pPr>
        <w:ind w:left="284"/>
        <w:contextualSpacing/>
        <w:jc w:val="both"/>
        <w:rPr>
          <w:rFonts w:ascii="Bookman Old Style" w:eastAsia="MS Mincho" w:hAnsi="Bookman Old Style" w:cs="Arial"/>
          <w:lang w:val="es-CO"/>
        </w:rPr>
      </w:pPr>
      <w:r w:rsidRPr="00D22FBD">
        <w:rPr>
          <w:rFonts w:ascii="Bookman Old Style" w:eastAsia="MS Mincho" w:hAnsi="Bookman Old Style" w:cs="Arial"/>
        </w:rPr>
        <w:t>Mediante comunicación con radicado CREG E-2021-009</w:t>
      </w:r>
      <w:r>
        <w:rPr>
          <w:rFonts w:ascii="Bookman Old Style" w:eastAsia="MS Mincho" w:hAnsi="Bookman Old Style" w:cs="Arial"/>
        </w:rPr>
        <w:t>084</w:t>
      </w:r>
      <w:r w:rsidR="007E4346">
        <w:rPr>
          <w:rFonts w:ascii="Bookman Old Style" w:eastAsia="MS Mincho" w:hAnsi="Bookman Old Style" w:cs="Arial"/>
        </w:rPr>
        <w:t xml:space="preserve"> del 9 de agosto de 2021</w:t>
      </w:r>
      <w:r w:rsidRPr="00D22FBD">
        <w:rPr>
          <w:rFonts w:ascii="Bookman Old Style" w:eastAsia="MS Mincho" w:hAnsi="Bookman Old Style" w:cs="Arial"/>
        </w:rPr>
        <w:t xml:space="preserve">, </w:t>
      </w:r>
      <w:r w:rsidR="004F7958">
        <w:rPr>
          <w:rFonts w:ascii="Bookman Old Style" w:eastAsia="MS Mincho" w:hAnsi="Bookman Old Style" w:cs="Arial"/>
        </w:rPr>
        <w:t xml:space="preserve">en relación con el Auto de </w:t>
      </w:r>
      <w:r w:rsidR="00B63D6E">
        <w:rPr>
          <w:rFonts w:ascii="Bookman Old Style" w:eastAsia="MS Mincho" w:hAnsi="Bookman Old Style" w:cs="Arial"/>
        </w:rPr>
        <w:t>pruebas I</w:t>
      </w:r>
      <w:r w:rsidR="004F7958" w:rsidRPr="004F7958">
        <w:rPr>
          <w:rFonts w:ascii="Bookman Old Style" w:eastAsia="MS Mincho" w:hAnsi="Bookman Old Style" w:cs="Arial"/>
        </w:rPr>
        <w:t>-2021-002009</w:t>
      </w:r>
      <w:r w:rsidR="00B63D6E">
        <w:rPr>
          <w:rFonts w:ascii="Bookman Old Style" w:eastAsia="MS Mincho" w:hAnsi="Bookman Old Style" w:cs="Arial"/>
        </w:rPr>
        <w:t>,</w:t>
      </w:r>
      <w:r w:rsidR="004F7958" w:rsidRPr="004F7958">
        <w:rPr>
          <w:rFonts w:ascii="Bookman Old Style" w:eastAsia="MS Mincho" w:hAnsi="Bookman Old Style" w:cs="Arial"/>
        </w:rPr>
        <w:t xml:space="preserve"> </w:t>
      </w:r>
      <w:r w:rsidRPr="00D22FBD">
        <w:rPr>
          <w:rFonts w:ascii="Bookman Old Style" w:eastAsia="MS Mincho" w:hAnsi="Bookman Old Style" w:cs="Arial"/>
          <w:lang w:val="es-CO"/>
        </w:rPr>
        <w:t xml:space="preserve">DUE </w:t>
      </w:r>
      <w:r w:rsidR="00BE3D05">
        <w:rPr>
          <w:rFonts w:ascii="Bookman Old Style" w:eastAsia="MS Mincho" w:hAnsi="Bookman Old Style" w:cs="Arial"/>
          <w:lang w:val="es-CO"/>
        </w:rPr>
        <w:t xml:space="preserve">informa que </w:t>
      </w:r>
      <w:r w:rsidRPr="00A11D2D">
        <w:rPr>
          <w:rFonts w:ascii="Bookman Old Style" w:eastAsia="MS Mincho" w:hAnsi="Bookman Old Style" w:cs="Arial"/>
          <w:i/>
          <w:iCs/>
          <w:lang w:val="es-CO"/>
        </w:rPr>
        <w:t>“</w:t>
      </w:r>
      <w:r w:rsidR="002F59CA">
        <w:rPr>
          <w:rFonts w:ascii="Bookman Old Style" w:eastAsia="MS Mincho" w:hAnsi="Bookman Old Style" w:cs="Arial"/>
          <w:i/>
          <w:iCs/>
          <w:lang w:val="es-CO"/>
        </w:rPr>
        <w:t xml:space="preserve">(…) </w:t>
      </w:r>
      <w:r w:rsidR="00BE3D05">
        <w:rPr>
          <w:rFonts w:ascii="Bookman Old Style" w:eastAsia="MS Mincho" w:hAnsi="Bookman Old Style" w:cs="Arial"/>
          <w:i/>
          <w:iCs/>
          <w:lang w:val="es-CO"/>
        </w:rPr>
        <w:t>D</w:t>
      </w:r>
      <w:r w:rsidR="00BE3D05" w:rsidRPr="00BE3D05">
        <w:rPr>
          <w:rFonts w:ascii="Bookman Old Style" w:eastAsia="MS Mincho" w:hAnsi="Bookman Old Style" w:cs="Arial"/>
          <w:i/>
          <w:iCs/>
          <w:lang w:val="es-CO"/>
        </w:rPr>
        <w:t>e acuerdo con lo dispuesto en el Auto de la referencia por medio de la presente informar a la Comisión qué a la fecha, seis (6) días hábiles posteriores al Auto, DUE Capital and Services no ha recibido la información relacionada en el artículo segundo los literales a) al e)</w:t>
      </w:r>
      <w:r w:rsidR="002F59CA">
        <w:rPr>
          <w:rFonts w:ascii="Bookman Old Style" w:eastAsia="MS Mincho" w:hAnsi="Bookman Old Style" w:cs="Arial"/>
          <w:i/>
          <w:iCs/>
          <w:lang w:val="es-CO"/>
        </w:rPr>
        <w:t xml:space="preserve"> (…)</w:t>
      </w:r>
      <w:r w:rsidRPr="00A11D2D">
        <w:rPr>
          <w:rFonts w:ascii="Bookman Old Style" w:eastAsia="MS Mincho" w:hAnsi="Bookman Old Style" w:cs="Arial"/>
          <w:i/>
          <w:iCs/>
          <w:lang w:val="es-CO"/>
        </w:rPr>
        <w:t>”</w:t>
      </w:r>
      <w:r w:rsidRPr="00A11D2D">
        <w:rPr>
          <w:rFonts w:ascii="Bookman Old Style" w:eastAsia="MS Mincho" w:hAnsi="Bookman Old Style" w:cs="Arial"/>
          <w:lang w:val="es-CO"/>
        </w:rPr>
        <w:t>.</w:t>
      </w:r>
    </w:p>
    <w:p w14:paraId="7FF47AF0" w14:textId="25460647" w:rsidR="00731067" w:rsidRDefault="00731067" w:rsidP="00731067">
      <w:pPr>
        <w:ind w:left="284"/>
        <w:contextualSpacing/>
        <w:jc w:val="both"/>
        <w:rPr>
          <w:rFonts w:ascii="Bookman Old Style" w:eastAsia="MS Mincho" w:hAnsi="Bookman Old Style" w:cs="Arial"/>
        </w:rPr>
      </w:pPr>
      <w:r w:rsidRPr="0086458B">
        <w:rPr>
          <w:rFonts w:ascii="Bookman Old Style" w:eastAsia="MS Mincho" w:hAnsi="Bookman Old Style" w:cs="Arial"/>
        </w:rPr>
        <w:t>Mediante Auto I-2021-002</w:t>
      </w:r>
      <w:r>
        <w:rPr>
          <w:rFonts w:ascii="Bookman Old Style" w:eastAsia="MS Mincho" w:hAnsi="Bookman Old Style" w:cs="Arial"/>
        </w:rPr>
        <w:t xml:space="preserve">2233, en atención a la solicitud presentada por GENSA </w:t>
      </w:r>
      <w:r w:rsidR="00FE35EE">
        <w:rPr>
          <w:rFonts w:ascii="Bookman Old Style" w:eastAsia="MS Mincho" w:hAnsi="Bookman Old Style" w:cs="Arial"/>
        </w:rPr>
        <w:t>sobre el término para entregar concepto de viabilidad técnica de la conexión, e</w:t>
      </w:r>
      <w:r w:rsidRPr="0086458B">
        <w:rPr>
          <w:rFonts w:ascii="Bookman Old Style" w:eastAsia="MS Mincho" w:hAnsi="Bookman Old Style" w:cs="Arial"/>
        </w:rPr>
        <w:t xml:space="preserve">sta Comisión </w:t>
      </w:r>
      <w:r>
        <w:rPr>
          <w:rFonts w:ascii="Bookman Old Style" w:eastAsia="MS Mincho" w:hAnsi="Bookman Old Style" w:cs="Arial"/>
        </w:rPr>
        <w:t>consideró y resolvió:</w:t>
      </w:r>
    </w:p>
    <w:p w14:paraId="611D420C" w14:textId="77777777" w:rsidR="00731067" w:rsidRDefault="00731067" w:rsidP="00731067">
      <w:pPr>
        <w:ind w:left="284"/>
        <w:contextualSpacing/>
        <w:jc w:val="both"/>
        <w:rPr>
          <w:rFonts w:ascii="Bookman Old Style" w:eastAsia="MS Mincho" w:hAnsi="Bookman Old Style" w:cs="Arial"/>
        </w:rPr>
      </w:pPr>
    </w:p>
    <w:p w14:paraId="2ACB67BA" w14:textId="1BEB9D5C" w:rsidR="00035D8B" w:rsidRDefault="00FE35EE" w:rsidP="00193E2A">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Mediante comunicación con radicado CREG E-2021-008888 la empresa GENSA S.A</w:t>
      </w:r>
      <w:r w:rsidR="00035D8B">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E.S.P. presentó la siguiente solicitud:</w:t>
      </w:r>
    </w:p>
    <w:p w14:paraId="3A5D5220" w14:textId="77777777" w:rsidR="008914C2" w:rsidRPr="00035D8B" w:rsidRDefault="008914C2" w:rsidP="00035D8B">
      <w:pPr>
        <w:ind w:left="708"/>
        <w:contextualSpacing/>
        <w:jc w:val="both"/>
        <w:rPr>
          <w:rFonts w:ascii="Bookman Old Style" w:eastAsia="MS Mincho" w:hAnsi="Bookman Old Style" w:cs="Arial"/>
          <w:i/>
          <w:iCs/>
          <w:sz w:val="20"/>
          <w:szCs w:val="20"/>
          <w:lang w:val="es-CO"/>
        </w:rPr>
      </w:pPr>
    </w:p>
    <w:p w14:paraId="212B2CAF" w14:textId="249642F5" w:rsidR="00035D8B" w:rsidRPr="00035D8B" w:rsidRDefault="001A0618" w:rsidP="00193E2A">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035D8B" w:rsidRPr="00035D8B">
        <w:rPr>
          <w:rFonts w:ascii="Bookman Old Style" w:eastAsia="MS Mincho" w:hAnsi="Bookman Old Style" w:cs="Arial"/>
          <w:i/>
          <w:iCs/>
          <w:sz w:val="20"/>
          <w:szCs w:val="20"/>
          <w:lang w:val="es-CO"/>
        </w:rPr>
        <w:t>nótese, que el Ministerio de Minas y Energía consideró tres (3) meses como un plazo</w:t>
      </w:r>
      <w:r>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prudencial para la realización del concepto solicitado a GENSA, a partir de la entrega del</w:t>
      </w:r>
    </w:p>
    <w:p w14:paraId="105DE981" w14:textId="091977B8" w:rsidR="00035D8B" w:rsidRPr="00035D8B" w:rsidRDefault="00035D8B" w:rsidP="00193E2A">
      <w:pPr>
        <w:ind w:left="851"/>
        <w:contextualSpacing/>
        <w:jc w:val="both"/>
        <w:rPr>
          <w:rFonts w:ascii="Bookman Old Style" w:eastAsia="MS Mincho" w:hAnsi="Bookman Old Style" w:cs="Arial"/>
          <w:i/>
          <w:iCs/>
          <w:sz w:val="20"/>
          <w:szCs w:val="20"/>
          <w:lang w:val="es-CO"/>
        </w:rPr>
      </w:pPr>
      <w:r w:rsidRPr="00035D8B">
        <w:rPr>
          <w:rFonts w:ascii="Bookman Old Style" w:eastAsia="MS Mincho" w:hAnsi="Bookman Old Style" w:cs="Arial"/>
          <w:i/>
          <w:iCs/>
          <w:sz w:val="20"/>
          <w:szCs w:val="20"/>
          <w:lang w:val="es-CO"/>
        </w:rPr>
        <w:t>estudio de conexión.</w:t>
      </w:r>
      <w:r w:rsidR="00FB7E94">
        <w:rPr>
          <w:rFonts w:ascii="Bookman Old Style" w:eastAsia="MS Mincho" w:hAnsi="Bookman Old Style" w:cs="Arial"/>
          <w:i/>
          <w:iCs/>
          <w:sz w:val="20"/>
          <w:szCs w:val="20"/>
          <w:lang w:val="es-CO"/>
        </w:rPr>
        <w:t xml:space="preserve"> (…)</w:t>
      </w:r>
    </w:p>
    <w:p w14:paraId="3937AC35" w14:textId="77777777" w:rsidR="001A0618" w:rsidRDefault="001A0618" w:rsidP="00193E2A">
      <w:pPr>
        <w:ind w:left="851"/>
        <w:contextualSpacing/>
        <w:jc w:val="both"/>
        <w:rPr>
          <w:rFonts w:ascii="Bookman Old Style" w:eastAsia="MS Mincho" w:hAnsi="Bookman Old Style" w:cs="Arial"/>
          <w:i/>
          <w:iCs/>
          <w:sz w:val="20"/>
          <w:szCs w:val="20"/>
          <w:lang w:val="es-CO"/>
        </w:rPr>
      </w:pPr>
    </w:p>
    <w:p w14:paraId="7560F6EE" w14:textId="077E278D" w:rsidR="00035D8B" w:rsidRDefault="00035D8B" w:rsidP="00193E2A">
      <w:pPr>
        <w:ind w:left="851"/>
        <w:contextualSpacing/>
        <w:jc w:val="both"/>
        <w:rPr>
          <w:rFonts w:ascii="Bookman Old Style" w:eastAsia="MS Mincho" w:hAnsi="Bookman Old Style" w:cs="Arial"/>
          <w:i/>
          <w:iCs/>
          <w:sz w:val="20"/>
          <w:szCs w:val="20"/>
          <w:lang w:val="es-CO"/>
        </w:rPr>
      </w:pPr>
      <w:r w:rsidRPr="00035D8B">
        <w:rPr>
          <w:rFonts w:ascii="Bookman Old Style" w:eastAsia="MS Mincho" w:hAnsi="Bookman Old Style" w:cs="Arial"/>
          <w:i/>
          <w:iCs/>
          <w:sz w:val="20"/>
          <w:szCs w:val="20"/>
          <w:lang w:val="es-CO"/>
        </w:rPr>
        <w:t>Dado lo anterior, GENSA insiste en solicitar cordialmente a la CREG que le otorgue un</w:t>
      </w:r>
      <w:r w:rsidR="00FB7E94">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termino de noventa (90) días para realizar el estudio de validación de la conexión, término</w:t>
      </w:r>
      <w:r w:rsidR="00FB7E94">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que, adicionalmente, se solicita que se empiece a contar desde que se acepte la solicitud</w:t>
      </w:r>
      <w:r w:rsidR="00FB7E94">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por parte de la CREG.</w:t>
      </w:r>
      <w:r w:rsidR="00FB7E94">
        <w:rPr>
          <w:rFonts w:ascii="Bookman Old Style" w:eastAsia="MS Mincho" w:hAnsi="Bookman Old Style" w:cs="Arial"/>
          <w:i/>
          <w:iCs/>
          <w:sz w:val="20"/>
          <w:szCs w:val="20"/>
          <w:lang w:val="es-CO"/>
        </w:rPr>
        <w:t>’</w:t>
      </w:r>
    </w:p>
    <w:p w14:paraId="75875D64" w14:textId="77777777" w:rsidR="008914C2" w:rsidRPr="00035D8B" w:rsidRDefault="008914C2" w:rsidP="00035D8B">
      <w:pPr>
        <w:ind w:left="708"/>
        <w:contextualSpacing/>
        <w:jc w:val="both"/>
        <w:rPr>
          <w:rFonts w:ascii="Bookman Old Style" w:eastAsia="MS Mincho" w:hAnsi="Bookman Old Style" w:cs="Arial"/>
          <w:i/>
          <w:iCs/>
          <w:sz w:val="20"/>
          <w:szCs w:val="20"/>
          <w:lang w:val="es-CO"/>
        </w:rPr>
      </w:pPr>
    </w:p>
    <w:p w14:paraId="664936F0" w14:textId="0410BD86" w:rsidR="00035D8B" w:rsidRPr="00035D8B" w:rsidRDefault="00035D8B" w:rsidP="00193E2A">
      <w:pPr>
        <w:ind w:left="567"/>
        <w:contextualSpacing/>
        <w:jc w:val="both"/>
        <w:rPr>
          <w:rFonts w:ascii="Bookman Old Style" w:eastAsia="MS Mincho" w:hAnsi="Bookman Old Style" w:cs="Arial"/>
          <w:i/>
          <w:iCs/>
          <w:sz w:val="20"/>
          <w:szCs w:val="20"/>
          <w:lang w:val="es-CO"/>
        </w:rPr>
      </w:pPr>
      <w:r w:rsidRPr="00035D8B">
        <w:rPr>
          <w:rFonts w:ascii="Bookman Old Style" w:eastAsia="MS Mincho" w:hAnsi="Bookman Old Style" w:cs="Arial"/>
          <w:i/>
          <w:iCs/>
          <w:sz w:val="20"/>
          <w:szCs w:val="20"/>
          <w:lang w:val="es-CO"/>
        </w:rPr>
        <w:t>A continuación, se transcribe el aparte de la comunicación con radicado del MME</w:t>
      </w:r>
      <w:r w:rsidR="00FB7E94">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2019091375 del 26 de diciembre de 2019, radicado CREG E-2020-001301,</w:t>
      </w:r>
      <w:r w:rsidR="00FB7E94">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mencionado por la empresa:</w:t>
      </w:r>
    </w:p>
    <w:p w14:paraId="6130F608" w14:textId="77777777" w:rsidR="00FB7E94" w:rsidRDefault="00FB7E94" w:rsidP="00035D8B">
      <w:pPr>
        <w:ind w:left="708"/>
        <w:contextualSpacing/>
        <w:jc w:val="both"/>
        <w:rPr>
          <w:rFonts w:ascii="Bookman Old Style" w:eastAsia="MS Mincho" w:hAnsi="Bookman Old Style" w:cs="Arial"/>
          <w:i/>
          <w:iCs/>
          <w:sz w:val="20"/>
          <w:szCs w:val="20"/>
          <w:lang w:val="es-CO"/>
        </w:rPr>
      </w:pPr>
    </w:p>
    <w:p w14:paraId="03EBE551" w14:textId="78085BB4" w:rsidR="00035D8B" w:rsidRDefault="008B6DEC" w:rsidP="00193E2A">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035D8B" w:rsidRPr="00035D8B">
        <w:rPr>
          <w:rFonts w:ascii="Bookman Old Style" w:eastAsia="MS Mincho" w:hAnsi="Bookman Old Style" w:cs="Arial"/>
          <w:i/>
          <w:iCs/>
          <w:sz w:val="20"/>
          <w:szCs w:val="20"/>
          <w:lang w:val="es-CO"/>
        </w:rPr>
        <w:t>Este Ministerio como propietario no tendrá oposición para la conexión del proyecto, sin embargo,</w:t>
      </w:r>
      <w:r>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siendo GENSA quien dispone del uso y goce de la infraestructura, asumiendo obligaciones en</w:t>
      </w:r>
      <w:r>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materia de administración, operación y mantenimiento y además quien conoce plenamente el</w:t>
      </w:r>
      <w:r>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sistema, deberá analizar el Estudio de Conexión presentado por DUE CAPITAL y emitir concepto</w:t>
      </w:r>
      <w:r w:rsidR="00DD31B9">
        <w:rPr>
          <w:rFonts w:ascii="Bookman Old Style" w:eastAsia="MS Mincho" w:hAnsi="Bookman Old Style" w:cs="Arial"/>
          <w:i/>
          <w:iCs/>
          <w:sz w:val="20"/>
          <w:szCs w:val="20"/>
          <w:lang w:val="es-CO"/>
        </w:rPr>
        <w:t xml:space="preserve"> </w:t>
      </w:r>
      <w:r w:rsidR="00035D8B" w:rsidRPr="00035D8B">
        <w:rPr>
          <w:rFonts w:ascii="Bookman Old Style" w:eastAsia="MS Mincho" w:hAnsi="Bookman Old Style" w:cs="Arial"/>
          <w:i/>
          <w:iCs/>
          <w:sz w:val="20"/>
          <w:szCs w:val="20"/>
          <w:lang w:val="es-CO"/>
        </w:rPr>
        <w:t>técnico de conexión bajo criterios de calidad, confiabilidad, seguridad, estabilidad y eficiencia. (…)</w:t>
      </w:r>
    </w:p>
    <w:p w14:paraId="34FBF0CC" w14:textId="77777777" w:rsidR="00DD31B9" w:rsidRPr="00035D8B" w:rsidRDefault="00DD31B9" w:rsidP="00193E2A">
      <w:pPr>
        <w:ind w:left="851"/>
        <w:contextualSpacing/>
        <w:jc w:val="both"/>
        <w:rPr>
          <w:rFonts w:ascii="Bookman Old Style" w:eastAsia="MS Mincho" w:hAnsi="Bookman Old Style" w:cs="Arial"/>
          <w:i/>
          <w:iCs/>
          <w:sz w:val="20"/>
          <w:szCs w:val="20"/>
          <w:lang w:val="es-CO"/>
        </w:rPr>
      </w:pPr>
    </w:p>
    <w:p w14:paraId="77831E44" w14:textId="5A0321D9" w:rsidR="00035D8B" w:rsidRPr="00035D8B" w:rsidRDefault="00035D8B" w:rsidP="00193E2A">
      <w:pPr>
        <w:ind w:left="851"/>
        <w:contextualSpacing/>
        <w:jc w:val="both"/>
        <w:rPr>
          <w:rFonts w:ascii="Bookman Old Style" w:eastAsia="MS Mincho" w:hAnsi="Bookman Old Style" w:cs="Arial"/>
          <w:i/>
          <w:iCs/>
          <w:sz w:val="20"/>
          <w:szCs w:val="20"/>
          <w:lang w:val="es-CO"/>
        </w:rPr>
      </w:pPr>
      <w:r w:rsidRPr="00035D8B">
        <w:rPr>
          <w:rFonts w:ascii="Bookman Old Style" w:eastAsia="MS Mincho" w:hAnsi="Bookman Old Style" w:cs="Arial"/>
          <w:i/>
          <w:iCs/>
          <w:sz w:val="20"/>
          <w:szCs w:val="20"/>
          <w:lang w:val="es-CO"/>
        </w:rPr>
        <w:t>Por todo lo anterior, recomendamos, procedan a presentar a GENSA el estudio de conexión, para</w:t>
      </w:r>
      <w:r w:rsidR="00DD31B9">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 xml:space="preserve">lo cual solicitamos a la empresa que en </w:t>
      </w:r>
      <w:r w:rsidRPr="0050492A">
        <w:rPr>
          <w:rFonts w:ascii="Bookman Old Style" w:eastAsia="MS Mincho" w:hAnsi="Bookman Old Style" w:cs="Arial"/>
          <w:i/>
          <w:iCs/>
          <w:sz w:val="20"/>
          <w:szCs w:val="20"/>
          <w:u w:val="single"/>
          <w:lang w:val="es-CO"/>
        </w:rPr>
        <w:t>un término máximo de tres meses , a partir del recibo del</w:t>
      </w:r>
      <w:r w:rsidR="00DD31B9" w:rsidRPr="0050492A">
        <w:rPr>
          <w:rFonts w:ascii="Bookman Old Style" w:eastAsia="MS Mincho" w:hAnsi="Bookman Old Style" w:cs="Arial"/>
          <w:i/>
          <w:iCs/>
          <w:sz w:val="20"/>
          <w:szCs w:val="20"/>
          <w:u w:val="single"/>
          <w:lang w:val="es-CO"/>
        </w:rPr>
        <w:t xml:space="preserve"> </w:t>
      </w:r>
      <w:r w:rsidRPr="0050492A">
        <w:rPr>
          <w:rFonts w:ascii="Bookman Old Style" w:eastAsia="MS Mincho" w:hAnsi="Bookman Old Style" w:cs="Arial"/>
          <w:i/>
          <w:iCs/>
          <w:sz w:val="20"/>
          <w:szCs w:val="20"/>
          <w:u w:val="single"/>
          <w:lang w:val="es-CO"/>
        </w:rPr>
        <w:t>estudio de conexión , presente un concepto sobre la viabilidad técnica de conectar el proyecto al</w:t>
      </w:r>
      <w:r w:rsidR="00DD31B9" w:rsidRPr="0050492A">
        <w:rPr>
          <w:rFonts w:ascii="Bookman Old Style" w:eastAsia="MS Mincho" w:hAnsi="Bookman Old Style" w:cs="Arial"/>
          <w:i/>
          <w:iCs/>
          <w:sz w:val="20"/>
          <w:szCs w:val="20"/>
          <w:u w:val="single"/>
          <w:lang w:val="es-CO"/>
        </w:rPr>
        <w:t xml:space="preserve"> </w:t>
      </w:r>
      <w:r w:rsidRPr="0050492A">
        <w:rPr>
          <w:rFonts w:ascii="Bookman Old Style" w:eastAsia="MS Mincho" w:hAnsi="Bookman Old Style" w:cs="Arial"/>
          <w:i/>
          <w:iCs/>
          <w:sz w:val="20"/>
          <w:szCs w:val="20"/>
          <w:u w:val="single"/>
          <w:lang w:val="es-CO"/>
        </w:rPr>
        <w:t>punto de conexión solicitado</w:t>
      </w:r>
      <w:r w:rsidRPr="00035D8B">
        <w:rPr>
          <w:rFonts w:ascii="Bookman Old Style" w:eastAsia="MS Mincho" w:hAnsi="Bookman Old Style" w:cs="Arial"/>
          <w:i/>
          <w:iCs/>
          <w:sz w:val="20"/>
          <w:szCs w:val="20"/>
          <w:lang w:val="es-CO"/>
        </w:rPr>
        <w:t xml:space="preserve"> y paralelamente esta Dirección, evaluará junto al Grupo de Gestión</w:t>
      </w:r>
      <w:r w:rsidR="00DD31B9">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Contractual, si de ser técnicamente viable , con quien se suscribiría el contrato de conexión</w:t>
      </w:r>
      <w:r w:rsidR="00DD31B9">
        <w:rPr>
          <w:rFonts w:ascii="Bookman Old Style" w:eastAsia="MS Mincho" w:hAnsi="Bookman Old Style" w:cs="Arial"/>
          <w:i/>
          <w:iCs/>
          <w:sz w:val="20"/>
          <w:szCs w:val="20"/>
          <w:lang w:val="es-CO"/>
        </w:rPr>
        <w:t>’</w:t>
      </w:r>
      <w:r w:rsidRPr="00035D8B">
        <w:rPr>
          <w:rFonts w:ascii="Bookman Old Style" w:eastAsia="MS Mincho" w:hAnsi="Bookman Old Style" w:cs="Arial"/>
          <w:i/>
          <w:iCs/>
          <w:sz w:val="20"/>
          <w:szCs w:val="20"/>
          <w:lang w:val="es-CO"/>
        </w:rPr>
        <w:t>.</w:t>
      </w:r>
      <w:r w:rsidR="00DD31B9">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(Subrayado fuera de texto)</w:t>
      </w:r>
    </w:p>
    <w:p w14:paraId="55E2601A" w14:textId="77777777" w:rsidR="008B6DEC" w:rsidRDefault="008B6DEC" w:rsidP="00035D8B">
      <w:pPr>
        <w:ind w:left="708"/>
        <w:contextualSpacing/>
        <w:jc w:val="both"/>
        <w:rPr>
          <w:rFonts w:ascii="Bookman Old Style" w:eastAsia="MS Mincho" w:hAnsi="Bookman Old Style" w:cs="Arial"/>
          <w:i/>
          <w:iCs/>
          <w:sz w:val="20"/>
          <w:szCs w:val="20"/>
          <w:lang w:val="es-CO"/>
        </w:rPr>
      </w:pPr>
    </w:p>
    <w:p w14:paraId="23F466D3" w14:textId="14BE8623" w:rsidR="007E55C7" w:rsidRDefault="00035D8B" w:rsidP="00193E2A">
      <w:pPr>
        <w:ind w:left="567"/>
        <w:contextualSpacing/>
        <w:jc w:val="both"/>
        <w:rPr>
          <w:rFonts w:ascii="Bookman Old Style" w:eastAsia="MS Mincho" w:hAnsi="Bookman Old Style" w:cs="Arial"/>
          <w:i/>
          <w:iCs/>
          <w:sz w:val="20"/>
          <w:szCs w:val="20"/>
          <w:lang w:val="es-CO"/>
        </w:rPr>
      </w:pPr>
      <w:r w:rsidRPr="00035D8B">
        <w:rPr>
          <w:rFonts w:ascii="Bookman Old Style" w:eastAsia="MS Mincho" w:hAnsi="Bookman Old Style" w:cs="Arial"/>
          <w:i/>
          <w:iCs/>
          <w:sz w:val="20"/>
          <w:szCs w:val="20"/>
          <w:lang w:val="es-CO"/>
        </w:rPr>
        <w:t>Revisado el contenido de la precitada comunicación, se observa que el Ministerio de</w:t>
      </w:r>
      <w:r w:rsidR="0050492A">
        <w:rPr>
          <w:rFonts w:ascii="Bookman Old Style" w:eastAsia="MS Mincho" w:hAnsi="Bookman Old Style" w:cs="Arial"/>
          <w:i/>
          <w:iCs/>
          <w:sz w:val="20"/>
          <w:szCs w:val="20"/>
          <w:lang w:val="es-CO"/>
        </w:rPr>
        <w:t xml:space="preserve"> </w:t>
      </w:r>
      <w:r w:rsidRPr="00035D8B">
        <w:rPr>
          <w:rFonts w:ascii="Bookman Old Style" w:eastAsia="MS Mincho" w:hAnsi="Bookman Old Style" w:cs="Arial"/>
          <w:i/>
          <w:iCs/>
          <w:sz w:val="20"/>
          <w:szCs w:val="20"/>
          <w:lang w:val="es-CO"/>
        </w:rPr>
        <w:t>Minas y Energía le otorgó a GENSA S.A E.S.P. un término máximo de tres meses</w:t>
      </w:r>
      <w:r w:rsidR="007E55C7">
        <w:rPr>
          <w:rFonts w:ascii="Bookman Old Style" w:eastAsia="MS Mincho" w:hAnsi="Bookman Old Style" w:cs="Arial"/>
          <w:i/>
          <w:iCs/>
          <w:sz w:val="20"/>
          <w:szCs w:val="20"/>
          <w:lang w:val="es-CO"/>
        </w:rPr>
        <w:t xml:space="preserve"> </w:t>
      </w:r>
      <w:r w:rsidR="007E55C7" w:rsidRPr="007E55C7">
        <w:rPr>
          <w:rFonts w:ascii="Bookman Old Style" w:eastAsia="MS Mincho" w:hAnsi="Bookman Old Style" w:cs="Arial"/>
          <w:i/>
          <w:iCs/>
          <w:sz w:val="20"/>
          <w:szCs w:val="20"/>
          <w:lang w:val="es-CO"/>
        </w:rPr>
        <w:t>contados a partir del recibo del estudio de conexión, los cuales, de acuerdo con la</w:t>
      </w:r>
      <w:r w:rsidR="007E55C7">
        <w:rPr>
          <w:rFonts w:ascii="Bookman Old Style" w:eastAsia="MS Mincho" w:hAnsi="Bookman Old Style" w:cs="Arial"/>
          <w:i/>
          <w:iCs/>
          <w:sz w:val="20"/>
          <w:szCs w:val="20"/>
          <w:lang w:val="es-CO"/>
        </w:rPr>
        <w:t xml:space="preserve"> </w:t>
      </w:r>
      <w:r w:rsidR="007E55C7" w:rsidRPr="007E55C7">
        <w:rPr>
          <w:rFonts w:ascii="Bookman Old Style" w:eastAsia="MS Mincho" w:hAnsi="Bookman Old Style" w:cs="Arial"/>
          <w:i/>
          <w:iCs/>
          <w:sz w:val="20"/>
          <w:szCs w:val="20"/>
          <w:lang w:val="es-CO"/>
        </w:rPr>
        <w:t>información que reposa en el expediente administrativo, se cuentan a partir del 25 de</w:t>
      </w:r>
      <w:r w:rsidR="007E55C7">
        <w:rPr>
          <w:rFonts w:ascii="Bookman Old Style" w:eastAsia="MS Mincho" w:hAnsi="Bookman Old Style" w:cs="Arial"/>
          <w:i/>
          <w:iCs/>
          <w:sz w:val="20"/>
          <w:szCs w:val="20"/>
          <w:lang w:val="es-CO"/>
        </w:rPr>
        <w:t xml:space="preserve"> </w:t>
      </w:r>
      <w:r w:rsidR="007E55C7" w:rsidRPr="007E55C7">
        <w:rPr>
          <w:rFonts w:ascii="Bookman Old Style" w:eastAsia="MS Mincho" w:hAnsi="Bookman Old Style" w:cs="Arial"/>
          <w:i/>
          <w:iCs/>
          <w:sz w:val="20"/>
          <w:szCs w:val="20"/>
          <w:lang w:val="es-CO"/>
        </w:rPr>
        <w:t>junio del año en curso, fecha en la que GENSA S.A E.S.P. manifiesta el recibo del</w:t>
      </w:r>
      <w:r w:rsidR="007E55C7">
        <w:rPr>
          <w:rFonts w:ascii="Bookman Old Style" w:eastAsia="MS Mincho" w:hAnsi="Bookman Old Style" w:cs="Arial"/>
          <w:i/>
          <w:iCs/>
          <w:sz w:val="20"/>
          <w:szCs w:val="20"/>
          <w:lang w:val="es-CO"/>
        </w:rPr>
        <w:t xml:space="preserve"> </w:t>
      </w:r>
      <w:r w:rsidR="007E55C7" w:rsidRPr="007E55C7">
        <w:rPr>
          <w:rFonts w:ascii="Bookman Old Style" w:eastAsia="MS Mincho" w:hAnsi="Bookman Old Style" w:cs="Arial"/>
          <w:i/>
          <w:iCs/>
          <w:sz w:val="20"/>
          <w:szCs w:val="20"/>
          <w:lang w:val="es-CO"/>
        </w:rPr>
        <w:t>estudio de conexión.</w:t>
      </w:r>
    </w:p>
    <w:p w14:paraId="09F5A7DA" w14:textId="77777777" w:rsidR="007E55C7" w:rsidRPr="007E55C7" w:rsidRDefault="007E55C7" w:rsidP="00193E2A">
      <w:pPr>
        <w:ind w:left="567"/>
        <w:contextualSpacing/>
        <w:jc w:val="both"/>
        <w:rPr>
          <w:rFonts w:ascii="Bookman Old Style" w:eastAsia="MS Mincho" w:hAnsi="Bookman Old Style" w:cs="Arial"/>
          <w:i/>
          <w:iCs/>
          <w:sz w:val="20"/>
          <w:szCs w:val="20"/>
          <w:lang w:val="es-CO"/>
        </w:rPr>
      </w:pPr>
    </w:p>
    <w:p w14:paraId="6FE00346" w14:textId="77777777" w:rsidR="00E04BF9" w:rsidRDefault="007E55C7" w:rsidP="00193E2A">
      <w:pPr>
        <w:ind w:left="567"/>
        <w:contextualSpacing/>
        <w:jc w:val="both"/>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Así las cosas, se considera que el término inicial otorgado por el Ministerio de Minas</w:t>
      </w:r>
      <w:r>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y Energía resulta adecuado, pero, dadas las circunstancias expuestas, se fijará una</w:t>
      </w:r>
      <w:r>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fecha definitiva para que lo allegue a la presente actuación.</w:t>
      </w:r>
    </w:p>
    <w:p w14:paraId="61A04746" w14:textId="77777777" w:rsidR="00E04BF9" w:rsidRDefault="00E04BF9" w:rsidP="00193E2A">
      <w:pPr>
        <w:ind w:left="567"/>
        <w:contextualSpacing/>
        <w:jc w:val="both"/>
        <w:rPr>
          <w:rFonts w:ascii="Bookman Old Style" w:eastAsia="MS Mincho" w:hAnsi="Bookman Old Style" w:cs="Arial"/>
          <w:i/>
          <w:iCs/>
          <w:sz w:val="20"/>
          <w:szCs w:val="20"/>
          <w:lang w:val="es-CO"/>
        </w:rPr>
      </w:pPr>
    </w:p>
    <w:p w14:paraId="37486BCF" w14:textId="5CDB3A18" w:rsidR="007E55C7" w:rsidRDefault="007E55C7" w:rsidP="00193E2A">
      <w:pPr>
        <w:ind w:left="567"/>
        <w:contextualSpacing/>
        <w:jc w:val="both"/>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En mérito de lo expuesto, y de conformidad con lo previsto en el artículo 40 del Código</w:t>
      </w:r>
      <w:r>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de Procedimiento Administrativo y de lo Contencioso Administrativo,</w:t>
      </w:r>
    </w:p>
    <w:p w14:paraId="6C21EF47" w14:textId="77777777" w:rsidR="00E04BF9" w:rsidRPr="007E55C7" w:rsidRDefault="00E04BF9" w:rsidP="00193E2A">
      <w:pPr>
        <w:ind w:left="567"/>
        <w:contextualSpacing/>
        <w:jc w:val="both"/>
        <w:rPr>
          <w:rFonts w:ascii="Bookman Old Style" w:eastAsia="MS Mincho" w:hAnsi="Bookman Old Style" w:cs="Arial"/>
          <w:i/>
          <w:iCs/>
          <w:sz w:val="20"/>
          <w:szCs w:val="20"/>
          <w:lang w:val="es-CO"/>
        </w:rPr>
      </w:pPr>
    </w:p>
    <w:p w14:paraId="705CB02D" w14:textId="77777777" w:rsidR="007E55C7" w:rsidRPr="007E55C7" w:rsidRDefault="007E55C7" w:rsidP="00193E2A">
      <w:pPr>
        <w:ind w:left="567"/>
        <w:contextualSpacing/>
        <w:jc w:val="center"/>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RESUELVE:</w:t>
      </w:r>
    </w:p>
    <w:p w14:paraId="38F09385" w14:textId="77777777" w:rsidR="00E04BF9" w:rsidRDefault="00E04BF9" w:rsidP="00193E2A">
      <w:pPr>
        <w:ind w:left="567"/>
        <w:contextualSpacing/>
        <w:jc w:val="both"/>
        <w:rPr>
          <w:rFonts w:ascii="Bookman Old Style" w:eastAsia="MS Mincho" w:hAnsi="Bookman Old Style" w:cs="Arial"/>
          <w:i/>
          <w:iCs/>
          <w:sz w:val="20"/>
          <w:szCs w:val="20"/>
          <w:lang w:val="es-CO"/>
        </w:rPr>
      </w:pPr>
    </w:p>
    <w:p w14:paraId="64F932C6" w14:textId="36135FA0" w:rsidR="007E55C7" w:rsidRDefault="007E55C7" w:rsidP="00193E2A">
      <w:pPr>
        <w:ind w:left="567"/>
        <w:contextualSpacing/>
        <w:jc w:val="both"/>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PRIMERO. Otorgarle a la empresa GENSA S.A. E.S.P. un nuevo plazo, hasta el 15</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de octubre de 2021, para que realice el análisis de los estudios y emita concepto sobre</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 xml:space="preserve">la factibilidad técnica de la conexión del estudio de conexión </w:t>
      </w:r>
      <w:r w:rsidR="00E04BF9">
        <w:rPr>
          <w:rFonts w:ascii="Bookman Old Style" w:eastAsia="MS Mincho" w:hAnsi="Bookman Old Style" w:cs="Arial"/>
          <w:i/>
          <w:iCs/>
          <w:sz w:val="20"/>
          <w:szCs w:val="20"/>
          <w:lang w:val="es-CO"/>
        </w:rPr>
        <w:t>‘</w:t>
      </w:r>
      <w:r w:rsidRPr="007E55C7">
        <w:rPr>
          <w:rFonts w:ascii="Bookman Old Style" w:eastAsia="MS Mincho" w:hAnsi="Bookman Old Style" w:cs="Arial"/>
          <w:i/>
          <w:iCs/>
          <w:sz w:val="20"/>
          <w:szCs w:val="20"/>
          <w:lang w:val="es-CO"/>
        </w:rPr>
        <w:t>versión final</w:t>
      </w:r>
      <w:r w:rsidR="00E04BF9">
        <w:rPr>
          <w:rFonts w:ascii="Bookman Old Style" w:eastAsia="MS Mincho" w:hAnsi="Bookman Old Style" w:cs="Arial"/>
          <w:i/>
          <w:iCs/>
          <w:sz w:val="20"/>
          <w:szCs w:val="20"/>
          <w:lang w:val="es-CO"/>
        </w:rPr>
        <w:t>’</w:t>
      </w:r>
      <w:r w:rsidRPr="007E55C7">
        <w:rPr>
          <w:rFonts w:ascii="Bookman Old Style" w:eastAsia="MS Mincho" w:hAnsi="Bookman Old Style" w:cs="Arial"/>
          <w:i/>
          <w:iCs/>
          <w:sz w:val="20"/>
          <w:szCs w:val="20"/>
          <w:lang w:val="es-CO"/>
        </w:rPr>
        <w:t xml:space="preserve"> remitido</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mediante correo electrónico el 25 de junio del año en curso por Due Capital &amp; Services</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S.A.S.</w:t>
      </w:r>
    </w:p>
    <w:p w14:paraId="10AD8562" w14:textId="77777777" w:rsidR="00E04BF9" w:rsidRPr="007E55C7" w:rsidRDefault="00E04BF9" w:rsidP="00193E2A">
      <w:pPr>
        <w:ind w:left="567"/>
        <w:contextualSpacing/>
        <w:jc w:val="both"/>
        <w:rPr>
          <w:rFonts w:ascii="Bookman Old Style" w:eastAsia="MS Mincho" w:hAnsi="Bookman Old Style" w:cs="Arial"/>
          <w:i/>
          <w:iCs/>
          <w:sz w:val="20"/>
          <w:szCs w:val="20"/>
          <w:lang w:val="es-CO"/>
        </w:rPr>
      </w:pPr>
    </w:p>
    <w:p w14:paraId="00278BD7" w14:textId="77777777" w:rsidR="00E04BF9" w:rsidRDefault="007E55C7" w:rsidP="00193E2A">
      <w:pPr>
        <w:ind w:left="567"/>
        <w:contextualSpacing/>
        <w:jc w:val="both"/>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El precitado concepto deberá ser remitido a esta Comisión dentro del menor tiempo</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posible y adelantarse con la mayor diligencia. En caso de que la conexión no fuera</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factible, GENSA S.A. E.S.P., en su comunicación, además, deberá justificar</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técnicamente las causas, especificando el fundamento normativo o técnico que lo</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soporte, indicando con precisión los requisitos que deben ser cumplidos para que la</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conexión sea factible, o detallar las obras requeridas para hacerla posible.</w:t>
      </w:r>
    </w:p>
    <w:p w14:paraId="2AD0CA01" w14:textId="77777777" w:rsidR="00E04BF9" w:rsidRDefault="00E04BF9" w:rsidP="00193E2A">
      <w:pPr>
        <w:ind w:left="567"/>
        <w:contextualSpacing/>
        <w:jc w:val="both"/>
        <w:rPr>
          <w:rFonts w:ascii="Bookman Old Style" w:eastAsia="MS Mincho" w:hAnsi="Bookman Old Style" w:cs="Arial"/>
          <w:i/>
          <w:iCs/>
          <w:sz w:val="20"/>
          <w:szCs w:val="20"/>
          <w:lang w:val="es-CO"/>
        </w:rPr>
      </w:pPr>
    </w:p>
    <w:p w14:paraId="48C31257" w14:textId="66032435" w:rsidR="007E55C7" w:rsidRDefault="007E55C7" w:rsidP="00193E2A">
      <w:pPr>
        <w:ind w:left="567"/>
        <w:contextualSpacing/>
        <w:jc w:val="both"/>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Así mismo, se informa que el plazo otorgado para la remisión del concepto es</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improrrogable.</w:t>
      </w:r>
    </w:p>
    <w:p w14:paraId="4DF68B73" w14:textId="77777777" w:rsidR="00E04BF9" w:rsidRPr="007E55C7" w:rsidRDefault="00E04BF9" w:rsidP="00193E2A">
      <w:pPr>
        <w:ind w:left="567"/>
        <w:contextualSpacing/>
        <w:jc w:val="both"/>
        <w:rPr>
          <w:rFonts w:ascii="Bookman Old Style" w:eastAsia="MS Mincho" w:hAnsi="Bookman Old Style" w:cs="Arial"/>
          <w:i/>
          <w:iCs/>
          <w:sz w:val="20"/>
          <w:szCs w:val="20"/>
          <w:lang w:val="es-CO"/>
        </w:rPr>
      </w:pPr>
    </w:p>
    <w:p w14:paraId="33E2510A" w14:textId="2221D9AA" w:rsidR="00FE35EE" w:rsidRDefault="007E55C7" w:rsidP="00193E2A">
      <w:pPr>
        <w:ind w:left="567"/>
        <w:contextualSpacing/>
        <w:jc w:val="both"/>
        <w:rPr>
          <w:rFonts w:ascii="Bookman Old Style" w:eastAsia="MS Mincho" w:hAnsi="Bookman Old Style" w:cs="Arial"/>
          <w:i/>
          <w:iCs/>
          <w:sz w:val="20"/>
          <w:szCs w:val="20"/>
          <w:lang w:val="es-CO"/>
        </w:rPr>
      </w:pPr>
      <w:r w:rsidRPr="007E55C7">
        <w:rPr>
          <w:rFonts w:ascii="Bookman Old Style" w:eastAsia="MS Mincho" w:hAnsi="Bookman Old Style" w:cs="Arial"/>
          <w:i/>
          <w:iCs/>
          <w:sz w:val="20"/>
          <w:szCs w:val="20"/>
          <w:lang w:val="es-CO"/>
        </w:rPr>
        <w:t>SEGUNDO. Informarle a GENSA S.A. E.S.P. que la Dirección Ejecutiva programará a</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través de la plataforma Microsoft Teams semanalmente una reunión, de asistencia</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obligatoria, con el fin de hacer seguimiento a los avances en la elaboración del</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concepto sobre la factibilidad técnica de la conexión del estudio presentado por DUE</w:t>
      </w:r>
      <w:r w:rsidR="00E04BF9">
        <w:rPr>
          <w:rFonts w:ascii="Bookman Old Style" w:eastAsia="MS Mincho" w:hAnsi="Bookman Old Style" w:cs="Arial"/>
          <w:i/>
          <w:iCs/>
          <w:sz w:val="20"/>
          <w:szCs w:val="20"/>
          <w:lang w:val="es-CO"/>
        </w:rPr>
        <w:t xml:space="preserve"> </w:t>
      </w:r>
      <w:r w:rsidRPr="007E55C7">
        <w:rPr>
          <w:rFonts w:ascii="Bookman Old Style" w:eastAsia="MS Mincho" w:hAnsi="Bookman Old Style" w:cs="Arial"/>
          <w:i/>
          <w:iCs/>
          <w:sz w:val="20"/>
          <w:szCs w:val="20"/>
          <w:lang w:val="es-CO"/>
        </w:rPr>
        <w:t>CAPITAL&amp; Services S.A.S.</w:t>
      </w:r>
      <w:r w:rsidR="00FB2EAA">
        <w:rPr>
          <w:rFonts w:ascii="Bookman Old Style" w:eastAsia="MS Mincho" w:hAnsi="Bookman Old Style" w:cs="Arial"/>
          <w:i/>
          <w:iCs/>
          <w:sz w:val="20"/>
          <w:szCs w:val="20"/>
          <w:lang w:val="es-CO"/>
        </w:rPr>
        <w:t xml:space="preserve"> </w:t>
      </w:r>
      <w:r w:rsidR="00FE35EE">
        <w:rPr>
          <w:rFonts w:ascii="Bookman Old Style" w:eastAsia="MS Mincho" w:hAnsi="Bookman Old Style" w:cs="Arial"/>
          <w:i/>
          <w:iCs/>
          <w:sz w:val="20"/>
          <w:szCs w:val="20"/>
          <w:lang w:val="es-CO"/>
        </w:rPr>
        <w:t>(…)”</w:t>
      </w:r>
    </w:p>
    <w:p w14:paraId="0BCFFC9C" w14:textId="77777777" w:rsidR="00A76B0E" w:rsidRPr="00D22FBD" w:rsidRDefault="00A76B0E" w:rsidP="00E57F55">
      <w:pPr>
        <w:ind w:left="284"/>
        <w:contextualSpacing/>
        <w:jc w:val="both"/>
        <w:rPr>
          <w:rFonts w:ascii="Bookman Old Style" w:eastAsia="MS Mincho" w:hAnsi="Bookman Old Style" w:cs="Arial"/>
          <w:lang w:val="es-CO"/>
        </w:rPr>
      </w:pPr>
    </w:p>
    <w:p w14:paraId="571A1F20" w14:textId="470786FC" w:rsidR="00A11D2D" w:rsidRDefault="1BE4B67B" w:rsidP="00A11D2D">
      <w:pPr>
        <w:ind w:left="284"/>
        <w:contextualSpacing/>
        <w:jc w:val="both"/>
        <w:rPr>
          <w:rFonts w:ascii="Bookman Old Style" w:eastAsia="MS Mincho" w:hAnsi="Bookman Old Style" w:cs="Arial"/>
          <w:lang w:val="es-CO"/>
        </w:rPr>
      </w:pPr>
      <w:r w:rsidRPr="00D22FBD">
        <w:rPr>
          <w:rFonts w:ascii="Bookman Old Style" w:eastAsia="MS Mincho" w:hAnsi="Bookman Old Style" w:cs="Arial"/>
        </w:rPr>
        <w:t>Mediante comunicación con radicado CREG E-2021-009812</w:t>
      </w:r>
      <w:r w:rsidR="001C0EDB" w:rsidRPr="00D22FBD">
        <w:rPr>
          <w:rFonts w:ascii="Bookman Old Style" w:eastAsia="MS Mincho" w:hAnsi="Bookman Old Style" w:cs="Arial"/>
        </w:rPr>
        <w:t xml:space="preserve">, </w:t>
      </w:r>
      <w:r w:rsidR="001C0EDB" w:rsidRPr="00D22FBD">
        <w:rPr>
          <w:rFonts w:ascii="Bookman Old Style" w:eastAsia="MS Mincho" w:hAnsi="Bookman Old Style" w:cs="Arial"/>
          <w:lang w:val="es-CO"/>
        </w:rPr>
        <w:t xml:space="preserve">DUE </w:t>
      </w:r>
      <w:r w:rsidR="00A11D2D">
        <w:rPr>
          <w:rFonts w:ascii="Bookman Old Style" w:eastAsia="MS Mincho" w:hAnsi="Bookman Old Style" w:cs="Arial"/>
          <w:lang w:val="es-CO"/>
        </w:rPr>
        <w:t xml:space="preserve">solicitó que </w:t>
      </w:r>
      <w:r w:rsidR="00A11D2D" w:rsidRPr="00A11D2D">
        <w:rPr>
          <w:rFonts w:ascii="Bookman Old Style" w:eastAsia="MS Mincho" w:hAnsi="Bookman Old Style" w:cs="Arial"/>
          <w:i/>
          <w:iCs/>
          <w:lang w:val="es-CO"/>
        </w:rPr>
        <w:t>“</w:t>
      </w:r>
      <w:r w:rsidR="002F59CA">
        <w:rPr>
          <w:rFonts w:ascii="Bookman Old Style" w:eastAsia="MS Mincho" w:hAnsi="Bookman Old Style" w:cs="Arial"/>
          <w:i/>
          <w:iCs/>
          <w:lang w:val="es-CO"/>
        </w:rPr>
        <w:t xml:space="preserve">(…) </w:t>
      </w:r>
      <w:r w:rsidR="00A11D2D" w:rsidRPr="00A11D2D">
        <w:rPr>
          <w:rFonts w:ascii="Bookman Old Style" w:eastAsia="MS Mincho" w:hAnsi="Bookman Old Style" w:cs="Arial"/>
          <w:i/>
          <w:iCs/>
          <w:lang w:val="es-CO"/>
        </w:rPr>
        <w:t>una vez se cumpla el plazo para que GENSA realice el análisis de los estudios y GENSA emita el concepto de factibilidad de la conexión, o no haga pronunciamiento alguno, solicitamos que se cierre el periodo probatorio y la Comisión imponga la servidumbre para la conexión del proyecto Matakavi</w:t>
      </w:r>
      <w:r w:rsidR="002F59CA">
        <w:rPr>
          <w:rFonts w:ascii="Bookman Old Style" w:eastAsia="MS Mincho" w:hAnsi="Bookman Old Style" w:cs="Arial"/>
          <w:i/>
          <w:iCs/>
          <w:lang w:val="es-CO"/>
        </w:rPr>
        <w:t xml:space="preserve"> (…)</w:t>
      </w:r>
      <w:r w:rsidR="00A11D2D" w:rsidRPr="00A11D2D">
        <w:rPr>
          <w:rFonts w:ascii="Bookman Old Style" w:eastAsia="MS Mincho" w:hAnsi="Bookman Old Style" w:cs="Arial"/>
          <w:i/>
          <w:iCs/>
          <w:lang w:val="es-CO"/>
        </w:rPr>
        <w:t>”</w:t>
      </w:r>
      <w:r w:rsidR="00A11D2D" w:rsidRPr="00A11D2D">
        <w:rPr>
          <w:rFonts w:ascii="Bookman Old Style" w:eastAsia="MS Mincho" w:hAnsi="Bookman Old Style" w:cs="Arial"/>
          <w:lang w:val="es-CO"/>
        </w:rPr>
        <w:t>.</w:t>
      </w:r>
    </w:p>
    <w:p w14:paraId="55E00D2C" w14:textId="77777777" w:rsidR="00A76B0E" w:rsidRPr="00D22FBD" w:rsidRDefault="00A76B0E" w:rsidP="00E57F55">
      <w:pPr>
        <w:ind w:left="284"/>
        <w:contextualSpacing/>
        <w:jc w:val="both"/>
        <w:rPr>
          <w:rFonts w:ascii="Bookman Old Style" w:eastAsia="MS Mincho" w:hAnsi="Bookman Old Style" w:cs="Arial"/>
          <w:lang w:val="es-CO"/>
        </w:rPr>
      </w:pPr>
    </w:p>
    <w:p w14:paraId="64DFC75E" w14:textId="4F1BE53C" w:rsidR="003026F0" w:rsidRPr="00D22FBD" w:rsidRDefault="00C64A7E" w:rsidP="00E57F5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Atendiendo lo resuelto mediante Auto </w:t>
      </w:r>
      <w:r w:rsidRPr="0086458B">
        <w:rPr>
          <w:rFonts w:ascii="Bookman Old Style" w:eastAsia="MS Mincho" w:hAnsi="Bookman Old Style" w:cs="Arial"/>
        </w:rPr>
        <w:t>I-2021-002</w:t>
      </w:r>
      <w:r>
        <w:rPr>
          <w:rFonts w:ascii="Bookman Old Style" w:eastAsia="MS Mincho" w:hAnsi="Bookman Old Style" w:cs="Arial"/>
        </w:rPr>
        <w:t>2233</w:t>
      </w:r>
      <w:r w:rsidR="004B6206">
        <w:rPr>
          <w:rFonts w:ascii="Bookman Old Style" w:eastAsia="MS Mincho" w:hAnsi="Bookman Old Style" w:cs="Arial"/>
        </w:rPr>
        <w:t xml:space="preserve">, en su artículo segundo, </w:t>
      </w:r>
      <w:r w:rsidR="003026F0" w:rsidRPr="00D22FBD">
        <w:rPr>
          <w:rFonts w:ascii="Bookman Old Style" w:eastAsia="MS Mincho" w:hAnsi="Bookman Old Style" w:cs="Arial"/>
          <w:lang w:val="es-CO"/>
        </w:rPr>
        <w:t>se efectuaron diversas</w:t>
      </w:r>
      <w:r w:rsidR="00DE16C6" w:rsidRPr="00D22FBD">
        <w:rPr>
          <w:rFonts w:ascii="Bookman Old Style" w:eastAsia="MS Mincho" w:hAnsi="Bookman Old Style" w:cs="Arial"/>
          <w:lang w:val="es-CO"/>
        </w:rPr>
        <w:t xml:space="preserve"> reuniones de seguimiento los días 03,</w:t>
      </w:r>
      <w:r w:rsidR="00AC545D">
        <w:rPr>
          <w:rFonts w:ascii="Bookman Old Style" w:eastAsia="MS Mincho" w:hAnsi="Bookman Old Style" w:cs="Arial"/>
          <w:lang w:val="es-CO"/>
        </w:rPr>
        <w:t xml:space="preserve"> </w:t>
      </w:r>
      <w:r w:rsidR="00DE16C6" w:rsidRPr="00D22FBD">
        <w:rPr>
          <w:rFonts w:ascii="Bookman Old Style" w:eastAsia="MS Mincho" w:hAnsi="Bookman Old Style" w:cs="Arial"/>
          <w:lang w:val="es-CO"/>
        </w:rPr>
        <w:t>10,</w:t>
      </w:r>
      <w:r w:rsidR="00AC545D">
        <w:rPr>
          <w:rFonts w:ascii="Bookman Old Style" w:eastAsia="MS Mincho" w:hAnsi="Bookman Old Style" w:cs="Arial"/>
          <w:lang w:val="es-CO"/>
        </w:rPr>
        <w:t xml:space="preserve"> </w:t>
      </w:r>
      <w:r w:rsidR="00DE16C6" w:rsidRPr="00D22FBD">
        <w:rPr>
          <w:rFonts w:ascii="Bookman Old Style" w:eastAsia="MS Mincho" w:hAnsi="Bookman Old Style" w:cs="Arial"/>
          <w:lang w:val="es-CO"/>
        </w:rPr>
        <w:t>17 y 24 de septiembre</w:t>
      </w:r>
      <w:r w:rsidR="00193E2A">
        <w:rPr>
          <w:rFonts w:ascii="Bookman Old Style" w:eastAsia="MS Mincho" w:hAnsi="Bookman Old Style" w:cs="Arial"/>
          <w:lang w:val="es-CO"/>
        </w:rPr>
        <w:t>,</w:t>
      </w:r>
      <w:r w:rsidR="00DE16C6" w:rsidRPr="00D22FBD">
        <w:rPr>
          <w:rFonts w:ascii="Bookman Old Style" w:eastAsia="MS Mincho" w:hAnsi="Bookman Old Style" w:cs="Arial"/>
          <w:lang w:val="es-CO"/>
        </w:rPr>
        <w:t xml:space="preserve"> y los días 01,</w:t>
      </w:r>
      <w:r w:rsidR="00AC545D">
        <w:rPr>
          <w:rFonts w:ascii="Bookman Old Style" w:eastAsia="MS Mincho" w:hAnsi="Bookman Old Style" w:cs="Arial"/>
          <w:lang w:val="es-CO"/>
        </w:rPr>
        <w:t xml:space="preserve"> </w:t>
      </w:r>
      <w:r w:rsidR="00DE16C6" w:rsidRPr="00D22FBD">
        <w:rPr>
          <w:rFonts w:ascii="Bookman Old Style" w:eastAsia="MS Mincho" w:hAnsi="Bookman Old Style" w:cs="Arial"/>
          <w:lang w:val="es-CO"/>
        </w:rPr>
        <w:t>08</w:t>
      </w:r>
      <w:r w:rsidR="00E567C1" w:rsidRPr="00D22FBD">
        <w:rPr>
          <w:rFonts w:ascii="Bookman Old Style" w:eastAsia="MS Mincho" w:hAnsi="Bookman Old Style" w:cs="Arial"/>
          <w:lang w:val="es-CO"/>
        </w:rPr>
        <w:t xml:space="preserve"> y</w:t>
      </w:r>
      <w:r w:rsidR="00DE16C6" w:rsidRPr="00D22FBD">
        <w:rPr>
          <w:rFonts w:ascii="Bookman Old Style" w:eastAsia="MS Mincho" w:hAnsi="Bookman Old Style" w:cs="Arial"/>
          <w:lang w:val="es-CO"/>
        </w:rPr>
        <w:t xml:space="preserve"> </w:t>
      </w:r>
      <w:r w:rsidR="00614ED3" w:rsidRPr="00D22FBD">
        <w:rPr>
          <w:rFonts w:ascii="Bookman Old Style" w:eastAsia="MS Mincho" w:hAnsi="Bookman Old Style" w:cs="Arial"/>
          <w:lang w:val="es-CO"/>
        </w:rPr>
        <w:t>15</w:t>
      </w:r>
      <w:r w:rsidR="003026F0" w:rsidRPr="00D22FBD">
        <w:rPr>
          <w:rFonts w:ascii="Bookman Old Style" w:eastAsia="MS Mincho" w:hAnsi="Bookman Old Style" w:cs="Arial"/>
          <w:lang w:val="es-CO"/>
        </w:rPr>
        <w:t xml:space="preserve"> de octubre del 2021, </w:t>
      </w:r>
      <w:r w:rsidR="00913E0E">
        <w:rPr>
          <w:rFonts w:ascii="Bookman Old Style" w:eastAsia="MS Mincho" w:hAnsi="Bookman Old Style" w:cs="Arial"/>
          <w:lang w:val="es-CO"/>
        </w:rPr>
        <w:t xml:space="preserve">entre </w:t>
      </w:r>
      <w:r w:rsidR="00DD33F5" w:rsidRPr="00D22FBD">
        <w:rPr>
          <w:rFonts w:ascii="Bookman Old Style" w:eastAsia="MS Mincho" w:hAnsi="Bookman Old Style" w:cs="Arial"/>
          <w:lang w:val="es-CO"/>
        </w:rPr>
        <w:t>DUE</w:t>
      </w:r>
      <w:r w:rsidR="003026F0" w:rsidRPr="00D22FBD">
        <w:rPr>
          <w:rFonts w:ascii="Bookman Old Style" w:eastAsia="MS Mincho" w:hAnsi="Bookman Old Style" w:cs="Arial"/>
          <w:lang w:val="es-CO"/>
        </w:rPr>
        <w:t>, GENSA e Ingeniería y Diseño de Occidente</w:t>
      </w:r>
      <w:r w:rsidR="00913E0E">
        <w:rPr>
          <w:rFonts w:ascii="Bookman Old Style" w:eastAsia="MS Mincho" w:hAnsi="Bookman Old Style" w:cs="Arial"/>
          <w:lang w:val="es-CO"/>
        </w:rPr>
        <w:t>, las cuales fueron acompañadas por la CREG</w:t>
      </w:r>
      <w:r w:rsidR="003026F0" w:rsidRPr="00D22FBD">
        <w:rPr>
          <w:rFonts w:ascii="Bookman Old Style" w:eastAsia="MS Mincho" w:hAnsi="Bookman Old Style" w:cs="Arial"/>
          <w:lang w:val="es-CO"/>
        </w:rPr>
        <w:t>.</w:t>
      </w:r>
    </w:p>
    <w:p w14:paraId="6208A065" w14:textId="77777777" w:rsidR="009971F2" w:rsidRPr="00D22FBD" w:rsidRDefault="009971F2" w:rsidP="00E57F55">
      <w:pPr>
        <w:ind w:left="284"/>
        <w:contextualSpacing/>
        <w:jc w:val="both"/>
        <w:rPr>
          <w:rFonts w:ascii="Bookman Old Style" w:eastAsia="MS Mincho" w:hAnsi="Bookman Old Style" w:cs="Arial"/>
          <w:lang w:val="es-CO"/>
        </w:rPr>
      </w:pPr>
    </w:p>
    <w:p w14:paraId="65FAFA90" w14:textId="6A465480" w:rsidR="00311EB4" w:rsidRDefault="001324E0" w:rsidP="00E57F5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Mediante </w:t>
      </w:r>
      <w:r w:rsidR="00F11824">
        <w:rPr>
          <w:rFonts w:ascii="Bookman Old Style" w:eastAsia="MS Mincho" w:hAnsi="Bookman Old Style" w:cs="Arial"/>
          <w:lang w:val="es-CO"/>
        </w:rPr>
        <w:t xml:space="preserve">comunicación </w:t>
      </w:r>
      <w:r>
        <w:rPr>
          <w:rFonts w:ascii="Bookman Old Style" w:eastAsia="MS Mincho" w:hAnsi="Bookman Old Style" w:cs="Arial"/>
          <w:lang w:val="es-CO"/>
        </w:rPr>
        <w:t>con</w:t>
      </w:r>
      <w:r w:rsidR="00F11824">
        <w:rPr>
          <w:rFonts w:ascii="Bookman Old Style" w:eastAsia="MS Mincho" w:hAnsi="Bookman Old Style" w:cs="Arial"/>
          <w:lang w:val="es-CO"/>
        </w:rPr>
        <w:t xml:space="preserve"> </w:t>
      </w:r>
      <w:r w:rsidR="00DB2B4E" w:rsidRPr="00D22FBD">
        <w:rPr>
          <w:rFonts w:ascii="Bookman Old Style" w:eastAsia="MS Mincho" w:hAnsi="Bookman Old Style" w:cs="Arial"/>
          <w:lang w:val="es-CO"/>
        </w:rPr>
        <w:t xml:space="preserve">radicado CREG E-2021-012146, GENSA presentó concepto técnico </w:t>
      </w:r>
      <w:r w:rsidR="00642874" w:rsidRPr="00D22FBD">
        <w:rPr>
          <w:rFonts w:ascii="Bookman Old Style" w:eastAsia="MS Mincho" w:hAnsi="Bookman Old Style" w:cs="Arial"/>
          <w:lang w:val="es-CO"/>
        </w:rPr>
        <w:t>del estudio de conexión indicando:</w:t>
      </w:r>
    </w:p>
    <w:p w14:paraId="17610325" w14:textId="78492A27" w:rsidR="00DB2B4E" w:rsidRPr="0086458B" w:rsidRDefault="00DB2B4E" w:rsidP="00E57F55">
      <w:pPr>
        <w:ind w:left="284"/>
        <w:contextualSpacing/>
        <w:jc w:val="both"/>
        <w:rPr>
          <w:rFonts w:ascii="Bookman Old Style" w:eastAsia="MS Mincho" w:hAnsi="Bookman Old Style" w:cs="Arial"/>
          <w:lang w:val="es-CO"/>
        </w:rPr>
      </w:pPr>
    </w:p>
    <w:p w14:paraId="47FA10FC" w14:textId="32A569F5" w:rsidR="00C75E84" w:rsidRDefault="00113008" w:rsidP="00193E2A">
      <w:pPr>
        <w:ind w:left="567"/>
        <w:contextualSpacing/>
        <w:jc w:val="both"/>
        <w:rPr>
          <w:rFonts w:ascii="Bookman Old Style" w:eastAsia="MS Mincho" w:hAnsi="Bookman Old Style" w:cs="Arial"/>
          <w:i/>
          <w:iCs/>
          <w:sz w:val="20"/>
          <w:szCs w:val="20"/>
        </w:rPr>
      </w:pPr>
      <w:r w:rsidRPr="00470B93">
        <w:rPr>
          <w:rFonts w:ascii="Bookman Old Style" w:eastAsia="MS Mincho" w:hAnsi="Bookman Old Style" w:cs="Arial"/>
          <w:i/>
          <w:iCs/>
          <w:sz w:val="20"/>
          <w:szCs w:val="20"/>
        </w:rPr>
        <w:t>“</w:t>
      </w:r>
      <w:r w:rsidR="00311EB4">
        <w:rPr>
          <w:rFonts w:ascii="Bookman Old Style" w:eastAsia="MS Mincho" w:hAnsi="Bookman Old Style" w:cs="Arial"/>
          <w:i/>
          <w:iCs/>
          <w:sz w:val="20"/>
          <w:szCs w:val="20"/>
        </w:rPr>
        <w:t xml:space="preserve">(…) </w:t>
      </w:r>
      <w:r w:rsidR="00C75E84" w:rsidRPr="00C75E84">
        <w:rPr>
          <w:rFonts w:ascii="Bookman Old Style" w:eastAsia="MS Mincho" w:hAnsi="Bookman Old Style" w:cs="Arial"/>
          <w:i/>
          <w:iCs/>
          <w:sz w:val="20"/>
          <w:szCs w:val="20"/>
        </w:rPr>
        <w:t>4. CONCEPTO TECNICO DE GENSA SA ESP.</w:t>
      </w:r>
    </w:p>
    <w:p w14:paraId="12FB893B" w14:textId="77777777" w:rsidR="00C75E84" w:rsidRDefault="00C75E84" w:rsidP="00193E2A">
      <w:pPr>
        <w:ind w:left="567"/>
        <w:contextualSpacing/>
        <w:jc w:val="both"/>
        <w:rPr>
          <w:rFonts w:ascii="Bookman Old Style" w:eastAsia="MS Mincho" w:hAnsi="Bookman Old Style" w:cs="Arial"/>
          <w:i/>
          <w:iCs/>
          <w:sz w:val="20"/>
          <w:szCs w:val="20"/>
        </w:rPr>
      </w:pPr>
    </w:p>
    <w:p w14:paraId="32BDB3F6" w14:textId="28A6A665" w:rsidR="00762601" w:rsidRDefault="00762601" w:rsidP="00193E2A">
      <w:pPr>
        <w:ind w:left="567"/>
        <w:contextualSpacing/>
        <w:jc w:val="both"/>
        <w:rPr>
          <w:rFonts w:ascii="Bookman Old Style" w:eastAsia="MS Mincho" w:hAnsi="Bookman Old Style" w:cs="Arial"/>
          <w:i/>
          <w:iCs/>
          <w:sz w:val="20"/>
          <w:szCs w:val="20"/>
        </w:rPr>
      </w:pPr>
      <w:r w:rsidRPr="00762601">
        <w:rPr>
          <w:rFonts w:ascii="Bookman Old Style" w:eastAsia="MS Mincho" w:hAnsi="Bookman Old Style" w:cs="Arial"/>
          <w:i/>
          <w:iCs/>
          <w:sz w:val="20"/>
          <w:szCs w:val="20"/>
        </w:rPr>
        <w:t>SOBRE LA VIABILIDAD DE LA CONEXIÓN A LA TORRE 117 DE LA L</w:t>
      </w:r>
      <w:r>
        <w:rPr>
          <w:rFonts w:ascii="Bookman Old Style" w:eastAsia="MS Mincho" w:hAnsi="Bookman Old Style" w:cs="Arial"/>
          <w:i/>
          <w:iCs/>
          <w:sz w:val="20"/>
          <w:szCs w:val="20"/>
        </w:rPr>
        <w:t>Í</w:t>
      </w:r>
      <w:r w:rsidRPr="00762601">
        <w:rPr>
          <w:rFonts w:ascii="Bookman Old Style" w:eastAsia="MS Mincho" w:hAnsi="Bookman Old Style" w:cs="Arial"/>
          <w:i/>
          <w:iCs/>
          <w:sz w:val="20"/>
          <w:szCs w:val="20"/>
        </w:rPr>
        <w:t>NEA A 34.5 kV.</w:t>
      </w:r>
    </w:p>
    <w:p w14:paraId="359E48CF" w14:textId="77777777" w:rsidR="00762601" w:rsidRPr="00762601" w:rsidRDefault="00762601" w:rsidP="00193E2A">
      <w:pPr>
        <w:ind w:left="567"/>
        <w:contextualSpacing/>
        <w:jc w:val="both"/>
        <w:rPr>
          <w:rFonts w:ascii="Bookman Old Style" w:eastAsia="MS Mincho" w:hAnsi="Bookman Old Style" w:cs="Arial"/>
          <w:i/>
          <w:iCs/>
          <w:sz w:val="20"/>
          <w:szCs w:val="20"/>
        </w:rPr>
      </w:pPr>
    </w:p>
    <w:p w14:paraId="7A446B3B" w14:textId="57254392" w:rsidR="00C75E84" w:rsidRDefault="00762601" w:rsidP="00193E2A">
      <w:pPr>
        <w:ind w:left="567"/>
        <w:contextualSpacing/>
        <w:jc w:val="both"/>
        <w:rPr>
          <w:rFonts w:ascii="Bookman Old Style" w:eastAsia="MS Mincho" w:hAnsi="Bookman Old Style" w:cs="Arial"/>
          <w:i/>
          <w:iCs/>
          <w:sz w:val="20"/>
          <w:szCs w:val="20"/>
        </w:rPr>
      </w:pPr>
      <w:r w:rsidRPr="00762601">
        <w:rPr>
          <w:rFonts w:ascii="Bookman Old Style" w:eastAsia="MS Mincho" w:hAnsi="Bookman Old Style" w:cs="Arial"/>
          <w:i/>
          <w:iCs/>
          <w:sz w:val="20"/>
          <w:szCs w:val="20"/>
        </w:rPr>
        <w:t>Con base en el estudio de GERS presentado por DUE CAPITAL AN</w:t>
      </w:r>
      <w:r>
        <w:rPr>
          <w:rFonts w:ascii="Bookman Old Style" w:eastAsia="MS Mincho" w:hAnsi="Bookman Old Style" w:cs="Arial"/>
          <w:i/>
          <w:iCs/>
          <w:sz w:val="20"/>
          <w:szCs w:val="20"/>
        </w:rPr>
        <w:t>D</w:t>
      </w:r>
      <w:r w:rsidRPr="00762601">
        <w:rPr>
          <w:rFonts w:ascii="Bookman Old Style" w:eastAsia="MS Mincho" w:hAnsi="Bookman Old Style" w:cs="Arial"/>
          <w:i/>
          <w:iCs/>
          <w:sz w:val="20"/>
          <w:szCs w:val="20"/>
        </w:rPr>
        <w:t xml:space="preserve"> SERVICES el 25 de Junio de 2021 y el informe elaborado por INGENIERIA Y DISEÑO DE OCCIDENTE, GENSA S.A. E.S.P. se permite pronunciarse acerca de la viabilidad de la conexión solicitada por DUE CAPITAL AN</w:t>
      </w:r>
      <w:r w:rsidR="001A0290">
        <w:rPr>
          <w:rFonts w:ascii="Bookman Old Style" w:eastAsia="MS Mincho" w:hAnsi="Bookman Old Style" w:cs="Arial"/>
          <w:i/>
          <w:iCs/>
          <w:sz w:val="20"/>
          <w:szCs w:val="20"/>
        </w:rPr>
        <w:t>D</w:t>
      </w:r>
      <w:r w:rsidRPr="00762601">
        <w:rPr>
          <w:rFonts w:ascii="Bookman Old Style" w:eastAsia="MS Mincho" w:hAnsi="Bookman Old Style" w:cs="Arial"/>
          <w:i/>
          <w:iCs/>
          <w:sz w:val="20"/>
          <w:szCs w:val="20"/>
        </w:rPr>
        <w:t xml:space="preserve"> SERVICES respecto de la línea a 34.5 kV en la torre 117, en los siguientes términos:</w:t>
      </w:r>
      <w:r w:rsidR="0033602C">
        <w:rPr>
          <w:rFonts w:ascii="Bookman Old Style" w:eastAsia="MS Mincho" w:hAnsi="Bookman Old Style" w:cs="Arial"/>
          <w:i/>
          <w:iCs/>
          <w:sz w:val="20"/>
          <w:szCs w:val="20"/>
        </w:rPr>
        <w:t xml:space="preserve"> (…)</w:t>
      </w:r>
    </w:p>
    <w:p w14:paraId="0718BFD4" w14:textId="77777777" w:rsidR="001A0290" w:rsidRDefault="001A0290" w:rsidP="00193E2A">
      <w:pPr>
        <w:ind w:left="567"/>
        <w:contextualSpacing/>
        <w:jc w:val="both"/>
        <w:rPr>
          <w:rFonts w:ascii="Bookman Old Style" w:eastAsia="MS Mincho" w:hAnsi="Bookman Old Style" w:cs="Arial"/>
          <w:i/>
          <w:iCs/>
          <w:sz w:val="20"/>
          <w:szCs w:val="20"/>
        </w:rPr>
      </w:pPr>
    </w:p>
    <w:p w14:paraId="0F7F46F8" w14:textId="1AEC3478" w:rsidR="003026F0" w:rsidRPr="00470B93" w:rsidRDefault="00113008" w:rsidP="00193E2A">
      <w:pPr>
        <w:ind w:left="567"/>
        <w:contextualSpacing/>
        <w:jc w:val="both"/>
        <w:rPr>
          <w:rFonts w:ascii="Bookman Old Style" w:eastAsia="MS Mincho" w:hAnsi="Bookman Old Style" w:cs="Arial"/>
          <w:i/>
          <w:iCs/>
          <w:sz w:val="20"/>
          <w:szCs w:val="20"/>
        </w:rPr>
      </w:pPr>
      <w:r w:rsidRPr="00470B93">
        <w:rPr>
          <w:rFonts w:ascii="Bookman Old Style" w:eastAsia="MS Mincho" w:hAnsi="Bookman Old Style" w:cs="Arial"/>
          <w:i/>
          <w:iCs/>
          <w:sz w:val="20"/>
          <w:szCs w:val="20"/>
        </w:rPr>
        <w:t>De acuerdo con lo anterior, con base en i) el concepto técnico inicial de GENSA emitido el 26 de marzo de 2020</w:t>
      </w:r>
      <w:r w:rsidR="0054627D" w:rsidRPr="00470B93">
        <w:rPr>
          <w:rFonts w:ascii="Bookman Old Style" w:eastAsia="MS Mincho" w:hAnsi="Bookman Old Style" w:cs="Arial"/>
          <w:i/>
          <w:iCs/>
          <w:sz w:val="20"/>
          <w:szCs w:val="20"/>
        </w:rPr>
        <w:t xml:space="preserve"> mediante comunicado PRE 000</w:t>
      </w:r>
      <w:r w:rsidR="00614470" w:rsidRPr="00470B93">
        <w:rPr>
          <w:rFonts w:ascii="Bookman Old Style" w:eastAsia="MS Mincho" w:hAnsi="Bookman Old Style" w:cs="Arial"/>
          <w:i/>
          <w:iCs/>
          <w:sz w:val="20"/>
          <w:szCs w:val="20"/>
        </w:rPr>
        <w:t xml:space="preserve">7652020, ii) el estudio de conexión elaborado por GERS para la alternativa de conexión a la torre 117 </w:t>
      </w:r>
      <w:r w:rsidR="008E0550" w:rsidRPr="00470B93">
        <w:rPr>
          <w:rFonts w:ascii="Bookman Old Style" w:eastAsia="MS Mincho" w:hAnsi="Bookman Old Style" w:cs="Arial"/>
          <w:i/>
          <w:iCs/>
          <w:sz w:val="20"/>
          <w:szCs w:val="20"/>
        </w:rPr>
        <w:t>de la línea a 34.5 kV de la PCH Mitú, iii) el informe del Consultor INGENIERIA Y DISEÑO DE OCCIDENTE donde se revisa el estudio de conexión mencionado y las mesas técnicas internas celebradas en GENSA S.A</w:t>
      </w:r>
      <w:r w:rsidR="00582B30" w:rsidRPr="00470B93">
        <w:rPr>
          <w:rFonts w:ascii="Bookman Old Style" w:eastAsia="MS Mincho" w:hAnsi="Bookman Old Style" w:cs="Arial"/>
          <w:i/>
          <w:iCs/>
          <w:sz w:val="20"/>
          <w:szCs w:val="20"/>
        </w:rPr>
        <w:t>. ESP</w:t>
      </w:r>
      <w:r w:rsidR="008E0550" w:rsidRPr="00470B93">
        <w:rPr>
          <w:rFonts w:ascii="Bookman Old Style" w:eastAsia="MS Mincho" w:hAnsi="Bookman Old Style" w:cs="Arial"/>
          <w:i/>
          <w:iCs/>
          <w:sz w:val="20"/>
          <w:szCs w:val="20"/>
        </w:rPr>
        <w:t xml:space="preserve"> </w:t>
      </w:r>
      <w:r w:rsidR="00582B30" w:rsidRPr="00470B93">
        <w:rPr>
          <w:rFonts w:ascii="Bookman Old Style" w:eastAsia="MS Mincho" w:hAnsi="Bookman Old Style" w:cs="Arial"/>
          <w:i/>
          <w:iCs/>
          <w:sz w:val="20"/>
          <w:szCs w:val="20"/>
        </w:rPr>
        <w:t>se encuentr</w:t>
      </w:r>
      <w:r w:rsidR="00FD5051" w:rsidRPr="00470B93">
        <w:rPr>
          <w:rFonts w:ascii="Bookman Old Style" w:eastAsia="MS Mincho" w:hAnsi="Bookman Old Style" w:cs="Arial"/>
          <w:i/>
          <w:iCs/>
          <w:sz w:val="20"/>
          <w:szCs w:val="20"/>
        </w:rPr>
        <w:t>a</w:t>
      </w:r>
      <w:r w:rsidR="00885E5E" w:rsidRPr="00470B93">
        <w:rPr>
          <w:rFonts w:ascii="Bookman Old Style" w:eastAsia="MS Mincho" w:hAnsi="Bookman Old Style" w:cs="Arial"/>
          <w:i/>
          <w:iCs/>
          <w:sz w:val="20"/>
          <w:szCs w:val="20"/>
        </w:rPr>
        <w:t xml:space="preserve"> viable técnicamente la conexión del proyecto solar Matakavi a la torre 117</w:t>
      </w:r>
      <w:r w:rsidR="00311EB4">
        <w:rPr>
          <w:rFonts w:ascii="Bookman Old Style" w:eastAsia="MS Mincho" w:hAnsi="Bookman Old Style" w:cs="Arial"/>
          <w:i/>
          <w:iCs/>
          <w:sz w:val="20"/>
          <w:szCs w:val="20"/>
        </w:rPr>
        <w:t>. (…)</w:t>
      </w:r>
      <w:r w:rsidR="002C0E2E" w:rsidRPr="00470B93">
        <w:rPr>
          <w:rFonts w:ascii="Bookman Old Style" w:eastAsia="MS Mincho" w:hAnsi="Bookman Old Style" w:cs="Arial"/>
          <w:i/>
          <w:iCs/>
          <w:sz w:val="20"/>
          <w:szCs w:val="20"/>
        </w:rPr>
        <w:t>”</w:t>
      </w:r>
    </w:p>
    <w:p w14:paraId="76E1BFDC" w14:textId="50AE545A" w:rsidR="7901A513" w:rsidRPr="009F0A89" w:rsidRDefault="7901A513" w:rsidP="00E57F55">
      <w:pPr>
        <w:ind w:left="284"/>
        <w:contextualSpacing/>
        <w:jc w:val="both"/>
        <w:rPr>
          <w:rFonts w:ascii="Bookman Old Style" w:eastAsia="MS Mincho" w:hAnsi="Bookman Old Style" w:cs="Arial"/>
          <w:i/>
          <w:iCs/>
        </w:rPr>
      </w:pPr>
    </w:p>
    <w:p w14:paraId="2803B91F" w14:textId="5E23E541" w:rsidR="009F0A89" w:rsidRDefault="7901A513" w:rsidP="00E57F55">
      <w:pPr>
        <w:ind w:left="284"/>
        <w:contextualSpacing/>
        <w:jc w:val="both"/>
        <w:rPr>
          <w:rFonts w:ascii="Bookman Old Style" w:eastAsia="MS Mincho" w:hAnsi="Bookman Old Style" w:cs="Arial"/>
        </w:rPr>
      </w:pPr>
      <w:r w:rsidRPr="009F0A89">
        <w:rPr>
          <w:rFonts w:ascii="Bookman Old Style" w:eastAsia="MS Mincho" w:hAnsi="Bookman Old Style" w:cs="Arial"/>
        </w:rPr>
        <w:t xml:space="preserve">Mediante radicado CREG E-2021-012247, </w:t>
      </w:r>
      <w:r w:rsidR="00470B93" w:rsidRPr="009F0A89">
        <w:rPr>
          <w:rFonts w:ascii="Bookman Old Style" w:eastAsia="MS Mincho" w:hAnsi="Bookman Old Style" w:cs="Arial"/>
        </w:rPr>
        <w:t xml:space="preserve">DUE </w:t>
      </w:r>
      <w:r w:rsidR="00DE5E8F">
        <w:rPr>
          <w:rFonts w:ascii="Bookman Old Style" w:eastAsia="MS Mincho" w:hAnsi="Bookman Old Style" w:cs="Arial"/>
        </w:rPr>
        <w:t>solicitó</w:t>
      </w:r>
      <w:r w:rsidRPr="009F0A89">
        <w:rPr>
          <w:rFonts w:ascii="Bookman Old Style" w:eastAsia="MS Mincho" w:hAnsi="Bookman Old Style" w:cs="Arial"/>
        </w:rPr>
        <w:t>:</w:t>
      </w:r>
    </w:p>
    <w:p w14:paraId="3A991D30" w14:textId="77777777" w:rsidR="009F0A89" w:rsidRDefault="009F0A89" w:rsidP="00E57F55">
      <w:pPr>
        <w:ind w:left="284"/>
        <w:contextualSpacing/>
        <w:jc w:val="both"/>
        <w:rPr>
          <w:rFonts w:ascii="Bookman Old Style" w:eastAsia="MS Mincho" w:hAnsi="Bookman Old Style" w:cs="Arial"/>
        </w:rPr>
      </w:pPr>
    </w:p>
    <w:p w14:paraId="62142D62" w14:textId="52A7D4A9" w:rsidR="003026F0" w:rsidRPr="00271746" w:rsidRDefault="7901A513" w:rsidP="00193E2A">
      <w:pPr>
        <w:ind w:left="567"/>
        <w:contextualSpacing/>
        <w:jc w:val="both"/>
        <w:rPr>
          <w:rFonts w:ascii="Bookman Old Style" w:eastAsia="MS Mincho" w:hAnsi="Bookman Old Style" w:cs="Arial"/>
          <w:sz w:val="20"/>
          <w:szCs w:val="20"/>
        </w:rPr>
      </w:pPr>
      <w:r w:rsidRPr="00271746">
        <w:rPr>
          <w:rFonts w:ascii="Bookman Old Style" w:eastAsia="MS Mincho" w:hAnsi="Bookman Old Style" w:cs="Arial"/>
          <w:i/>
          <w:iCs/>
          <w:sz w:val="20"/>
          <w:szCs w:val="20"/>
        </w:rPr>
        <w:t>“</w:t>
      </w:r>
      <w:r w:rsidR="009F0A89" w:rsidRPr="00271746">
        <w:rPr>
          <w:rFonts w:ascii="Bookman Old Style" w:eastAsia="MS Mincho" w:hAnsi="Bookman Old Style" w:cs="Arial"/>
          <w:i/>
          <w:iCs/>
          <w:sz w:val="20"/>
          <w:szCs w:val="20"/>
        </w:rPr>
        <w:t xml:space="preserve">(…) </w:t>
      </w:r>
      <w:r w:rsidR="00DE5E8F" w:rsidRPr="00DE5E8F">
        <w:rPr>
          <w:rFonts w:ascii="Bookman Old Style" w:eastAsia="MS Mincho" w:hAnsi="Bookman Old Style" w:cs="Arial"/>
          <w:i/>
          <w:iCs/>
          <w:sz w:val="20"/>
          <w:szCs w:val="20"/>
        </w:rPr>
        <w:t xml:space="preserve">en atención (i) al estado de la etapa probatoria de la presente actuación administrativa; (ii) en especial, a la respuesta brindada por Gestión Energética S.A. E.S.P. (en adelante </w:t>
      </w:r>
      <w:r w:rsidR="00FF2508">
        <w:rPr>
          <w:rFonts w:ascii="Bookman Old Style" w:eastAsia="MS Mincho" w:hAnsi="Bookman Old Style" w:cs="Arial"/>
          <w:i/>
          <w:iCs/>
          <w:sz w:val="20"/>
          <w:szCs w:val="20"/>
        </w:rPr>
        <w:t>‘</w:t>
      </w:r>
      <w:r w:rsidR="00DE5E8F" w:rsidRPr="00DE5E8F">
        <w:rPr>
          <w:rFonts w:ascii="Bookman Old Style" w:eastAsia="MS Mincho" w:hAnsi="Bookman Old Style" w:cs="Arial"/>
          <w:i/>
          <w:iCs/>
          <w:sz w:val="20"/>
          <w:szCs w:val="20"/>
        </w:rPr>
        <w:t>GENSA</w:t>
      </w:r>
      <w:r w:rsidR="00FF2508">
        <w:rPr>
          <w:rFonts w:ascii="Bookman Old Style" w:eastAsia="MS Mincho" w:hAnsi="Bookman Old Style" w:cs="Arial"/>
          <w:i/>
          <w:iCs/>
          <w:sz w:val="20"/>
          <w:szCs w:val="20"/>
        </w:rPr>
        <w:t>’</w:t>
      </w:r>
      <w:r w:rsidR="00DE5E8F" w:rsidRPr="00DE5E8F">
        <w:rPr>
          <w:rFonts w:ascii="Bookman Old Style" w:eastAsia="MS Mincho" w:hAnsi="Bookman Old Style" w:cs="Arial"/>
          <w:i/>
          <w:iCs/>
          <w:sz w:val="20"/>
          <w:szCs w:val="20"/>
        </w:rPr>
        <w:t xml:space="preserve">) al auto de pruebas Auto I-2021-002233 con radicado E-2021-012046 del 12 de octubre de 2021, respetuosamente </w:t>
      </w:r>
      <w:r w:rsidR="00DE5E8F" w:rsidRPr="003E5E2C">
        <w:rPr>
          <w:rFonts w:ascii="Bookman Old Style" w:eastAsia="MS Mincho" w:hAnsi="Bookman Old Style" w:cs="Arial"/>
          <w:i/>
          <w:iCs/>
          <w:sz w:val="20"/>
          <w:szCs w:val="20"/>
          <w:u w:val="single"/>
        </w:rPr>
        <w:t>solicitamos a la CREG cerrar la etapa probatoria y proceder con la imposición de la servidumbre solicitada</w:t>
      </w:r>
      <w:r w:rsidR="003E5E2C">
        <w:rPr>
          <w:rFonts w:ascii="Bookman Old Style" w:eastAsia="MS Mincho" w:hAnsi="Bookman Old Style" w:cs="Arial"/>
          <w:i/>
          <w:iCs/>
          <w:sz w:val="20"/>
          <w:szCs w:val="20"/>
        </w:rPr>
        <w:t xml:space="preserve"> (…)”</w:t>
      </w:r>
    </w:p>
    <w:p w14:paraId="5417ADE0" w14:textId="77777777" w:rsidR="009971F2" w:rsidRPr="00187409" w:rsidRDefault="009971F2" w:rsidP="00E57F55">
      <w:pPr>
        <w:ind w:left="284"/>
        <w:contextualSpacing/>
        <w:jc w:val="both"/>
        <w:rPr>
          <w:rFonts w:ascii="Bookman Old Style" w:eastAsia="MS Mincho" w:hAnsi="Bookman Old Style" w:cs="Arial"/>
        </w:rPr>
      </w:pPr>
    </w:p>
    <w:p w14:paraId="32F74CB2" w14:textId="62B54E11" w:rsidR="7901A513" w:rsidRDefault="7901A513" w:rsidP="00E57F55">
      <w:pPr>
        <w:ind w:left="284"/>
        <w:contextualSpacing/>
        <w:jc w:val="both"/>
        <w:rPr>
          <w:rFonts w:ascii="Bookman Old Style" w:eastAsia="MS Mincho" w:hAnsi="Bookman Old Style" w:cs="Arial"/>
        </w:rPr>
      </w:pPr>
      <w:r w:rsidRPr="00187409">
        <w:rPr>
          <w:rFonts w:ascii="Bookman Old Style" w:eastAsia="MS Mincho" w:hAnsi="Bookman Old Style" w:cs="Arial"/>
        </w:rPr>
        <w:t xml:space="preserve">Mediante </w:t>
      </w:r>
      <w:r w:rsidR="00187409">
        <w:rPr>
          <w:rFonts w:ascii="Bookman Old Style" w:eastAsia="MS Mincho" w:hAnsi="Bookman Old Style" w:cs="Arial"/>
        </w:rPr>
        <w:t xml:space="preserve">comunicaciones de </w:t>
      </w:r>
      <w:r w:rsidRPr="00187409">
        <w:rPr>
          <w:rFonts w:ascii="Bookman Old Style" w:eastAsia="MS Mincho" w:hAnsi="Bookman Old Style" w:cs="Arial"/>
        </w:rPr>
        <w:t>radicado CREG E-2022-000807</w:t>
      </w:r>
      <w:r w:rsidR="00D1050F">
        <w:rPr>
          <w:rFonts w:ascii="Bookman Old Style" w:eastAsia="MS Mincho" w:hAnsi="Bookman Old Style" w:cs="Arial"/>
        </w:rPr>
        <w:t xml:space="preserve">, </w:t>
      </w:r>
      <w:r w:rsidR="00D1050F" w:rsidRPr="00D1050F">
        <w:rPr>
          <w:rFonts w:ascii="Bookman Old Style" w:eastAsia="MS Mincho" w:hAnsi="Bookman Old Style" w:cs="Arial"/>
        </w:rPr>
        <w:t>E-2022-002152</w:t>
      </w:r>
      <w:r w:rsidR="00D1050F">
        <w:rPr>
          <w:rFonts w:ascii="Bookman Old Style" w:eastAsia="MS Mincho" w:hAnsi="Bookman Old Style" w:cs="Arial"/>
        </w:rPr>
        <w:t xml:space="preserve">, </w:t>
      </w:r>
      <w:r w:rsidR="00D1050F" w:rsidRPr="00D1050F">
        <w:rPr>
          <w:rFonts w:ascii="Bookman Old Style" w:eastAsia="MS Mincho" w:hAnsi="Bookman Old Style" w:cs="Arial"/>
        </w:rPr>
        <w:t>E-2022-002786</w:t>
      </w:r>
      <w:r w:rsidR="00D1050F">
        <w:rPr>
          <w:rFonts w:ascii="Bookman Old Style" w:eastAsia="MS Mincho" w:hAnsi="Bookman Old Style" w:cs="Arial"/>
        </w:rPr>
        <w:t xml:space="preserve">, </w:t>
      </w:r>
      <w:r w:rsidR="00D1050F" w:rsidRPr="00D1050F">
        <w:rPr>
          <w:rFonts w:ascii="Bookman Old Style" w:eastAsia="MS Mincho" w:hAnsi="Bookman Old Style" w:cs="Arial"/>
        </w:rPr>
        <w:t>E-2022-00278</w:t>
      </w:r>
      <w:r w:rsidR="00D1050F">
        <w:rPr>
          <w:rFonts w:ascii="Bookman Old Style" w:eastAsia="MS Mincho" w:hAnsi="Bookman Old Style" w:cs="Arial"/>
        </w:rPr>
        <w:t>7</w:t>
      </w:r>
      <w:r w:rsidR="00446554">
        <w:rPr>
          <w:rFonts w:ascii="Bookman Old Style" w:eastAsia="MS Mincho" w:hAnsi="Bookman Old Style" w:cs="Arial"/>
        </w:rPr>
        <w:t xml:space="preserve">, </w:t>
      </w:r>
      <w:r w:rsidR="00446554" w:rsidRPr="00446554">
        <w:rPr>
          <w:rFonts w:ascii="Bookman Old Style" w:eastAsia="MS Mincho" w:hAnsi="Bookman Old Style" w:cs="Arial"/>
        </w:rPr>
        <w:t>E-2022-002829</w:t>
      </w:r>
      <w:r w:rsidR="004745ED">
        <w:rPr>
          <w:rFonts w:ascii="Bookman Old Style" w:eastAsia="MS Mincho" w:hAnsi="Bookman Old Style" w:cs="Arial"/>
        </w:rPr>
        <w:t xml:space="preserve">, </w:t>
      </w:r>
      <w:r w:rsidR="004745ED" w:rsidRPr="004745ED">
        <w:rPr>
          <w:rFonts w:ascii="Bookman Old Style" w:eastAsia="MS Mincho" w:hAnsi="Bookman Old Style" w:cs="Arial"/>
        </w:rPr>
        <w:t>E-2022-0028</w:t>
      </w:r>
      <w:r w:rsidR="004745ED">
        <w:rPr>
          <w:rFonts w:ascii="Bookman Old Style" w:eastAsia="MS Mincho" w:hAnsi="Bookman Old Style" w:cs="Arial"/>
        </w:rPr>
        <w:t xml:space="preserve">30, </w:t>
      </w:r>
      <w:r w:rsidR="004745ED" w:rsidRPr="004745ED">
        <w:rPr>
          <w:rFonts w:ascii="Bookman Old Style" w:eastAsia="MS Mincho" w:hAnsi="Bookman Old Style" w:cs="Arial"/>
        </w:rPr>
        <w:t>E-2022-0028</w:t>
      </w:r>
      <w:r w:rsidR="004745ED">
        <w:rPr>
          <w:rFonts w:ascii="Bookman Old Style" w:eastAsia="MS Mincho" w:hAnsi="Bookman Old Style" w:cs="Arial"/>
        </w:rPr>
        <w:t xml:space="preserve">32 y </w:t>
      </w:r>
      <w:r w:rsidR="004745ED" w:rsidRPr="004745ED">
        <w:rPr>
          <w:rFonts w:ascii="Bookman Old Style" w:eastAsia="MS Mincho" w:hAnsi="Bookman Old Style" w:cs="Arial"/>
        </w:rPr>
        <w:t>E-2022-0028</w:t>
      </w:r>
      <w:r w:rsidR="004745ED">
        <w:rPr>
          <w:rFonts w:ascii="Bookman Old Style" w:eastAsia="MS Mincho" w:hAnsi="Bookman Old Style" w:cs="Arial"/>
        </w:rPr>
        <w:t>33, DUE</w:t>
      </w:r>
      <w:r w:rsidRPr="00187409">
        <w:rPr>
          <w:rFonts w:ascii="Bookman Old Style" w:eastAsia="MS Mincho" w:hAnsi="Bookman Old Style" w:cs="Arial"/>
        </w:rPr>
        <w:t xml:space="preserve"> </w:t>
      </w:r>
      <w:r w:rsidRPr="0ECC7FE6">
        <w:rPr>
          <w:rFonts w:ascii="Bookman Old Style" w:eastAsia="MS Mincho" w:hAnsi="Bookman Old Style" w:cs="Arial"/>
        </w:rPr>
        <w:t>reiteró</w:t>
      </w:r>
      <w:r w:rsidRPr="00187409">
        <w:rPr>
          <w:rFonts w:ascii="Bookman Old Style" w:eastAsia="MS Mincho" w:hAnsi="Bookman Old Style" w:cs="Arial"/>
        </w:rPr>
        <w:t xml:space="preserve"> la solicitud de resolver la imposición de servidumbr</w:t>
      </w:r>
      <w:r w:rsidR="00500917">
        <w:rPr>
          <w:rFonts w:ascii="Bookman Old Style" w:eastAsia="MS Mincho" w:hAnsi="Bookman Old Style" w:cs="Arial"/>
        </w:rPr>
        <w:t>e</w:t>
      </w:r>
      <w:r w:rsidRPr="00187409">
        <w:rPr>
          <w:rFonts w:ascii="Bookman Old Style" w:eastAsia="MS Mincho" w:hAnsi="Bookman Old Style" w:cs="Arial"/>
        </w:rPr>
        <w:t>.</w:t>
      </w:r>
    </w:p>
    <w:p w14:paraId="6080C0BC" w14:textId="466ECEFA" w:rsidR="001415B5" w:rsidRDefault="001415B5" w:rsidP="00E57F55">
      <w:pPr>
        <w:ind w:left="284"/>
        <w:contextualSpacing/>
        <w:jc w:val="both"/>
        <w:rPr>
          <w:rFonts w:ascii="Bookman Old Style" w:eastAsia="MS Mincho" w:hAnsi="Bookman Old Style" w:cs="Arial"/>
        </w:rPr>
      </w:pPr>
    </w:p>
    <w:p w14:paraId="24072F21" w14:textId="77777777" w:rsidR="001415B5" w:rsidRPr="00187409" w:rsidRDefault="001415B5" w:rsidP="00E57F55">
      <w:pPr>
        <w:ind w:left="284"/>
        <w:contextualSpacing/>
        <w:jc w:val="both"/>
        <w:rPr>
          <w:rFonts w:ascii="Bookman Old Style" w:eastAsia="MS Mincho" w:hAnsi="Bookman Old Style" w:cs="Arial"/>
        </w:rPr>
      </w:pPr>
    </w:p>
    <w:p w14:paraId="58B881E0" w14:textId="77777777" w:rsidR="004248B5" w:rsidRDefault="00E124C4" w:rsidP="00F17F37">
      <w:pPr>
        <w:pStyle w:val="Ttulo1"/>
        <w:ind w:left="284"/>
        <w:jc w:val="both"/>
      </w:pPr>
      <w:r>
        <w:t xml:space="preserve">7. </w:t>
      </w:r>
      <w:r w:rsidR="001A74A7" w:rsidRPr="0086458B">
        <w:t>ANÁLISIS DE LA SOLICITUD</w:t>
      </w:r>
    </w:p>
    <w:p w14:paraId="7CFCC283" w14:textId="77777777" w:rsidR="004248B5" w:rsidRPr="004248B5" w:rsidRDefault="004248B5" w:rsidP="004248B5">
      <w:pPr>
        <w:ind w:left="284"/>
        <w:contextualSpacing/>
        <w:jc w:val="both"/>
        <w:rPr>
          <w:rFonts w:ascii="Bookman Old Style" w:hAnsi="Bookman Old Style" w:cs="Arial"/>
        </w:rPr>
      </w:pPr>
    </w:p>
    <w:p w14:paraId="58FB4563" w14:textId="01CAABBF" w:rsidR="00741259" w:rsidRPr="004248B5" w:rsidRDefault="004248B5" w:rsidP="005A0AD7">
      <w:pPr>
        <w:pStyle w:val="Ttulo2"/>
        <w:ind w:left="284"/>
        <w:rPr>
          <w:b w:val="0"/>
        </w:rPr>
      </w:pPr>
      <w:r>
        <w:t xml:space="preserve">7.1. </w:t>
      </w:r>
      <w:r w:rsidR="00966C1C">
        <w:t xml:space="preserve">ANÁLISIS </w:t>
      </w:r>
      <w:r w:rsidR="00741259" w:rsidRPr="004248B5">
        <w:t>JURÍDIC</w:t>
      </w:r>
      <w:r w:rsidR="00966C1C">
        <w:t>O</w:t>
      </w:r>
    </w:p>
    <w:p w14:paraId="644797F9" w14:textId="0A921A83" w:rsidR="37B59844" w:rsidRPr="00E904F1" w:rsidRDefault="37B59844" w:rsidP="00B264DC">
      <w:pPr>
        <w:ind w:left="284"/>
        <w:contextualSpacing/>
        <w:jc w:val="both"/>
        <w:rPr>
          <w:rFonts w:ascii="Bookman Old Style" w:eastAsia="Bookman Old Style" w:hAnsi="Bookman Old Style" w:cs="Arial"/>
        </w:rPr>
      </w:pPr>
    </w:p>
    <w:p w14:paraId="731CCC66" w14:textId="42A7C474" w:rsidR="37B59844" w:rsidRPr="00E904F1" w:rsidRDefault="02A5B069" w:rsidP="00B264DC">
      <w:pPr>
        <w:ind w:left="284"/>
        <w:contextualSpacing/>
        <w:jc w:val="both"/>
        <w:rPr>
          <w:rFonts w:ascii="Bookman Old Style" w:eastAsia="Bookman Old Style" w:hAnsi="Bookman Old Style" w:cs="Bookman Old Style"/>
          <w:lang w:val="es"/>
        </w:rPr>
      </w:pPr>
      <w:r w:rsidRPr="00E904F1">
        <w:rPr>
          <w:rFonts w:ascii="Bookman Old Style" w:eastAsia="Bookman Old Style" w:hAnsi="Bookman Old Style" w:cs="Bookman Old Style"/>
          <w:lang w:val="es"/>
        </w:rPr>
        <w:t>De conformidad con lo dispuesto en el artículo 117 de la ley 142 de 1994, la empresa que tenga interés en beneficiarse de una servidumbre podrá solicitar su imposición mediante acto administrativo</w:t>
      </w:r>
      <w:r w:rsidR="001415B5">
        <w:rPr>
          <w:rFonts w:ascii="Bookman Old Style" w:eastAsia="Bookman Old Style" w:hAnsi="Bookman Old Style" w:cs="Bookman Old Style"/>
          <w:lang w:val="es"/>
        </w:rPr>
        <w:t>,</w:t>
      </w:r>
      <w:r w:rsidRPr="00E904F1">
        <w:rPr>
          <w:rFonts w:ascii="Bookman Old Style" w:eastAsia="Bookman Old Style" w:hAnsi="Bookman Old Style" w:cs="Bookman Old Style"/>
          <w:lang w:val="es"/>
        </w:rPr>
        <w:t xml:space="preserve"> o promover el proceso de imposición de servidumbres contemplado en la ley 56 de 1981</w:t>
      </w:r>
      <w:r w:rsidR="000B163C">
        <w:rPr>
          <w:rFonts w:ascii="Bookman Old Style" w:eastAsia="Bookman Old Style" w:hAnsi="Bookman Old Style" w:cs="Bookman Old Style"/>
          <w:lang w:val="es"/>
        </w:rPr>
        <w:t>.</w:t>
      </w:r>
    </w:p>
    <w:p w14:paraId="589E9437" w14:textId="39286A36" w:rsidR="00DE13F5" w:rsidRPr="00E904F1" w:rsidRDefault="37B59844" w:rsidP="00B264DC">
      <w:pPr>
        <w:ind w:left="284"/>
        <w:contextualSpacing/>
        <w:jc w:val="both"/>
        <w:rPr>
          <w:rFonts w:ascii="Bookman Old Style" w:eastAsia="Bookman Old Style" w:hAnsi="Bookman Old Style" w:cs="Bookman Old Style"/>
          <w:lang w:val="es"/>
        </w:rPr>
      </w:pPr>
      <w:r w:rsidRPr="00E904F1">
        <w:rPr>
          <w:rFonts w:ascii="Bookman Old Style" w:eastAsia="Bookman Old Style" w:hAnsi="Bookman Old Style" w:cs="Bookman Old Style"/>
          <w:lang w:val="es"/>
        </w:rPr>
        <w:t>El concepto de servidumbre se encuentra plasmado en el derecho civil en el artículo 879 del Código Civil</w:t>
      </w:r>
      <w:r w:rsidR="001415B5">
        <w:rPr>
          <w:rFonts w:ascii="Bookman Old Style" w:eastAsia="Bookman Old Style" w:hAnsi="Bookman Old Style" w:cs="Bookman Old Style"/>
          <w:lang w:val="es"/>
        </w:rPr>
        <w:t>,</w:t>
      </w:r>
      <w:r w:rsidRPr="00E904F1">
        <w:rPr>
          <w:rFonts w:ascii="Bookman Old Style" w:eastAsia="Bookman Old Style" w:hAnsi="Bookman Old Style" w:cs="Bookman Old Style"/>
          <w:lang w:val="es"/>
        </w:rPr>
        <w:t xml:space="preserve"> el cual señala:</w:t>
      </w:r>
    </w:p>
    <w:p w14:paraId="007244F9" w14:textId="49196559" w:rsidR="00DE13F5" w:rsidRPr="00E904F1" w:rsidRDefault="00DE13F5" w:rsidP="00B264DC">
      <w:pPr>
        <w:ind w:left="284"/>
        <w:contextualSpacing/>
        <w:jc w:val="both"/>
        <w:rPr>
          <w:rFonts w:ascii="Bookman Old Style" w:eastAsia="Bookman Old Style" w:hAnsi="Bookman Old Style" w:cs="Bookman Old Style"/>
          <w:lang w:val="es"/>
        </w:rPr>
      </w:pPr>
    </w:p>
    <w:p w14:paraId="70D88AB5" w14:textId="1DCB39A5" w:rsidR="00DE13F5" w:rsidRPr="001E3B6C" w:rsidRDefault="37B59844" w:rsidP="001415B5">
      <w:pPr>
        <w:ind w:left="567"/>
        <w:contextualSpacing/>
        <w:jc w:val="both"/>
        <w:rPr>
          <w:rFonts w:ascii="Bookman Old Style" w:eastAsia="Bookman Old Style" w:hAnsi="Bookman Old Style" w:cs="Bookman Old Style"/>
          <w:i/>
          <w:iCs/>
          <w:sz w:val="20"/>
          <w:szCs w:val="20"/>
          <w:lang w:val="es"/>
        </w:rPr>
      </w:pPr>
      <w:r w:rsidRPr="001E3B6C">
        <w:rPr>
          <w:rFonts w:ascii="Bookman Old Style" w:eastAsia="Bookman Old Style" w:hAnsi="Bookman Old Style" w:cs="Bookman Old Style"/>
          <w:i/>
          <w:iCs/>
          <w:sz w:val="20"/>
          <w:szCs w:val="20"/>
          <w:lang w:val="es"/>
        </w:rPr>
        <w:t>“</w:t>
      </w:r>
      <w:r w:rsidR="001E3B6C">
        <w:rPr>
          <w:rFonts w:ascii="Bookman Old Style" w:eastAsia="Bookman Old Style" w:hAnsi="Bookman Old Style" w:cs="Bookman Old Style"/>
          <w:i/>
          <w:iCs/>
          <w:sz w:val="20"/>
          <w:szCs w:val="20"/>
          <w:lang w:val="es"/>
        </w:rPr>
        <w:t xml:space="preserve">(…) </w:t>
      </w:r>
      <w:r w:rsidRPr="001E3B6C">
        <w:rPr>
          <w:rFonts w:ascii="Bookman Old Style" w:eastAsia="Bookman Old Style" w:hAnsi="Bookman Old Style" w:cs="Bookman Old Style"/>
          <w:i/>
          <w:iCs/>
          <w:sz w:val="20"/>
          <w:szCs w:val="20"/>
          <w:lang w:val="es"/>
        </w:rPr>
        <w:t>Servidumbre predial o simple servidumbre, es un gravamen impuesto sobre un predio, en utilidad de otro predio de distinto dueño</w:t>
      </w:r>
      <w:r w:rsidR="001E3B6C">
        <w:rPr>
          <w:rFonts w:ascii="Bookman Old Style" w:eastAsia="Bookman Old Style" w:hAnsi="Bookman Old Style" w:cs="Bookman Old Style"/>
          <w:i/>
          <w:iCs/>
          <w:sz w:val="20"/>
          <w:szCs w:val="20"/>
          <w:lang w:val="es"/>
        </w:rPr>
        <w:t xml:space="preserve"> (…)</w:t>
      </w:r>
      <w:r w:rsidRPr="001E3B6C">
        <w:rPr>
          <w:rFonts w:ascii="Bookman Old Style" w:eastAsia="Bookman Old Style" w:hAnsi="Bookman Old Style" w:cs="Bookman Old Style"/>
          <w:i/>
          <w:iCs/>
          <w:sz w:val="20"/>
          <w:szCs w:val="20"/>
          <w:lang w:val="es"/>
        </w:rPr>
        <w:t>”</w:t>
      </w:r>
    </w:p>
    <w:p w14:paraId="0DA2A40E" w14:textId="432B3003" w:rsidR="00DE13F5" w:rsidRPr="00E904F1" w:rsidRDefault="00DE13F5" w:rsidP="00B264DC">
      <w:pPr>
        <w:ind w:left="284"/>
        <w:contextualSpacing/>
        <w:jc w:val="both"/>
        <w:rPr>
          <w:rFonts w:ascii="Bookman Old Style" w:hAnsi="Bookman Old Style" w:cs="Arial"/>
          <w:lang w:val="es-CO"/>
        </w:rPr>
      </w:pPr>
    </w:p>
    <w:p w14:paraId="21510100" w14:textId="5FFBDEB7" w:rsidR="00DE13F5" w:rsidRPr="00E904F1" w:rsidRDefault="37B59844" w:rsidP="00B264DC">
      <w:pPr>
        <w:ind w:left="284"/>
        <w:contextualSpacing/>
        <w:jc w:val="both"/>
        <w:rPr>
          <w:rFonts w:ascii="Bookman Old Style" w:hAnsi="Bookman Old Style" w:cs="Arial"/>
          <w:lang w:val="es-CO"/>
        </w:rPr>
      </w:pPr>
      <w:r w:rsidRPr="00E904F1">
        <w:rPr>
          <w:rFonts w:ascii="Bookman Old Style" w:hAnsi="Bookman Old Style" w:cs="Arial"/>
          <w:lang w:val="es-CO"/>
        </w:rPr>
        <w:t>Respecto de la Servidumbre de conexión</w:t>
      </w:r>
      <w:r w:rsidR="00A62A6F">
        <w:rPr>
          <w:rFonts w:ascii="Bookman Old Style" w:hAnsi="Bookman Old Style" w:cs="Arial"/>
          <w:lang w:val="es-CO"/>
        </w:rPr>
        <w:t>,</w:t>
      </w:r>
      <w:r w:rsidRPr="00E904F1">
        <w:rPr>
          <w:rFonts w:ascii="Bookman Old Style" w:hAnsi="Bookman Old Style" w:cs="Arial"/>
          <w:lang w:val="es-CO"/>
        </w:rPr>
        <w:t xml:space="preserve"> la Superintendencia de Servicios Públicos Domiciliarios</w:t>
      </w:r>
      <w:r w:rsidR="001D0BC9">
        <w:rPr>
          <w:rFonts w:ascii="Bookman Old Style" w:hAnsi="Bookman Old Style" w:cs="Arial"/>
          <w:lang w:val="es-CO"/>
        </w:rPr>
        <w:t>, SSPD,</w:t>
      </w:r>
      <w:r w:rsidRPr="00E904F1">
        <w:rPr>
          <w:rFonts w:ascii="Bookman Old Style" w:hAnsi="Bookman Old Style" w:cs="Arial"/>
          <w:lang w:val="es-CO"/>
        </w:rPr>
        <w:t xml:space="preserve"> mediante Concepto Unificado 19 de la Oficina Asesora Jurídica señal</w:t>
      </w:r>
      <w:r w:rsidR="007E7B85">
        <w:rPr>
          <w:rFonts w:ascii="Bookman Old Style" w:hAnsi="Bookman Old Style" w:cs="Arial"/>
          <w:lang w:val="es-CO"/>
        </w:rPr>
        <w:t>ó</w:t>
      </w:r>
      <w:r w:rsidRPr="00E904F1">
        <w:rPr>
          <w:rFonts w:ascii="Bookman Old Style" w:hAnsi="Bookman Old Style" w:cs="Arial"/>
          <w:lang w:val="es-CO"/>
        </w:rPr>
        <w:t>:</w:t>
      </w:r>
    </w:p>
    <w:p w14:paraId="64D1E20E" w14:textId="13836CC6" w:rsidR="37B59844" w:rsidRPr="00E904F1" w:rsidRDefault="37B59844" w:rsidP="00B264DC">
      <w:pPr>
        <w:ind w:left="284"/>
        <w:contextualSpacing/>
        <w:jc w:val="both"/>
        <w:rPr>
          <w:rFonts w:ascii="Bookman Old Style" w:eastAsia="Bookman Old Style" w:hAnsi="Bookman Old Style" w:cs="Bookman Old Style"/>
          <w:i/>
          <w:iCs/>
          <w:lang w:val="es"/>
        </w:rPr>
      </w:pPr>
    </w:p>
    <w:p w14:paraId="7EC72005" w14:textId="12D860A5" w:rsidR="37B59844" w:rsidRPr="0086458B" w:rsidRDefault="00E8171F" w:rsidP="001415B5">
      <w:pPr>
        <w:ind w:left="567"/>
        <w:contextualSpacing/>
        <w:jc w:val="both"/>
        <w:rPr>
          <w:rFonts w:ascii="Bookman Old Style" w:eastAsia="Bookman Old Style" w:hAnsi="Bookman Old Style" w:cs="Bookman Old Style"/>
          <w:i/>
          <w:iCs/>
          <w:sz w:val="20"/>
          <w:szCs w:val="20"/>
          <w:lang w:val="es"/>
        </w:rPr>
      </w:pPr>
      <w:r>
        <w:rPr>
          <w:rFonts w:ascii="Bookman Old Style" w:eastAsia="Bookman Old Style" w:hAnsi="Bookman Old Style" w:cs="Bookman Old Style"/>
          <w:i/>
          <w:iCs/>
          <w:sz w:val="20"/>
          <w:szCs w:val="20"/>
          <w:lang w:val="es"/>
        </w:rPr>
        <w:t>“</w:t>
      </w:r>
      <w:r w:rsidR="37B59844" w:rsidRPr="0086458B">
        <w:rPr>
          <w:rFonts w:ascii="Bookman Old Style" w:eastAsia="Bookman Old Style" w:hAnsi="Bookman Old Style" w:cs="Bookman Old Style"/>
          <w:i/>
          <w:iCs/>
          <w:sz w:val="20"/>
          <w:szCs w:val="20"/>
          <w:lang w:val="es"/>
        </w:rPr>
        <w:t>(…)</w:t>
      </w:r>
      <w:r>
        <w:rPr>
          <w:rFonts w:ascii="Bookman Old Style" w:eastAsia="Bookman Old Style" w:hAnsi="Bookman Old Style" w:cs="Bookman Old Style"/>
          <w:i/>
          <w:iCs/>
          <w:sz w:val="20"/>
          <w:szCs w:val="20"/>
          <w:lang w:val="es"/>
        </w:rPr>
        <w:t xml:space="preserve"> </w:t>
      </w:r>
      <w:r w:rsidR="37B59844" w:rsidRPr="0086458B">
        <w:rPr>
          <w:rFonts w:ascii="Bookman Old Style" w:eastAsia="Bookman Old Style" w:hAnsi="Bookman Old Style" w:cs="Bookman Old Style"/>
          <w:i/>
          <w:iCs/>
          <w:sz w:val="20"/>
          <w:szCs w:val="20"/>
          <w:lang w:val="es"/>
        </w:rPr>
        <w:t>Ahora bien, aunque la regulación del Código Civil sobre servidumbres está asociada en su totalidad a predios, dentro del concepto de bienes raíces o inmuebles, en materia de servicios públicos la Ley 142 de 1994, estableció unas servidumbres especiales que afectan otro tipo de bienes esenciales para la prestación de los servicios públicos. Así, por ejemplo, el artículo 28 de la ley 142 de 1994, señala que las comisiones de regulación pueden exigir que haya posibilidad de interconectar redes cuando sea necesario para proteger a los usuarios, para garantizar la calidad del servicio o para promover la competencia.</w:t>
      </w:r>
    </w:p>
    <w:p w14:paraId="41B44574" w14:textId="7C61B165"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p>
    <w:p w14:paraId="34733FB2" w14:textId="0FB867F4"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Así las cosas, en materia de servicios públicos existe la posibilidad de afectar el ejercicio del derecho de propiedad mediante la imposición de servidumbres, no solo sobre predios o bienes raíces, sino sobre la infraestructura esencial de los operadores de servicios públicos, tales como redes, ductos, etc., de conformidad con los artículos 28 y 57 de la ley 142 de 1994.</w:t>
      </w:r>
    </w:p>
    <w:p w14:paraId="64D13E20" w14:textId="7819D9B1"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p>
    <w:p w14:paraId="3537B440" w14:textId="32B2C690"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Para la Corte Constitucional, estos gravámenes que se imponen mediante la institución de la servidumbre no son un recorte a la garantía reconocida en la Constitución al derecho de dominio, sino que constituyen restricciones al derecho de la propiedad que se ajustan a la Constitución en el Estado de Derecho. Así lo manifestó ese Alto Tribunal al referirse a un asunto sobre el servicio de alcantarillado, de la siguiente manera:</w:t>
      </w:r>
    </w:p>
    <w:p w14:paraId="37947356" w14:textId="3BFA29CF" w:rsidR="37B59844" w:rsidRPr="0086458B" w:rsidRDefault="37B59844" w:rsidP="00E8171F">
      <w:pPr>
        <w:ind w:left="709"/>
        <w:contextualSpacing/>
        <w:jc w:val="both"/>
        <w:rPr>
          <w:rFonts w:ascii="Bookman Old Style" w:eastAsia="Bookman Old Style" w:hAnsi="Bookman Old Style" w:cs="Bookman Old Style"/>
          <w:i/>
          <w:iCs/>
          <w:sz w:val="20"/>
          <w:szCs w:val="20"/>
          <w:lang w:val="es"/>
        </w:rPr>
      </w:pPr>
    </w:p>
    <w:p w14:paraId="70513868" w14:textId="1860DE29" w:rsidR="37B59844" w:rsidRPr="0086458B" w:rsidRDefault="37B59844" w:rsidP="001415B5">
      <w:pPr>
        <w:ind w:left="851"/>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 Está probado que, en el caso sometido a revisión, la existencia de un predio de propiedad particular y la oposición de sus dueños a la ejecución de las obras necesarias para extender el servicio de alcantarillado, en los términos que lo requiere la eficaz protección de los derechos fundamentales afectados, se constituyen en el principal obstáculo para que la administración cumpla los cometidos de interés social que le corresponde. (...)</w:t>
      </w:r>
    </w:p>
    <w:p w14:paraId="41778772" w14:textId="49F19FAF" w:rsidR="37B59844" w:rsidRPr="0086458B" w:rsidRDefault="37B59844" w:rsidP="00E8171F">
      <w:pPr>
        <w:ind w:left="709"/>
        <w:contextualSpacing/>
        <w:jc w:val="both"/>
        <w:rPr>
          <w:rFonts w:ascii="Bookman Old Style" w:eastAsia="Bookman Old Style" w:hAnsi="Bookman Old Style" w:cs="Bookman Old Style"/>
          <w:i/>
          <w:iCs/>
          <w:sz w:val="20"/>
          <w:szCs w:val="20"/>
          <w:lang w:val="es"/>
        </w:rPr>
      </w:pPr>
    </w:p>
    <w:p w14:paraId="5E49ED9D" w14:textId="57390E77"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La misma providencia destacó que la función social inherente a la propiedad, se orienta a realizar el interés de la comunidad y por ello busca atraer al sujeto, de manera que, sin dejar de perseguir la satisfacción de sus propios móviles, realice intereses que trascienden la esfera meramente individual, bajo la amenaza en caso de carencia de cooperación del titular de dar por extinguido el derecho, al decaer el presupuesto social de la atribución.</w:t>
      </w:r>
    </w:p>
    <w:p w14:paraId="004B5C06" w14:textId="49707F90"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p>
    <w:p w14:paraId="76AE6760" w14:textId="5572D477"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6037FA">
        <w:rPr>
          <w:rFonts w:ascii="Bookman Old Style" w:eastAsia="Bookman Old Style" w:hAnsi="Bookman Old Style" w:cs="Bookman Old Style"/>
          <w:i/>
          <w:iCs/>
          <w:sz w:val="20"/>
          <w:szCs w:val="20"/>
          <w:lang w:val="es"/>
        </w:rPr>
        <w:t>La función social -ha sostenido la Corte no es un dato externo a la propiedad. Se i</w:t>
      </w:r>
      <w:r w:rsidRPr="0086458B">
        <w:rPr>
          <w:rFonts w:ascii="Bookman Old Style" w:eastAsia="Bookman Old Style" w:hAnsi="Bookman Old Style" w:cs="Bookman Old Style"/>
          <w:i/>
          <w:iCs/>
          <w:sz w:val="20"/>
          <w:szCs w:val="20"/>
          <w:lang w:val="es"/>
        </w:rPr>
        <w:t xml:space="preserve">ntegra, por el contrario, a su estructura. </w:t>
      </w:r>
      <w:r w:rsidR="00EC0AC5">
        <w:rPr>
          <w:rFonts w:ascii="Bookman Old Style" w:eastAsia="Bookman Old Style" w:hAnsi="Bookman Old Style" w:cs="Bookman Old Style"/>
          <w:i/>
          <w:iCs/>
          <w:sz w:val="20"/>
          <w:szCs w:val="20"/>
          <w:lang w:val="es"/>
        </w:rPr>
        <w:t>‘</w:t>
      </w:r>
      <w:r w:rsidRPr="0086458B">
        <w:rPr>
          <w:rFonts w:ascii="Bookman Old Style" w:eastAsia="Bookman Old Style" w:hAnsi="Bookman Old Style" w:cs="Bookman Old Style"/>
          <w:i/>
          <w:iCs/>
          <w:sz w:val="20"/>
          <w:szCs w:val="20"/>
          <w:lang w:val="es"/>
        </w:rPr>
        <w:t>Las obligaciones, deberes y limitaciones de todo orden, derivados de la función social de la propiedad, se introducen e incorporan en su propio ámbito. La naturaleza social de la atribución del derecho determina que la misma esté condicionada a la realización de funciones y de fines que traza la ley, los cuales señalan los comportamientos posibles, dentro de los cuales puede moverse el propietario, siempre que al lado de su beneficio personal se utilice el bien según el más alto patrón de sociabilidad, concebido en términos de bienestar colectivo y relaciones sociales más equitativas e igualitarias</w:t>
      </w:r>
      <w:r w:rsidR="00A42E6A">
        <w:rPr>
          <w:rFonts w:ascii="Bookman Old Style" w:eastAsia="Bookman Old Style" w:hAnsi="Bookman Old Style" w:cs="Bookman Old Style"/>
          <w:i/>
          <w:iCs/>
          <w:sz w:val="20"/>
          <w:szCs w:val="20"/>
          <w:lang w:val="es"/>
        </w:rPr>
        <w:t>’</w:t>
      </w:r>
      <w:r w:rsidRPr="0086458B">
        <w:rPr>
          <w:rFonts w:ascii="Bookman Old Style" w:eastAsia="Bookman Old Style" w:hAnsi="Bookman Old Style" w:cs="Bookman Old Style"/>
          <w:i/>
          <w:iCs/>
          <w:sz w:val="20"/>
          <w:szCs w:val="20"/>
          <w:lang w:val="es"/>
        </w:rPr>
        <w:t xml:space="preserve"> (Cfr. Sentencia C-006 del 18 de enero de 1993, ya citada).</w:t>
      </w:r>
    </w:p>
    <w:p w14:paraId="31CB413D" w14:textId="2A705790"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p>
    <w:p w14:paraId="6AB09AA5" w14:textId="4D412067"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En el punto concreto de la introducción de servidumbres cuyas razones sean la utilidad pública y el interés social, el fallo últimamente mencionado destacó que mediante ellas no se suprime ni se recorta la garantía reconocida en la Constitución al derecho de dominio, sino que, atendiendo a la prevalencia del interés general (artículo 1o de la Carta) y al sustrato mismo de la función social (artículo 58 eiusdem), se consagran por la ley restricciones al ejercicio de la propiedad que son perfectamente ajustadas a la Constitución en el Estado de Derecho.</w:t>
      </w:r>
    </w:p>
    <w:p w14:paraId="60A1F562" w14:textId="099A2C7E" w:rsidR="37B59844" w:rsidRPr="0086458B" w:rsidRDefault="37B59844" w:rsidP="00E8171F">
      <w:pPr>
        <w:ind w:left="709"/>
        <w:contextualSpacing/>
        <w:jc w:val="both"/>
        <w:rPr>
          <w:rFonts w:ascii="Bookman Old Style" w:hAnsi="Bookman Old Style"/>
        </w:rPr>
      </w:pPr>
    </w:p>
    <w:p w14:paraId="6B7635D4" w14:textId="1806A6DB"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 xml:space="preserve">No podría entenderse, entonces, que el capricho de un propietario que se niega a la ejecución de obras públicas en un inmueble bajo su dominio pudiera oponerse legítimamente al interés de la colectividad, menos todavía si la única forma de efectuarlas implica la utilización de sus predios. La aceptación de este criterio, completamente contrario a la esencia misma del Estado Social de Derecho y opuesto al principio constitucional de prevalencia del interés general sobre el particular (artículo 1 de la C.P.), implicaría un retroceso de más de un siglo en la evolución del Derecho Público colombiano, pues ya en el artículo 30 de la Constitución de 1886 se expresaba con claridad que en caso de conflicto entre una ley dictada por motivos de utilidad pública y el bien particular o individual, </w:t>
      </w:r>
      <w:r w:rsidRPr="286CF6A9">
        <w:rPr>
          <w:rFonts w:ascii="Bookman Old Style" w:eastAsia="Bookman Old Style" w:hAnsi="Bookman Old Style" w:cs="Bookman Old Style"/>
          <w:i/>
          <w:sz w:val="20"/>
          <w:szCs w:val="20"/>
          <w:lang w:val="es"/>
        </w:rPr>
        <w:t>éste debía ceder irremisiblemente ante aquél</w:t>
      </w:r>
      <w:r w:rsidR="004F237A">
        <w:rPr>
          <w:rFonts w:ascii="Bookman Old Style" w:eastAsia="Bookman Old Style" w:hAnsi="Bookman Old Style" w:cs="Bookman Old Style"/>
          <w:i/>
          <w:sz w:val="20"/>
          <w:szCs w:val="20"/>
          <w:lang w:val="es"/>
        </w:rPr>
        <w:t>’</w:t>
      </w:r>
      <w:r w:rsidRPr="286CF6A9">
        <w:rPr>
          <w:rFonts w:ascii="Bookman Old Style" w:eastAsia="Bookman Old Style" w:hAnsi="Bookman Old Style" w:cs="Bookman Old Style"/>
          <w:i/>
          <w:sz w:val="20"/>
          <w:szCs w:val="20"/>
          <w:lang w:val="es"/>
        </w:rPr>
        <w:t>.</w:t>
      </w:r>
    </w:p>
    <w:p w14:paraId="4BD4EB21" w14:textId="3F685C1C" w:rsidR="37B59844" w:rsidRPr="0086458B" w:rsidRDefault="37B59844" w:rsidP="00E8171F">
      <w:pPr>
        <w:ind w:left="709"/>
        <w:contextualSpacing/>
        <w:jc w:val="both"/>
        <w:rPr>
          <w:rFonts w:ascii="Bookman Old Style" w:eastAsia="Bookman Old Style" w:hAnsi="Bookman Old Style" w:cs="Bookman Old Style"/>
          <w:sz w:val="26"/>
          <w:szCs w:val="26"/>
          <w:lang w:val="es"/>
        </w:rPr>
      </w:pPr>
    </w:p>
    <w:p w14:paraId="167BB040" w14:textId="321BE33E" w:rsidR="286CF6A9" w:rsidRDefault="286CF6A9" w:rsidP="001415B5">
      <w:pPr>
        <w:ind w:left="567"/>
        <w:contextualSpacing/>
        <w:jc w:val="both"/>
        <w:rPr>
          <w:rFonts w:ascii="Bookman Old Style" w:eastAsia="Bookman Old Style" w:hAnsi="Bookman Old Style" w:cs="Bookman Old Style"/>
          <w:i/>
          <w:iCs/>
          <w:sz w:val="20"/>
          <w:szCs w:val="20"/>
          <w:lang w:val="es"/>
        </w:rPr>
      </w:pPr>
      <w:r w:rsidRPr="286CF6A9">
        <w:rPr>
          <w:rFonts w:ascii="Bookman Old Style" w:eastAsia="Bookman Old Style" w:hAnsi="Bookman Old Style" w:cs="Bookman Old Style"/>
          <w:i/>
          <w:iCs/>
          <w:sz w:val="20"/>
          <w:szCs w:val="20"/>
          <w:lang w:val="es"/>
        </w:rPr>
        <w:t xml:space="preserve">(…) </w:t>
      </w:r>
    </w:p>
    <w:p w14:paraId="5C0E9627" w14:textId="0D972E55" w:rsidR="286CF6A9" w:rsidRDefault="286CF6A9" w:rsidP="001415B5">
      <w:pPr>
        <w:ind w:left="567"/>
        <w:contextualSpacing/>
        <w:jc w:val="both"/>
        <w:rPr>
          <w:rFonts w:ascii="Bookman Old Style" w:eastAsia="Bookman Old Style" w:hAnsi="Bookman Old Style" w:cs="Bookman Old Style"/>
          <w:i/>
          <w:iCs/>
          <w:sz w:val="20"/>
          <w:szCs w:val="20"/>
          <w:lang w:val="es"/>
        </w:rPr>
      </w:pPr>
    </w:p>
    <w:p w14:paraId="7805680D" w14:textId="050B0E4E"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De otra parte, el artículo 118 de la Ley 142 de 1994 también confiere competencia a las comisiones de regulación para imponer servidumbres mediante acto administrativo.</w:t>
      </w:r>
    </w:p>
    <w:p w14:paraId="5E228E35" w14:textId="0E4EC4EE"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p>
    <w:p w14:paraId="0E6DBDF0" w14:textId="6BB181A3" w:rsidR="37B59844" w:rsidRPr="0086458B" w:rsidRDefault="37B59844" w:rsidP="001415B5">
      <w:pPr>
        <w:ind w:left="567"/>
        <w:contextualSpacing/>
        <w:jc w:val="both"/>
        <w:rPr>
          <w:rFonts w:ascii="Bookman Old Style" w:eastAsia="Bookman Old Style" w:hAnsi="Bookman Old Style" w:cs="Bookman Old Style"/>
          <w:i/>
          <w:iCs/>
          <w:sz w:val="20"/>
          <w:szCs w:val="20"/>
          <w:lang w:val="es"/>
        </w:rPr>
      </w:pPr>
      <w:r w:rsidRPr="0086458B">
        <w:rPr>
          <w:rFonts w:ascii="Bookman Old Style" w:eastAsia="Bookman Old Style" w:hAnsi="Bookman Old Style" w:cs="Bookman Old Style"/>
          <w:i/>
          <w:iCs/>
          <w:sz w:val="20"/>
          <w:szCs w:val="20"/>
          <w:lang w:val="es"/>
        </w:rPr>
        <w:t>Si bien la norma no precisa en que</w:t>
      </w:r>
      <w:r w:rsidRPr="286CF6A9">
        <w:rPr>
          <w:rFonts w:ascii="Bookman Old Style" w:eastAsia="Bookman Old Style" w:hAnsi="Bookman Old Style" w:cs="Bookman Old Style"/>
          <w:i/>
          <w:iCs/>
          <w:sz w:val="20"/>
          <w:szCs w:val="20"/>
          <w:lang w:val="es"/>
        </w:rPr>
        <w:t xml:space="preserve">  (sic)</w:t>
      </w:r>
      <w:r w:rsidRPr="0086458B">
        <w:rPr>
          <w:rFonts w:ascii="Bookman Old Style" w:eastAsia="Bookman Old Style" w:hAnsi="Bookman Old Style" w:cs="Bookman Old Style"/>
          <w:i/>
          <w:iCs/>
          <w:sz w:val="20"/>
          <w:szCs w:val="20"/>
          <w:lang w:val="es"/>
        </w:rPr>
        <w:t xml:space="preserve"> casos las comisiones de regulación tienen competencia para imponer servidumbres, de la lectura de los artículos 28, 39.4, y 73.8 de la ley 142, se puede deducir que la facultad de las comisiones en este asunto se limita a la interconexión de redes con el propósito de aumentar la cobertura de prestación de los servicios, proteger a los usuarios, garantizar la calidad y continuidad de la prestación de los servicios, y para promover la competencia y uso eficiente de la infraestructura esencial para la prestación de los mismos</w:t>
      </w:r>
      <w:r w:rsidR="00257CDE">
        <w:rPr>
          <w:rFonts w:ascii="Bookman Old Style" w:eastAsia="Bookman Old Style" w:hAnsi="Bookman Old Style" w:cs="Bookman Old Style"/>
          <w:i/>
          <w:iCs/>
          <w:sz w:val="20"/>
          <w:szCs w:val="20"/>
          <w:lang w:val="es"/>
        </w:rPr>
        <w:t>. (…)</w:t>
      </w:r>
      <w:r w:rsidRPr="286CF6A9">
        <w:rPr>
          <w:rFonts w:ascii="Bookman Old Style" w:eastAsia="Bookman Old Style" w:hAnsi="Bookman Old Style" w:cs="Bookman Old Style"/>
          <w:i/>
          <w:iCs/>
          <w:sz w:val="20"/>
          <w:szCs w:val="20"/>
          <w:lang w:val="es"/>
        </w:rPr>
        <w:t>”</w:t>
      </w:r>
    </w:p>
    <w:p w14:paraId="0158F2AC" w14:textId="77777777" w:rsidR="002527A2" w:rsidRDefault="002527A2" w:rsidP="00B264DC">
      <w:pPr>
        <w:pStyle w:val="Textoindependiente21"/>
        <w:ind w:left="284"/>
        <w:contextualSpacing/>
        <w:rPr>
          <w:rFonts w:ascii="Bookman Old Style" w:eastAsia="MS Mincho" w:hAnsi="Bookman Old Style" w:cs="Arial"/>
          <w:sz w:val="24"/>
          <w:szCs w:val="24"/>
          <w:lang w:val="es-CO"/>
        </w:rPr>
      </w:pPr>
    </w:p>
    <w:p w14:paraId="7689D3D9" w14:textId="0FB95390" w:rsidR="0055683F" w:rsidRPr="004F746E" w:rsidRDefault="00F3234B" w:rsidP="00742795">
      <w:pPr>
        <w:pStyle w:val="Textoindependiente21"/>
        <w:ind w:left="284"/>
        <w:contextualSpacing/>
        <w:rPr>
          <w:rFonts w:ascii="Bookman Old Style" w:eastAsia="MS Mincho" w:hAnsi="Bookman Old Style"/>
          <w:sz w:val="24"/>
          <w:lang w:val="es-CO"/>
        </w:rPr>
      </w:pPr>
      <w:r>
        <w:rPr>
          <w:rFonts w:ascii="Bookman Old Style" w:eastAsia="MS Mincho" w:hAnsi="Bookman Old Style"/>
          <w:sz w:val="24"/>
          <w:lang w:val="es-CO"/>
        </w:rPr>
        <w:t>Durante el desarrollo de la actuación</w:t>
      </w:r>
      <w:r w:rsidR="0055683F" w:rsidRPr="004F746E">
        <w:rPr>
          <w:rFonts w:ascii="Bookman Old Style" w:eastAsia="MS Mincho" w:hAnsi="Bookman Old Style"/>
          <w:sz w:val="24"/>
          <w:lang w:val="es-CO"/>
        </w:rPr>
        <w:t>,</w:t>
      </w:r>
      <w:r w:rsidR="00DC3F7E" w:rsidRPr="004F746E">
        <w:rPr>
          <w:rFonts w:ascii="Bookman Old Style" w:eastAsia="MS Mincho" w:hAnsi="Bookman Old Style"/>
          <w:sz w:val="24"/>
          <w:lang w:val="es-CO"/>
        </w:rPr>
        <w:t xml:space="preserve"> </w:t>
      </w:r>
      <w:r w:rsidR="00A01658" w:rsidRPr="004F746E">
        <w:rPr>
          <w:rFonts w:ascii="Bookman Old Style" w:eastAsia="MS Mincho" w:hAnsi="Bookman Old Style"/>
          <w:sz w:val="24"/>
          <w:lang w:val="es-CO"/>
        </w:rPr>
        <w:t xml:space="preserve">GENSA </w:t>
      </w:r>
      <w:r w:rsidR="0051618D" w:rsidRPr="004F746E">
        <w:rPr>
          <w:rFonts w:ascii="Bookman Old Style" w:eastAsia="MS Mincho" w:hAnsi="Bookman Old Style"/>
          <w:sz w:val="24"/>
          <w:lang w:val="es-CO"/>
        </w:rPr>
        <w:t>solicitó reconocimiento</w:t>
      </w:r>
      <w:r w:rsidR="00623F9B" w:rsidRPr="004F746E">
        <w:rPr>
          <w:rFonts w:ascii="Bookman Old Style" w:eastAsia="MS Mincho" w:hAnsi="Bookman Old Style"/>
          <w:sz w:val="24"/>
          <w:lang w:val="es-CO"/>
        </w:rPr>
        <w:t xml:space="preserve"> </w:t>
      </w:r>
      <w:r w:rsidR="0051618D" w:rsidRPr="004F746E">
        <w:rPr>
          <w:rFonts w:ascii="Bookman Old Style" w:eastAsia="MS Mincho" w:hAnsi="Bookman Old Style"/>
          <w:sz w:val="24"/>
          <w:lang w:val="es-CO"/>
        </w:rPr>
        <w:t>como</w:t>
      </w:r>
      <w:r w:rsidR="00623F9B" w:rsidRPr="004F746E">
        <w:rPr>
          <w:rFonts w:ascii="Bookman Old Style" w:eastAsia="MS Mincho" w:hAnsi="Bookman Old Style"/>
          <w:sz w:val="24"/>
          <w:lang w:val="es-CO"/>
        </w:rPr>
        <w:t xml:space="preserve"> parte interesada</w:t>
      </w:r>
      <w:r w:rsidR="0051618D" w:rsidRPr="004F746E">
        <w:rPr>
          <w:rFonts w:ascii="Bookman Old Style" w:eastAsia="MS Mincho" w:hAnsi="Bookman Old Style"/>
          <w:sz w:val="24"/>
          <w:lang w:val="es-CO"/>
        </w:rPr>
        <w:t xml:space="preserve"> </w:t>
      </w:r>
      <w:r w:rsidR="00976344" w:rsidRPr="004F746E">
        <w:rPr>
          <w:rFonts w:ascii="Bookman Old Style" w:eastAsia="MS Mincho" w:hAnsi="Bookman Old Style"/>
          <w:sz w:val="24"/>
          <w:lang w:val="es-CO"/>
        </w:rPr>
        <w:t xml:space="preserve">mediante </w:t>
      </w:r>
      <w:r w:rsidR="003B6806" w:rsidRPr="004F746E">
        <w:rPr>
          <w:rFonts w:ascii="Bookman Old Style" w:hAnsi="Bookman Old Style"/>
          <w:sz w:val="24"/>
        </w:rPr>
        <w:t>comunicación con radicado CREG</w:t>
      </w:r>
      <w:r w:rsidR="003B6806" w:rsidRPr="004F746E">
        <w:rPr>
          <w:rFonts w:ascii="Bookman Old Style" w:hAnsi="Bookman Old Style"/>
          <w:sz w:val="24"/>
          <w:lang w:val="es-CO"/>
        </w:rPr>
        <w:t xml:space="preserve"> E-2019-014169</w:t>
      </w:r>
      <w:r w:rsidR="00462F07">
        <w:rPr>
          <w:rFonts w:ascii="Bookman Old Style" w:hAnsi="Bookman Old Style"/>
          <w:sz w:val="24"/>
          <w:lang w:val="es-CO"/>
        </w:rPr>
        <w:t>.</w:t>
      </w:r>
      <w:r w:rsidR="003B6806" w:rsidRPr="004F746E">
        <w:rPr>
          <w:rFonts w:ascii="Bookman Old Style" w:hAnsi="Bookman Old Style"/>
          <w:sz w:val="24"/>
          <w:lang w:val="es-CO"/>
        </w:rPr>
        <w:t xml:space="preserve"> </w:t>
      </w:r>
      <w:r w:rsidR="00462F07">
        <w:rPr>
          <w:rFonts w:ascii="Bookman Old Style" w:hAnsi="Bookman Old Style"/>
          <w:sz w:val="24"/>
          <w:lang w:val="es-CO"/>
        </w:rPr>
        <w:t>E</w:t>
      </w:r>
      <w:r w:rsidR="001B768E">
        <w:rPr>
          <w:rFonts w:ascii="Bookman Old Style" w:hAnsi="Bookman Old Style"/>
          <w:sz w:val="24"/>
          <w:lang w:val="es-CO"/>
        </w:rPr>
        <w:t>n</w:t>
      </w:r>
      <w:r w:rsidR="00462F07">
        <w:rPr>
          <w:rFonts w:ascii="Bookman Old Style" w:hAnsi="Bookman Old Style"/>
          <w:sz w:val="24"/>
          <w:lang w:val="es-CO"/>
        </w:rPr>
        <w:t xml:space="preserve"> es</w:t>
      </w:r>
      <w:r w:rsidR="001415B5">
        <w:rPr>
          <w:rFonts w:ascii="Bookman Old Style" w:hAnsi="Bookman Old Style"/>
          <w:sz w:val="24"/>
          <w:lang w:val="es-CO"/>
        </w:rPr>
        <w:t>a</w:t>
      </w:r>
      <w:r w:rsidR="00462F07">
        <w:rPr>
          <w:rFonts w:ascii="Bookman Old Style" w:hAnsi="Bookman Old Style"/>
          <w:sz w:val="24"/>
          <w:lang w:val="es-CO"/>
        </w:rPr>
        <w:t xml:space="preserve"> misma comunicación, también solicitó el </w:t>
      </w:r>
      <w:r w:rsidR="006B719F" w:rsidRPr="006B719F">
        <w:rPr>
          <w:rFonts w:ascii="Bookman Old Style" w:hAnsi="Bookman Old Style"/>
          <w:sz w:val="24"/>
          <w:lang w:val="es-CO"/>
        </w:rPr>
        <w:t>recha</w:t>
      </w:r>
      <w:r w:rsidR="00462F07">
        <w:rPr>
          <w:rFonts w:ascii="Bookman Old Style" w:hAnsi="Bookman Old Style"/>
          <w:sz w:val="24"/>
          <w:lang w:val="es-CO"/>
        </w:rPr>
        <w:t xml:space="preserve">zo de </w:t>
      </w:r>
      <w:r w:rsidR="006B719F" w:rsidRPr="006B719F">
        <w:rPr>
          <w:rFonts w:ascii="Bookman Old Style" w:hAnsi="Bookman Old Style"/>
          <w:sz w:val="24"/>
          <w:lang w:val="es-CO"/>
        </w:rPr>
        <w:t>la imposición de servidumbre</w:t>
      </w:r>
      <w:r w:rsidR="00817969">
        <w:rPr>
          <w:rFonts w:ascii="Bookman Old Style" w:hAnsi="Bookman Old Style"/>
          <w:sz w:val="24"/>
          <w:lang w:val="es-CO"/>
        </w:rPr>
        <w:t>,</w:t>
      </w:r>
      <w:r w:rsidR="006B719F">
        <w:rPr>
          <w:rFonts w:ascii="Bookman Old Style" w:hAnsi="Bookman Old Style"/>
          <w:sz w:val="24"/>
          <w:lang w:val="es-CO"/>
        </w:rPr>
        <w:t xml:space="preserve"> </w:t>
      </w:r>
      <w:r w:rsidR="002F3020">
        <w:rPr>
          <w:rFonts w:ascii="Bookman Old Style" w:hAnsi="Bookman Old Style"/>
          <w:sz w:val="24"/>
          <w:lang w:val="es-CO"/>
        </w:rPr>
        <w:t>fundamentando esta solicitud en lo siguiente</w:t>
      </w:r>
      <w:r w:rsidR="001646F5" w:rsidRPr="004F746E">
        <w:rPr>
          <w:rFonts w:ascii="Bookman Old Style" w:eastAsia="MS Mincho" w:hAnsi="Bookman Old Style"/>
          <w:sz w:val="24"/>
          <w:lang w:val="es-CO"/>
        </w:rPr>
        <w:t>:</w:t>
      </w:r>
    </w:p>
    <w:p w14:paraId="1FB001E9" w14:textId="77777777" w:rsidR="001646F5" w:rsidRPr="004F746E" w:rsidRDefault="001646F5" w:rsidP="00B264DC">
      <w:pPr>
        <w:pStyle w:val="Textoindependiente21"/>
        <w:ind w:left="284"/>
        <w:contextualSpacing/>
        <w:rPr>
          <w:rFonts w:ascii="Bookman Old Style" w:eastAsia="MS Mincho" w:hAnsi="Bookman Old Style"/>
          <w:lang w:val="es-CO"/>
        </w:rPr>
      </w:pPr>
    </w:p>
    <w:p w14:paraId="16BB8C48" w14:textId="34D8EC82" w:rsidR="00C71241" w:rsidRDefault="00817BD6" w:rsidP="001415B5">
      <w:pPr>
        <w:pStyle w:val="Textoindependiente21"/>
        <w:ind w:left="567"/>
        <w:contextualSpacing/>
        <w:rPr>
          <w:rFonts w:ascii="Bookman Old Style" w:eastAsia="MS Mincho" w:hAnsi="Bookman Old Style"/>
          <w:i/>
          <w:sz w:val="20"/>
          <w:lang w:val="es-CO"/>
        </w:rPr>
      </w:pPr>
      <w:r w:rsidRPr="004F746E">
        <w:rPr>
          <w:rFonts w:ascii="Bookman Old Style" w:eastAsia="MS Mincho" w:hAnsi="Bookman Old Style"/>
          <w:i/>
          <w:sz w:val="20"/>
          <w:lang w:val="es-CO"/>
        </w:rPr>
        <w:t>“</w:t>
      </w:r>
      <w:r w:rsidR="00325B3E" w:rsidRPr="004F746E">
        <w:rPr>
          <w:rFonts w:ascii="Bookman Old Style" w:eastAsia="MS Mincho" w:hAnsi="Bookman Old Style"/>
          <w:i/>
          <w:sz w:val="20"/>
          <w:lang w:val="es-CO"/>
        </w:rPr>
        <w:t xml:space="preserve">(…) </w:t>
      </w:r>
      <w:r w:rsidR="00C71241" w:rsidRPr="00C71241">
        <w:rPr>
          <w:rFonts w:ascii="Bookman Old Style" w:eastAsia="MS Mincho" w:hAnsi="Bookman Old Style"/>
          <w:i/>
          <w:sz w:val="20"/>
          <w:lang w:val="es-CO"/>
        </w:rPr>
        <w:t xml:space="preserve">me permito solicitarle cordialmente </w:t>
      </w:r>
      <w:r w:rsidR="00C71241">
        <w:rPr>
          <w:rFonts w:ascii="Bookman Old Style" w:eastAsia="MS Mincho" w:hAnsi="Bookman Old Style"/>
          <w:i/>
          <w:sz w:val="20"/>
          <w:lang w:val="es-CO"/>
        </w:rPr>
        <w:t xml:space="preserve">(…) </w:t>
      </w:r>
      <w:r w:rsidR="00C71241" w:rsidRPr="00C71241">
        <w:rPr>
          <w:rFonts w:ascii="Bookman Old Style" w:eastAsia="MS Mincho" w:hAnsi="Bookman Old Style"/>
          <w:i/>
          <w:sz w:val="20"/>
          <w:lang w:val="es-CO"/>
        </w:rPr>
        <w:t>(ii) que se rechace la solicitud de imposición de servidumbre interpuesta por la Empresa Due Capital and Services S.A.S.</w:t>
      </w:r>
      <w:r w:rsidR="00AD0863">
        <w:rPr>
          <w:rFonts w:ascii="Bookman Old Style" w:eastAsia="MS Mincho" w:hAnsi="Bookman Old Style"/>
          <w:i/>
          <w:sz w:val="20"/>
          <w:lang w:val="es-CO"/>
        </w:rPr>
        <w:t xml:space="preserve"> (</w:t>
      </w:r>
      <w:r w:rsidR="0042654E">
        <w:rPr>
          <w:rFonts w:ascii="Bookman Old Style" w:eastAsia="MS Mincho" w:hAnsi="Bookman Old Style"/>
          <w:i/>
          <w:sz w:val="20"/>
          <w:lang w:val="es-CO"/>
        </w:rPr>
        <w:t>…)</w:t>
      </w:r>
    </w:p>
    <w:p w14:paraId="63416B65" w14:textId="77777777" w:rsidR="00C71241" w:rsidRDefault="00C71241" w:rsidP="001415B5">
      <w:pPr>
        <w:pStyle w:val="Textoindependiente21"/>
        <w:ind w:left="567"/>
        <w:contextualSpacing/>
        <w:rPr>
          <w:rFonts w:ascii="Bookman Old Style" w:eastAsia="MS Mincho" w:hAnsi="Bookman Old Style"/>
          <w:i/>
          <w:sz w:val="20"/>
          <w:lang w:val="es-CO"/>
        </w:rPr>
      </w:pPr>
    </w:p>
    <w:p w14:paraId="21ADB8AC" w14:textId="66D70E03" w:rsidR="001646F5" w:rsidRPr="004F746E" w:rsidRDefault="00817BD6" w:rsidP="001415B5">
      <w:pPr>
        <w:pStyle w:val="Textoindependiente21"/>
        <w:ind w:left="567"/>
        <w:contextualSpacing/>
        <w:rPr>
          <w:rFonts w:ascii="Bookman Old Style" w:eastAsia="MS Mincho" w:hAnsi="Bookman Old Style"/>
          <w:i/>
          <w:sz w:val="20"/>
          <w:lang w:val="es-CO"/>
        </w:rPr>
      </w:pPr>
      <w:r w:rsidRPr="004F746E">
        <w:rPr>
          <w:rFonts w:ascii="Bookman Old Style" w:eastAsia="MS Mincho" w:hAnsi="Bookman Old Style"/>
          <w:i/>
          <w:sz w:val="20"/>
          <w:lang w:val="es-CO"/>
        </w:rPr>
        <w:t>Rechazo de la solicitud de imposición de servidumbre de Due Capital and Services S.A.S.</w:t>
      </w:r>
    </w:p>
    <w:p w14:paraId="03A326BC" w14:textId="77777777" w:rsidR="00C00601" w:rsidRPr="004F746E" w:rsidRDefault="00C00601" w:rsidP="001415B5">
      <w:pPr>
        <w:pStyle w:val="Textoindependiente21"/>
        <w:ind w:left="567"/>
        <w:contextualSpacing/>
        <w:rPr>
          <w:rFonts w:ascii="Bookman Old Style" w:eastAsia="MS Mincho" w:hAnsi="Bookman Old Style"/>
          <w:i/>
          <w:sz w:val="20"/>
          <w:lang w:val="es-CO"/>
        </w:rPr>
      </w:pPr>
    </w:p>
    <w:p w14:paraId="71538E0A" w14:textId="77777777" w:rsidR="00C803DD" w:rsidRPr="004F746E" w:rsidRDefault="00C803DD" w:rsidP="001415B5">
      <w:pPr>
        <w:pStyle w:val="Textoindependiente21"/>
        <w:ind w:left="567"/>
        <w:contextualSpacing/>
        <w:rPr>
          <w:rFonts w:ascii="Bookman Old Style" w:eastAsia="MS Mincho" w:hAnsi="Bookman Old Style"/>
          <w:i/>
          <w:sz w:val="20"/>
          <w:lang w:val="es-CO"/>
        </w:rPr>
      </w:pPr>
      <w:r w:rsidRPr="004F746E">
        <w:rPr>
          <w:rFonts w:ascii="Bookman Old Style" w:eastAsia="MS Mincho" w:hAnsi="Bookman Old Style"/>
          <w:i/>
          <w:sz w:val="20"/>
          <w:lang w:val="es-CO"/>
        </w:rPr>
        <w:t xml:space="preserve">Al margen de que a la fecha desconocemos el contenido íntegro de la solicitud de imposición de servidumbre de Due Capital and Services S.A.S., entendemos que la misma debe referir a las solicitudes que previamente se han planteado a GENSA. </w:t>
      </w:r>
    </w:p>
    <w:p w14:paraId="4311F7C8" w14:textId="77777777" w:rsidR="00A803C7" w:rsidRPr="004F746E" w:rsidRDefault="00A803C7" w:rsidP="001415B5">
      <w:pPr>
        <w:pStyle w:val="Textoindependiente21"/>
        <w:ind w:left="567"/>
        <w:contextualSpacing/>
        <w:rPr>
          <w:rFonts w:ascii="Bookman Old Style" w:eastAsia="MS Mincho" w:hAnsi="Bookman Old Style"/>
          <w:i/>
          <w:sz w:val="20"/>
          <w:lang w:val="es-CO"/>
        </w:rPr>
      </w:pPr>
    </w:p>
    <w:p w14:paraId="1F4989EE" w14:textId="073EB143" w:rsidR="00817BD6" w:rsidRPr="00EB56F9" w:rsidRDefault="00C803DD" w:rsidP="001415B5">
      <w:pPr>
        <w:pStyle w:val="Textoindependiente21"/>
        <w:ind w:left="567"/>
        <w:contextualSpacing/>
        <w:rPr>
          <w:rFonts w:ascii="Bookman Old Style" w:eastAsia="MS Mincho" w:hAnsi="Bookman Old Style"/>
          <w:iCs/>
          <w:lang w:val="es-CO"/>
        </w:rPr>
      </w:pPr>
      <w:r w:rsidRPr="004F746E">
        <w:rPr>
          <w:rFonts w:ascii="Bookman Old Style" w:eastAsia="MS Mincho" w:hAnsi="Bookman Old Style"/>
          <w:i/>
          <w:sz w:val="20"/>
          <w:lang w:val="es-CO"/>
        </w:rPr>
        <w:t xml:space="preserve">En ese sentido, tendremos en cuenta dichas solicitudes para exponer dos argumentos por los cuales consideramos que se debe negar </w:t>
      </w:r>
      <w:r w:rsidR="004A70BA" w:rsidRPr="004F746E">
        <w:rPr>
          <w:rFonts w:ascii="Bookman Old Style" w:eastAsia="MS Mincho" w:hAnsi="Bookman Old Style"/>
          <w:i/>
          <w:sz w:val="20"/>
          <w:lang w:val="es-CO"/>
        </w:rPr>
        <w:t>l</w:t>
      </w:r>
      <w:r w:rsidRPr="004F746E">
        <w:rPr>
          <w:rFonts w:ascii="Bookman Old Style" w:eastAsia="MS Mincho" w:hAnsi="Bookman Old Style"/>
          <w:i/>
          <w:sz w:val="20"/>
          <w:lang w:val="es-CO"/>
        </w:rPr>
        <w:t xml:space="preserve">a petición de imposición de servidumbre de Due Capital and Services S.A.S. El primer argumento consiste en que </w:t>
      </w:r>
      <w:r w:rsidRPr="00EB56F9">
        <w:rPr>
          <w:rFonts w:ascii="Bookman Old Style" w:eastAsia="MS Mincho" w:hAnsi="Bookman Old Style"/>
          <w:b/>
          <w:bCs/>
          <w:i/>
          <w:sz w:val="20"/>
          <w:u w:val="single"/>
          <w:lang w:val="es-CO"/>
        </w:rPr>
        <w:t>el bien respecto del cual se solicita acceso no es un bien sobre el que se aplique el derecho de libre acceso</w:t>
      </w:r>
      <w:r w:rsidRPr="004F746E">
        <w:rPr>
          <w:rFonts w:ascii="Bookman Old Style" w:eastAsia="MS Mincho" w:hAnsi="Bookman Old Style"/>
          <w:i/>
          <w:sz w:val="20"/>
          <w:lang w:val="es-CO"/>
        </w:rPr>
        <w:t xml:space="preserve">, y el segundo, que </w:t>
      </w:r>
      <w:r w:rsidR="0039162E" w:rsidRPr="00EB56F9">
        <w:rPr>
          <w:rFonts w:ascii="Bookman Old Style" w:eastAsia="MS Mincho" w:hAnsi="Bookman Old Style"/>
          <w:b/>
          <w:bCs/>
          <w:i/>
          <w:sz w:val="20"/>
          <w:u w:val="single"/>
          <w:lang w:val="es-CO"/>
        </w:rPr>
        <w:t>l</w:t>
      </w:r>
      <w:r w:rsidRPr="00EB56F9">
        <w:rPr>
          <w:rFonts w:ascii="Bookman Old Style" w:eastAsia="MS Mincho" w:hAnsi="Bookman Old Style"/>
          <w:b/>
          <w:bCs/>
          <w:i/>
          <w:sz w:val="20"/>
          <w:u w:val="single"/>
          <w:lang w:val="es-CO"/>
        </w:rPr>
        <w:t>os procedimientos de conexión establecidos en la regulación imponen la obligación de permitir el acceso a Distribuidores y no a Generadores</w:t>
      </w:r>
      <w:r w:rsidRPr="004F746E">
        <w:rPr>
          <w:rFonts w:ascii="Bookman Old Style" w:eastAsia="MS Mincho" w:hAnsi="Bookman Old Style"/>
          <w:i/>
          <w:sz w:val="20"/>
          <w:lang w:val="es-CO"/>
        </w:rPr>
        <w:t>, como lo es GENSA.</w:t>
      </w:r>
      <w:r w:rsidR="00EB56F9">
        <w:rPr>
          <w:rFonts w:ascii="Bookman Old Style" w:eastAsia="MS Mincho" w:hAnsi="Bookman Old Style"/>
          <w:i/>
          <w:sz w:val="20"/>
          <w:lang w:val="es-CO"/>
        </w:rPr>
        <w:t xml:space="preserve"> (…)</w:t>
      </w:r>
      <w:r w:rsidR="009847A9" w:rsidRPr="004F746E">
        <w:rPr>
          <w:rFonts w:ascii="Bookman Old Style" w:eastAsia="MS Mincho" w:hAnsi="Bookman Old Style"/>
          <w:i/>
          <w:sz w:val="20"/>
          <w:lang w:val="es-CO"/>
        </w:rPr>
        <w:t>”</w:t>
      </w:r>
      <w:r w:rsidR="00EB56F9">
        <w:rPr>
          <w:rFonts w:ascii="Bookman Old Style" w:eastAsia="MS Mincho" w:hAnsi="Bookman Old Style"/>
          <w:iCs/>
          <w:sz w:val="20"/>
          <w:lang w:val="es-CO"/>
        </w:rPr>
        <w:t xml:space="preserve"> Resaltado y subrayado fuera de texto</w:t>
      </w:r>
    </w:p>
    <w:p w14:paraId="5DE6C2E5" w14:textId="77777777" w:rsidR="00D414CC" w:rsidRPr="004F746E" w:rsidRDefault="00D414CC" w:rsidP="00C803DD">
      <w:pPr>
        <w:pStyle w:val="Textoindependiente21"/>
        <w:ind w:left="708"/>
        <w:contextualSpacing/>
        <w:rPr>
          <w:rFonts w:ascii="Bookman Old Style" w:eastAsia="MS Mincho" w:hAnsi="Bookman Old Style"/>
          <w:i/>
          <w:lang w:val="es-CO"/>
        </w:rPr>
      </w:pPr>
    </w:p>
    <w:p w14:paraId="616858EF" w14:textId="519B39A7" w:rsidR="00D414CC" w:rsidRPr="004F746E" w:rsidRDefault="00557522" w:rsidP="00F92043">
      <w:pPr>
        <w:pStyle w:val="Textoindependiente21"/>
        <w:ind w:left="284"/>
        <w:contextualSpacing/>
        <w:rPr>
          <w:rFonts w:ascii="Bookman Old Style" w:eastAsia="MS Mincho" w:hAnsi="Bookman Old Style"/>
          <w:sz w:val="24"/>
          <w:lang w:val="es-CO"/>
        </w:rPr>
      </w:pPr>
      <w:r w:rsidRPr="004F746E">
        <w:rPr>
          <w:rFonts w:ascii="Bookman Old Style" w:eastAsia="MS Mincho" w:hAnsi="Bookman Old Style"/>
          <w:sz w:val="24"/>
          <w:lang w:val="es-CO"/>
        </w:rPr>
        <w:t>En relación con el primer argumento</w:t>
      </w:r>
      <w:r w:rsidR="009872BB" w:rsidRPr="004F746E">
        <w:rPr>
          <w:rFonts w:ascii="Bookman Old Style" w:eastAsia="MS Mincho" w:hAnsi="Bookman Old Style"/>
          <w:sz w:val="24"/>
          <w:lang w:val="es-CO"/>
        </w:rPr>
        <w:t xml:space="preserve"> (</w:t>
      </w:r>
      <w:r w:rsidR="009B42CF" w:rsidRPr="004F746E">
        <w:rPr>
          <w:rFonts w:ascii="Bookman Old Style" w:eastAsia="MS Mincho" w:hAnsi="Bookman Old Style"/>
          <w:sz w:val="24"/>
          <w:szCs w:val="24"/>
          <w:lang w:val="es-CO"/>
        </w:rPr>
        <w:t>e</w:t>
      </w:r>
      <w:r w:rsidR="009872BB" w:rsidRPr="005232EC">
        <w:rPr>
          <w:rFonts w:ascii="Bookman Old Style" w:eastAsia="MS Mincho" w:hAnsi="Bookman Old Style"/>
          <w:sz w:val="24"/>
          <w:szCs w:val="24"/>
          <w:lang w:val="es-CO"/>
        </w:rPr>
        <w:t>l bien en el cual se solicita la imposición de servidumbre no está sujeto a libre acceso</w:t>
      </w:r>
      <w:r w:rsidR="001A28F3" w:rsidRPr="004F746E">
        <w:rPr>
          <w:rFonts w:ascii="Bookman Old Style" w:eastAsia="MS Mincho" w:hAnsi="Bookman Old Style"/>
          <w:sz w:val="24"/>
          <w:szCs w:val="24"/>
          <w:lang w:val="es-CO"/>
        </w:rPr>
        <w:t>)</w:t>
      </w:r>
      <w:r w:rsidRPr="004A59D0">
        <w:rPr>
          <w:rFonts w:ascii="Bookman Old Style" w:eastAsia="MS Mincho" w:hAnsi="Bookman Old Style"/>
          <w:sz w:val="24"/>
          <w:szCs w:val="24"/>
          <w:lang w:val="es-CO"/>
        </w:rPr>
        <w:t>,</w:t>
      </w:r>
      <w:r w:rsidRPr="004F746E">
        <w:rPr>
          <w:rFonts w:ascii="Bookman Old Style" w:eastAsia="MS Mincho" w:hAnsi="Bookman Old Style"/>
          <w:sz w:val="24"/>
          <w:lang w:val="es-CO"/>
        </w:rPr>
        <w:t xml:space="preserve"> GENSA</w:t>
      </w:r>
      <w:r w:rsidR="003E7C1A" w:rsidRPr="004F746E">
        <w:rPr>
          <w:rFonts w:ascii="Bookman Old Style" w:eastAsia="MS Mincho" w:hAnsi="Bookman Old Style"/>
          <w:sz w:val="24"/>
          <w:lang w:val="es-CO"/>
        </w:rPr>
        <w:t>, en la citada comunicación</w:t>
      </w:r>
      <w:r w:rsidRPr="004F746E">
        <w:rPr>
          <w:rFonts w:ascii="Bookman Old Style" w:eastAsia="MS Mincho" w:hAnsi="Bookman Old Style"/>
          <w:sz w:val="24"/>
          <w:lang w:val="es-CO"/>
        </w:rPr>
        <w:t xml:space="preserve"> </w:t>
      </w:r>
      <w:r w:rsidR="00BA307E" w:rsidRPr="004F746E">
        <w:rPr>
          <w:rFonts w:ascii="Bookman Old Style" w:eastAsia="MS Mincho" w:hAnsi="Bookman Old Style"/>
          <w:sz w:val="24"/>
          <w:lang w:val="es-CO"/>
        </w:rPr>
        <w:t>(</w:t>
      </w:r>
      <w:r w:rsidR="005E7380">
        <w:rPr>
          <w:rFonts w:ascii="Bookman Old Style" w:eastAsia="MS Mincho" w:hAnsi="Bookman Old Style"/>
          <w:sz w:val="24"/>
          <w:lang w:val="es-CO"/>
        </w:rPr>
        <w:t xml:space="preserve">radicado CREG </w:t>
      </w:r>
      <w:r w:rsidR="00BA307E" w:rsidRPr="004F746E">
        <w:rPr>
          <w:rFonts w:ascii="Bookman Old Style" w:hAnsi="Bookman Old Style"/>
          <w:sz w:val="24"/>
          <w:lang w:val="es-CO"/>
        </w:rPr>
        <w:t xml:space="preserve">E-2019-014169) </w:t>
      </w:r>
      <w:r w:rsidRPr="004F746E">
        <w:rPr>
          <w:rFonts w:ascii="Bookman Old Style" w:eastAsia="MS Mincho" w:hAnsi="Bookman Old Style"/>
          <w:sz w:val="24"/>
          <w:lang w:val="es-CO"/>
        </w:rPr>
        <w:t>manifiesta lo siguiente</w:t>
      </w:r>
      <w:r w:rsidR="003E7C1A" w:rsidRPr="004F746E">
        <w:rPr>
          <w:rFonts w:ascii="Bookman Old Style" w:eastAsia="MS Mincho" w:hAnsi="Bookman Old Style"/>
          <w:sz w:val="24"/>
          <w:lang w:val="es-CO"/>
        </w:rPr>
        <w:t>:</w:t>
      </w:r>
    </w:p>
    <w:p w14:paraId="7444A5AB" w14:textId="77777777" w:rsidR="00557522" w:rsidRPr="004F746E" w:rsidRDefault="00557522" w:rsidP="00F92043">
      <w:pPr>
        <w:pStyle w:val="Textoindependiente21"/>
        <w:ind w:left="284"/>
        <w:contextualSpacing/>
        <w:rPr>
          <w:rFonts w:ascii="Bookman Old Style" w:eastAsia="MS Mincho" w:hAnsi="Bookman Old Style"/>
          <w:sz w:val="24"/>
          <w:lang w:val="es-CO"/>
        </w:rPr>
      </w:pPr>
    </w:p>
    <w:p w14:paraId="5B3D7E69" w14:textId="7F0A3352" w:rsidR="003E7C1A" w:rsidRPr="004F746E" w:rsidRDefault="003E7C1A" w:rsidP="001415B5">
      <w:pPr>
        <w:pStyle w:val="Textoindependiente21"/>
        <w:ind w:left="567"/>
        <w:contextualSpacing/>
        <w:rPr>
          <w:rFonts w:ascii="Bookman Old Style" w:eastAsia="MS Mincho" w:hAnsi="Bookman Old Style"/>
          <w:i/>
          <w:sz w:val="20"/>
          <w:lang w:val="es-CO"/>
        </w:rPr>
      </w:pPr>
      <w:r w:rsidRPr="004F746E">
        <w:rPr>
          <w:rFonts w:ascii="Bookman Old Style" w:eastAsia="MS Mincho" w:hAnsi="Bookman Old Style"/>
          <w:i/>
          <w:sz w:val="20"/>
          <w:lang w:val="es-CO"/>
        </w:rPr>
        <w:t>“</w:t>
      </w:r>
      <w:r w:rsidR="00EB56F9">
        <w:rPr>
          <w:rFonts w:ascii="Bookman Old Style" w:eastAsia="MS Mincho" w:hAnsi="Bookman Old Style"/>
          <w:i/>
          <w:sz w:val="20"/>
          <w:lang w:val="es-CO"/>
        </w:rPr>
        <w:t xml:space="preserve">(…) </w:t>
      </w:r>
      <w:r w:rsidRPr="004F746E">
        <w:rPr>
          <w:rFonts w:ascii="Bookman Old Style" w:eastAsia="MS Mincho" w:hAnsi="Bookman Old Style"/>
          <w:i/>
          <w:sz w:val="20"/>
          <w:lang w:val="es-CO"/>
        </w:rPr>
        <w:t xml:space="preserve">La Ley 143 de 1994, así como la Regulación de la CREG, establecen que el libre acceso en materia de energía eléctrica se predica respecto de los activos destinados a la distribución y transmisión, más no respecto de aquellos que se destinan a la actividad de generación. </w:t>
      </w:r>
    </w:p>
    <w:p w14:paraId="24B7E684" w14:textId="77777777" w:rsidR="000542F0" w:rsidRPr="004F746E" w:rsidRDefault="000542F0" w:rsidP="001415B5">
      <w:pPr>
        <w:pStyle w:val="Textoindependiente21"/>
        <w:ind w:left="567"/>
        <w:contextualSpacing/>
        <w:rPr>
          <w:rFonts w:ascii="Bookman Old Style" w:eastAsia="MS Mincho" w:hAnsi="Bookman Old Style"/>
          <w:i/>
          <w:sz w:val="20"/>
          <w:lang w:val="es-CO"/>
        </w:rPr>
      </w:pPr>
    </w:p>
    <w:p w14:paraId="39AE6FF3" w14:textId="77777777" w:rsidR="000542F0" w:rsidRPr="004F746E" w:rsidRDefault="003E7C1A" w:rsidP="001415B5">
      <w:pPr>
        <w:pStyle w:val="Textoindependiente21"/>
        <w:ind w:left="567"/>
        <w:contextualSpacing/>
        <w:rPr>
          <w:rFonts w:ascii="Bookman Old Style" w:eastAsia="MS Mincho" w:hAnsi="Bookman Old Style"/>
          <w:i/>
          <w:sz w:val="20"/>
          <w:lang w:val="es-CO"/>
        </w:rPr>
      </w:pPr>
      <w:r w:rsidRPr="004F746E">
        <w:rPr>
          <w:rFonts w:ascii="Bookman Old Style" w:eastAsia="MS Mincho" w:hAnsi="Bookman Old Style"/>
          <w:i/>
          <w:sz w:val="20"/>
          <w:lang w:val="es-CO"/>
        </w:rPr>
        <w:t>Por un lado, la Ley 143 de 1994 señala en su artículo 30 la obligación, únicamente para las empresas propietarias de redes de interconexión, transmisión y distribución, de permitir la conexión y acceso de las empresas eléctricas, de otras empresas generadoras y de los usuarios que lo soliciten.</w:t>
      </w:r>
    </w:p>
    <w:p w14:paraId="3C074CBC" w14:textId="77777777" w:rsidR="000542F0" w:rsidRPr="004F746E" w:rsidRDefault="000542F0" w:rsidP="001415B5">
      <w:pPr>
        <w:pStyle w:val="Textoindependiente21"/>
        <w:ind w:left="567"/>
        <w:contextualSpacing/>
        <w:rPr>
          <w:rFonts w:ascii="Bookman Old Style" w:eastAsia="MS Mincho" w:hAnsi="Bookman Old Style"/>
          <w:i/>
          <w:sz w:val="20"/>
          <w:lang w:val="es-CO"/>
        </w:rPr>
      </w:pPr>
    </w:p>
    <w:p w14:paraId="61276280" w14:textId="53F8C7AF" w:rsidR="003E7C1A" w:rsidRPr="004F746E" w:rsidRDefault="003E7C1A" w:rsidP="001415B5">
      <w:pPr>
        <w:pStyle w:val="Textoindependiente21"/>
        <w:ind w:left="567"/>
        <w:contextualSpacing/>
        <w:rPr>
          <w:rFonts w:ascii="Bookman Old Style" w:eastAsia="MS Mincho" w:hAnsi="Bookman Old Style"/>
          <w:i/>
          <w:sz w:val="20"/>
          <w:lang w:val="es-CO"/>
        </w:rPr>
      </w:pPr>
      <w:r w:rsidRPr="004F746E">
        <w:rPr>
          <w:rFonts w:ascii="Bookman Old Style" w:eastAsia="MS Mincho" w:hAnsi="Bookman Old Style"/>
          <w:i/>
          <w:sz w:val="20"/>
          <w:lang w:val="es-CO"/>
        </w:rPr>
        <w:t xml:space="preserve">Por otro lado, la noción de Servidumbre de Acceso que establece la Resolución CREG 001 de 2004 refiere al límite de propiedad que impone la Comisión solamente a los transportadores o distribuidores locales. </w:t>
      </w:r>
      <w:r w:rsidR="00DE5C2B">
        <w:rPr>
          <w:rFonts w:ascii="Bookman Old Style" w:eastAsia="MS Mincho" w:hAnsi="Bookman Old Style"/>
          <w:i/>
          <w:sz w:val="20"/>
          <w:lang w:val="es-CO"/>
        </w:rPr>
        <w:t>(…)”</w:t>
      </w:r>
    </w:p>
    <w:p w14:paraId="09DAAD1A" w14:textId="77777777" w:rsidR="00FE2025" w:rsidRDefault="00FE2025" w:rsidP="00A36F40">
      <w:pPr>
        <w:pStyle w:val="Textoindependiente21"/>
        <w:ind w:left="284"/>
        <w:contextualSpacing/>
        <w:rPr>
          <w:rFonts w:ascii="Bookman Old Style" w:eastAsia="MS Mincho" w:hAnsi="Bookman Old Style"/>
          <w:sz w:val="24"/>
          <w:szCs w:val="24"/>
          <w:lang w:val="es-CO"/>
        </w:rPr>
      </w:pPr>
    </w:p>
    <w:p w14:paraId="013558D9" w14:textId="56CBAD59" w:rsidR="00A36F40" w:rsidRPr="002849EB" w:rsidRDefault="00A36F40" w:rsidP="00A36F40">
      <w:pPr>
        <w:pStyle w:val="Textoindependiente21"/>
        <w:ind w:left="284"/>
        <w:contextualSpacing/>
        <w:rPr>
          <w:rFonts w:ascii="Bookman Old Style" w:eastAsia="MS Mincho" w:hAnsi="Bookman Old Style"/>
          <w:sz w:val="24"/>
          <w:szCs w:val="24"/>
          <w:lang w:val="es-CO"/>
        </w:rPr>
      </w:pPr>
      <w:r w:rsidRPr="002849EB">
        <w:rPr>
          <w:rFonts w:ascii="Bookman Old Style" w:eastAsia="MS Mincho" w:hAnsi="Bookman Old Style"/>
          <w:sz w:val="24"/>
          <w:szCs w:val="24"/>
          <w:lang w:val="es-CO"/>
        </w:rPr>
        <w:t>A</w:t>
      </w:r>
      <w:r w:rsidR="00730F6E" w:rsidRPr="002849EB">
        <w:rPr>
          <w:rFonts w:ascii="Bookman Old Style" w:eastAsia="MS Mincho" w:hAnsi="Bookman Old Style"/>
          <w:sz w:val="24"/>
          <w:szCs w:val="24"/>
          <w:lang w:val="es-CO"/>
        </w:rPr>
        <w:t xml:space="preserve">l respecto, </w:t>
      </w:r>
      <w:r w:rsidR="009148CB" w:rsidRPr="002849EB">
        <w:rPr>
          <w:rFonts w:ascii="Bookman Old Style" w:eastAsia="MS Mincho" w:hAnsi="Bookman Old Style"/>
          <w:sz w:val="24"/>
          <w:szCs w:val="24"/>
          <w:lang w:val="es-CO"/>
        </w:rPr>
        <w:t xml:space="preserve">vale la pena citar lo que establece el artículo 30 de </w:t>
      </w:r>
      <w:r w:rsidR="00986777" w:rsidRPr="002849EB">
        <w:rPr>
          <w:rFonts w:ascii="Bookman Old Style" w:eastAsia="MS Mincho" w:hAnsi="Bookman Old Style"/>
          <w:sz w:val="24"/>
          <w:szCs w:val="24"/>
          <w:lang w:val="es-CO"/>
        </w:rPr>
        <w:t xml:space="preserve">la </w:t>
      </w:r>
      <w:r w:rsidR="00A30562" w:rsidRPr="002849EB">
        <w:rPr>
          <w:rFonts w:ascii="Bookman Old Style" w:eastAsia="MS Mincho" w:hAnsi="Bookman Old Style"/>
          <w:sz w:val="24"/>
          <w:szCs w:val="24"/>
          <w:lang w:val="es-CO"/>
        </w:rPr>
        <w:t>Ley 143 de 1994</w:t>
      </w:r>
      <w:r w:rsidR="0079669E" w:rsidRPr="002849EB">
        <w:rPr>
          <w:rFonts w:ascii="Bookman Old Style" w:eastAsia="MS Mincho" w:hAnsi="Bookman Old Style"/>
          <w:sz w:val="24"/>
          <w:szCs w:val="24"/>
          <w:lang w:val="es-CO"/>
        </w:rPr>
        <w:t>:</w:t>
      </w:r>
    </w:p>
    <w:p w14:paraId="30E23EAE" w14:textId="77777777" w:rsidR="00CD24C4" w:rsidRPr="00A36F40" w:rsidRDefault="00CD24C4" w:rsidP="00A36F40">
      <w:pPr>
        <w:pStyle w:val="Textoindependiente21"/>
        <w:ind w:left="284"/>
        <w:contextualSpacing/>
        <w:rPr>
          <w:rFonts w:ascii="Bookman Old Style" w:eastAsia="MS Mincho" w:hAnsi="Bookman Old Style"/>
          <w:iCs/>
          <w:sz w:val="24"/>
          <w:szCs w:val="24"/>
          <w:highlight w:val="cyan"/>
          <w:lang w:val="es-CO"/>
        </w:rPr>
      </w:pPr>
    </w:p>
    <w:p w14:paraId="3948B0EF" w14:textId="60AF2C91" w:rsidR="00CD24C4" w:rsidRPr="00CD24C4" w:rsidRDefault="00CD24C4" w:rsidP="00CD24C4">
      <w:pPr>
        <w:pStyle w:val="Textoindependiente21"/>
        <w:ind w:left="567"/>
        <w:contextualSpacing/>
        <w:rPr>
          <w:rFonts w:ascii="Bookman Old Style" w:eastAsia="MS Mincho" w:hAnsi="Bookman Old Style"/>
          <w:i/>
          <w:sz w:val="20"/>
          <w:lang w:val="es-CO"/>
        </w:rPr>
      </w:pPr>
      <w:r>
        <w:rPr>
          <w:rFonts w:ascii="Bookman Old Style" w:eastAsia="MS Mincho" w:hAnsi="Bookman Old Style"/>
          <w:i/>
          <w:sz w:val="20"/>
          <w:lang w:val="es-CO"/>
        </w:rPr>
        <w:t>“</w:t>
      </w:r>
      <w:r w:rsidR="005745DE">
        <w:rPr>
          <w:rFonts w:ascii="Bookman Old Style" w:eastAsia="MS Mincho" w:hAnsi="Bookman Old Style"/>
          <w:i/>
          <w:sz w:val="20"/>
          <w:lang w:val="es-CO"/>
        </w:rPr>
        <w:t xml:space="preserve">(…) </w:t>
      </w:r>
      <w:r w:rsidRPr="005745DE">
        <w:rPr>
          <w:rFonts w:ascii="Bookman Old Style" w:eastAsia="MS Mincho" w:hAnsi="Bookman Old Style"/>
          <w:bCs/>
          <w:i/>
          <w:sz w:val="20"/>
          <w:lang w:val="es-CO"/>
        </w:rPr>
        <w:t>Artículo 30.</w:t>
      </w:r>
      <w:r w:rsidRPr="00CD24C4">
        <w:rPr>
          <w:rFonts w:ascii="Bookman Old Style" w:eastAsia="MS Mincho" w:hAnsi="Bookman Old Style"/>
          <w:i/>
          <w:sz w:val="20"/>
          <w:lang w:val="es-CO"/>
        </w:rPr>
        <w:t xml:space="preserve"> Las </w:t>
      </w:r>
      <w:r w:rsidRPr="00FE2025">
        <w:rPr>
          <w:rFonts w:ascii="Bookman Old Style" w:eastAsia="MS Mincho" w:hAnsi="Bookman Old Style"/>
          <w:b/>
          <w:bCs/>
          <w:i/>
          <w:sz w:val="20"/>
          <w:u w:val="single"/>
          <w:lang w:val="es-CO"/>
        </w:rPr>
        <w:t>empresas propietarias de redes de interconexión, transmisión y distribució</w:t>
      </w:r>
      <w:r w:rsidRPr="0050537A">
        <w:rPr>
          <w:rFonts w:ascii="Bookman Old Style" w:eastAsia="MS Mincho" w:hAnsi="Bookman Old Style"/>
          <w:b/>
          <w:bCs/>
          <w:i/>
          <w:sz w:val="20"/>
          <w:u w:val="single"/>
          <w:lang w:val="es-CO"/>
        </w:rPr>
        <w:t>n permitirán la conexión y acceso</w:t>
      </w:r>
      <w:r w:rsidRPr="00CD24C4">
        <w:rPr>
          <w:rFonts w:ascii="Bookman Old Style" w:eastAsia="MS Mincho" w:hAnsi="Bookman Old Style"/>
          <w:i/>
          <w:sz w:val="20"/>
          <w:lang w:val="es-CO"/>
        </w:rPr>
        <w:t xml:space="preserve"> de las empresas eléctricas, de otros agentes generadores y de los usuarios que lo soliciten, previo el cumplimiento de las normas que rijan el servicio y el pago de las retribuciones que correspondan.</w:t>
      </w:r>
    </w:p>
    <w:p w14:paraId="34B898DE" w14:textId="77777777" w:rsidR="00CD24C4" w:rsidRPr="00CD24C4" w:rsidRDefault="00CD24C4" w:rsidP="00CD24C4">
      <w:pPr>
        <w:pStyle w:val="Textoindependiente21"/>
        <w:ind w:left="567"/>
        <w:contextualSpacing/>
        <w:rPr>
          <w:rFonts w:ascii="Bookman Old Style" w:eastAsia="MS Mincho" w:hAnsi="Bookman Old Style"/>
          <w:i/>
          <w:sz w:val="20"/>
          <w:lang w:val="es-CO"/>
        </w:rPr>
      </w:pPr>
    </w:p>
    <w:p w14:paraId="2AF2B7EE" w14:textId="38C8EBD9" w:rsidR="00A36F40" w:rsidRPr="00DD625A" w:rsidRDefault="00CD24C4" w:rsidP="00A36F40">
      <w:pPr>
        <w:pStyle w:val="Textoindependiente21"/>
        <w:ind w:left="567"/>
        <w:contextualSpacing/>
        <w:rPr>
          <w:rFonts w:ascii="Bookman Old Style" w:eastAsia="MS Mincho" w:hAnsi="Bookman Old Style"/>
          <w:iCs/>
          <w:sz w:val="20"/>
          <w:lang w:val="es-CO"/>
        </w:rPr>
      </w:pPr>
      <w:r w:rsidRPr="00CD24C4">
        <w:rPr>
          <w:rFonts w:ascii="Bookman Old Style" w:eastAsia="MS Mincho" w:hAnsi="Bookman Old Style"/>
          <w:i/>
          <w:sz w:val="20"/>
          <w:lang w:val="es-CO"/>
        </w:rPr>
        <w:t>Estas empresas podrán prestar el servicio de servidumbre para telecomunicaciones.</w:t>
      </w:r>
      <w:r w:rsidR="008B73FE">
        <w:rPr>
          <w:rFonts w:ascii="Bookman Old Style" w:eastAsia="MS Mincho" w:hAnsi="Bookman Old Style"/>
          <w:i/>
          <w:sz w:val="20"/>
          <w:lang w:val="es-CO"/>
        </w:rPr>
        <w:t xml:space="preserve"> (…)</w:t>
      </w:r>
      <w:r>
        <w:rPr>
          <w:rFonts w:ascii="Bookman Old Style" w:eastAsia="MS Mincho" w:hAnsi="Bookman Old Style"/>
          <w:i/>
          <w:sz w:val="20"/>
          <w:lang w:val="es-CO"/>
        </w:rPr>
        <w:t>”</w:t>
      </w:r>
      <w:r w:rsidR="00DD625A">
        <w:rPr>
          <w:rFonts w:ascii="Bookman Old Style" w:eastAsia="MS Mincho" w:hAnsi="Bookman Old Style"/>
          <w:i/>
          <w:sz w:val="20"/>
          <w:lang w:val="es-CO"/>
        </w:rPr>
        <w:t xml:space="preserve"> </w:t>
      </w:r>
      <w:r w:rsidR="00DD625A">
        <w:rPr>
          <w:rFonts w:ascii="Bookman Old Style" w:eastAsia="MS Mincho" w:hAnsi="Bookman Old Style"/>
          <w:iCs/>
          <w:sz w:val="20"/>
          <w:lang w:val="es-CO"/>
        </w:rPr>
        <w:t>Resaltado y subrayado fuera de texto</w:t>
      </w:r>
    </w:p>
    <w:p w14:paraId="77BABA98" w14:textId="77FA9ACE" w:rsidR="008B73FE" w:rsidRDefault="008B73FE" w:rsidP="006907C1">
      <w:pPr>
        <w:pStyle w:val="Textoindependiente21"/>
        <w:ind w:left="284"/>
        <w:contextualSpacing/>
        <w:rPr>
          <w:rFonts w:ascii="Bookman Old Style" w:eastAsia="MS Mincho" w:hAnsi="Bookman Old Style"/>
          <w:sz w:val="24"/>
          <w:szCs w:val="24"/>
          <w:lang w:val="es-CO"/>
        </w:rPr>
      </w:pPr>
    </w:p>
    <w:p w14:paraId="0FC84E32" w14:textId="3B4005EC" w:rsidR="00FE2025" w:rsidRDefault="00FE2025" w:rsidP="00FE2025">
      <w:pPr>
        <w:pStyle w:val="Textoindependiente21"/>
        <w:ind w:left="284"/>
        <w:contextualSpacing/>
        <w:rPr>
          <w:rFonts w:ascii="Bookman Old Style" w:eastAsia="MS Mincho" w:hAnsi="Bookman Old Style"/>
          <w:sz w:val="24"/>
          <w:szCs w:val="24"/>
          <w:lang w:val="es-CO"/>
        </w:rPr>
      </w:pPr>
      <w:r>
        <w:rPr>
          <w:rFonts w:ascii="Bookman Old Style" w:eastAsia="MS Mincho" w:hAnsi="Bookman Old Style"/>
          <w:sz w:val="24"/>
          <w:szCs w:val="24"/>
          <w:lang w:val="es-CO"/>
        </w:rPr>
        <w:t xml:space="preserve">Como indica GENSA, en el artículo 30 de la Ley 143 se hace referencia de forma particular a la obligación impuesta </w:t>
      </w:r>
      <w:r w:rsidR="00DD625A">
        <w:rPr>
          <w:rFonts w:ascii="Bookman Old Style" w:eastAsia="MS Mincho" w:hAnsi="Bookman Old Style"/>
          <w:sz w:val="24"/>
          <w:szCs w:val="24"/>
          <w:lang w:val="es-CO"/>
        </w:rPr>
        <w:t xml:space="preserve">a propietarios de </w:t>
      </w:r>
      <w:r w:rsidR="00B05FBD">
        <w:rPr>
          <w:rFonts w:ascii="Bookman Old Style" w:eastAsia="MS Mincho" w:hAnsi="Bookman Old Style"/>
          <w:sz w:val="24"/>
          <w:szCs w:val="24"/>
          <w:lang w:val="es-CO"/>
        </w:rPr>
        <w:t xml:space="preserve">redes </w:t>
      </w:r>
      <w:r>
        <w:rPr>
          <w:rFonts w:ascii="Bookman Old Style" w:eastAsia="MS Mincho" w:hAnsi="Bookman Old Style"/>
          <w:sz w:val="24"/>
          <w:szCs w:val="24"/>
          <w:lang w:val="es-CO"/>
        </w:rPr>
        <w:t>de permitir</w:t>
      </w:r>
      <w:r w:rsidR="00AE711E">
        <w:rPr>
          <w:rFonts w:ascii="Bookman Old Style" w:eastAsia="MS Mincho" w:hAnsi="Bookman Old Style"/>
          <w:sz w:val="24"/>
          <w:szCs w:val="24"/>
          <w:lang w:val="es-CO"/>
        </w:rPr>
        <w:t xml:space="preserve"> la conexión y acceso</w:t>
      </w:r>
      <w:r w:rsidR="00EE1930">
        <w:rPr>
          <w:rFonts w:ascii="Bookman Old Style" w:eastAsia="MS Mincho" w:hAnsi="Bookman Old Style"/>
          <w:sz w:val="24"/>
          <w:szCs w:val="24"/>
          <w:lang w:val="es-CO"/>
        </w:rPr>
        <w:t xml:space="preserve"> a dicha infraestructura</w:t>
      </w:r>
      <w:r w:rsidR="00294832">
        <w:rPr>
          <w:rFonts w:ascii="Bookman Old Style" w:eastAsia="MS Mincho" w:hAnsi="Bookman Old Style"/>
          <w:sz w:val="24"/>
          <w:szCs w:val="24"/>
          <w:lang w:val="es-CO"/>
        </w:rPr>
        <w:t xml:space="preserve"> y</w:t>
      </w:r>
      <w:r w:rsidR="008B55FF">
        <w:rPr>
          <w:rFonts w:ascii="Bookman Old Style" w:eastAsia="MS Mincho" w:hAnsi="Bookman Old Style"/>
          <w:sz w:val="24"/>
          <w:szCs w:val="24"/>
          <w:lang w:val="es-CO"/>
        </w:rPr>
        <w:t xml:space="preserve">, </w:t>
      </w:r>
      <w:r w:rsidR="00663005">
        <w:rPr>
          <w:rFonts w:ascii="Bookman Old Style" w:eastAsia="MS Mincho" w:hAnsi="Bookman Old Style"/>
          <w:sz w:val="24"/>
          <w:szCs w:val="24"/>
          <w:lang w:val="es-CO"/>
        </w:rPr>
        <w:t xml:space="preserve">como </w:t>
      </w:r>
      <w:r w:rsidR="008B55FF">
        <w:rPr>
          <w:rFonts w:ascii="Bookman Old Style" w:eastAsia="MS Mincho" w:hAnsi="Bookman Old Style"/>
          <w:sz w:val="24"/>
          <w:szCs w:val="24"/>
          <w:lang w:val="es-CO"/>
        </w:rPr>
        <w:t>queda probado en desarrollo de la actuación,</w:t>
      </w:r>
      <w:r w:rsidR="00ED6349">
        <w:rPr>
          <w:rFonts w:ascii="Bookman Old Style" w:eastAsia="MS Mincho" w:hAnsi="Bookman Old Style"/>
          <w:sz w:val="24"/>
          <w:szCs w:val="24"/>
          <w:lang w:val="es-CO"/>
        </w:rPr>
        <w:t xml:space="preserve"> GENSA</w:t>
      </w:r>
      <w:r w:rsidR="008B55FF">
        <w:rPr>
          <w:rFonts w:ascii="Bookman Old Style" w:eastAsia="MS Mincho" w:hAnsi="Bookman Old Style"/>
          <w:sz w:val="24"/>
          <w:szCs w:val="24"/>
          <w:lang w:val="es-CO"/>
        </w:rPr>
        <w:t xml:space="preserve"> no es propietaria de la infraestructura</w:t>
      </w:r>
      <w:r w:rsidR="007F1F8E">
        <w:rPr>
          <w:rFonts w:ascii="Bookman Old Style" w:eastAsia="MS Mincho" w:hAnsi="Bookman Old Style"/>
          <w:sz w:val="24"/>
          <w:szCs w:val="24"/>
          <w:lang w:val="es-CO"/>
        </w:rPr>
        <w:t>,</w:t>
      </w:r>
      <w:r w:rsidR="008B55FF">
        <w:rPr>
          <w:rFonts w:ascii="Bookman Old Style" w:eastAsia="MS Mincho" w:hAnsi="Bookman Old Style"/>
          <w:sz w:val="24"/>
          <w:szCs w:val="24"/>
          <w:lang w:val="es-CO"/>
        </w:rPr>
        <w:t xml:space="preserve"> </w:t>
      </w:r>
      <w:r w:rsidR="007A4D61">
        <w:rPr>
          <w:rFonts w:ascii="Bookman Old Style" w:eastAsia="MS Mincho" w:hAnsi="Bookman Old Style"/>
          <w:sz w:val="24"/>
          <w:szCs w:val="24"/>
          <w:lang w:val="es-CO"/>
        </w:rPr>
        <w:t xml:space="preserve">y el activo </w:t>
      </w:r>
      <w:r w:rsidR="0054756A">
        <w:rPr>
          <w:rFonts w:ascii="Bookman Old Style" w:eastAsia="MS Mincho" w:hAnsi="Bookman Old Style"/>
          <w:sz w:val="24"/>
          <w:szCs w:val="24"/>
          <w:lang w:val="es-CO"/>
        </w:rPr>
        <w:t xml:space="preserve">al que se pretende la conexión </w:t>
      </w:r>
      <w:r w:rsidR="007977EE">
        <w:rPr>
          <w:rFonts w:ascii="Bookman Old Style" w:eastAsia="MS Mincho" w:hAnsi="Bookman Old Style"/>
          <w:sz w:val="24"/>
          <w:szCs w:val="24"/>
          <w:lang w:val="es-CO"/>
        </w:rPr>
        <w:t xml:space="preserve">se encuentra relacionado como activo de generación en el contrato </w:t>
      </w:r>
      <w:r w:rsidR="00162D0C" w:rsidRPr="00162D0C">
        <w:rPr>
          <w:rFonts w:ascii="Bookman Old Style" w:eastAsia="MS Mincho" w:hAnsi="Bookman Old Style"/>
          <w:sz w:val="24"/>
          <w:szCs w:val="24"/>
          <w:lang w:val="es-CO"/>
        </w:rPr>
        <w:t xml:space="preserve">GGC 209 </w:t>
      </w:r>
      <w:r w:rsidR="00162D0C">
        <w:rPr>
          <w:rFonts w:ascii="Bookman Old Style" w:eastAsia="MS Mincho" w:hAnsi="Bookman Old Style"/>
          <w:sz w:val="24"/>
          <w:szCs w:val="24"/>
          <w:lang w:val="es-CO"/>
        </w:rPr>
        <w:t>–</w:t>
      </w:r>
      <w:r w:rsidR="00162D0C" w:rsidRPr="00162D0C">
        <w:rPr>
          <w:rFonts w:ascii="Bookman Old Style" w:eastAsia="MS Mincho" w:hAnsi="Bookman Old Style"/>
          <w:sz w:val="24"/>
          <w:szCs w:val="24"/>
          <w:lang w:val="es-CO"/>
        </w:rPr>
        <w:t xml:space="preserve"> 2013</w:t>
      </w:r>
      <w:r w:rsidR="00162D0C">
        <w:rPr>
          <w:rFonts w:ascii="Bookman Old Style" w:eastAsia="MS Mincho" w:hAnsi="Bookman Old Style"/>
          <w:sz w:val="24"/>
          <w:szCs w:val="24"/>
          <w:lang w:val="es-CO"/>
        </w:rPr>
        <w:t>.</w:t>
      </w:r>
    </w:p>
    <w:p w14:paraId="132CF6C0" w14:textId="77777777" w:rsidR="00A1770C" w:rsidRDefault="00A1770C" w:rsidP="006907C1">
      <w:pPr>
        <w:pStyle w:val="Textoindependiente21"/>
        <w:ind w:left="284"/>
        <w:contextualSpacing/>
        <w:rPr>
          <w:rFonts w:ascii="Bookman Old Style" w:eastAsia="MS Mincho" w:hAnsi="Bookman Old Style"/>
          <w:sz w:val="24"/>
          <w:szCs w:val="24"/>
          <w:lang w:val="es-CO"/>
        </w:rPr>
      </w:pPr>
    </w:p>
    <w:p w14:paraId="7C9983F1" w14:textId="3FD06CD2" w:rsidR="006907C1" w:rsidRDefault="008E7613" w:rsidP="006907C1">
      <w:pPr>
        <w:pStyle w:val="Textoindependiente21"/>
        <w:ind w:left="284"/>
        <w:contextualSpacing/>
        <w:rPr>
          <w:rFonts w:ascii="Bookman Old Style" w:eastAsia="MS Mincho" w:hAnsi="Bookman Old Style"/>
          <w:sz w:val="24"/>
          <w:szCs w:val="24"/>
          <w:lang w:val="es-CO"/>
        </w:rPr>
      </w:pPr>
      <w:r>
        <w:rPr>
          <w:rFonts w:ascii="Bookman Old Style" w:eastAsia="MS Mincho" w:hAnsi="Bookman Old Style"/>
          <w:sz w:val="24"/>
          <w:szCs w:val="24"/>
          <w:lang w:val="es-CO"/>
        </w:rPr>
        <w:t xml:space="preserve">Sin perjuicio de lo anterior, </w:t>
      </w:r>
      <w:r w:rsidR="007F1F8E">
        <w:rPr>
          <w:rFonts w:ascii="Bookman Old Style" w:eastAsia="MS Mincho" w:hAnsi="Bookman Old Style"/>
          <w:sz w:val="24"/>
          <w:szCs w:val="24"/>
          <w:lang w:val="es-CO"/>
        </w:rPr>
        <w:t>e</w:t>
      </w:r>
      <w:r w:rsidR="00DE3993">
        <w:rPr>
          <w:rFonts w:ascii="Bookman Old Style" w:eastAsia="MS Mincho" w:hAnsi="Bookman Old Style"/>
          <w:sz w:val="24"/>
          <w:szCs w:val="24"/>
          <w:lang w:val="es-CO"/>
        </w:rPr>
        <w:t xml:space="preserve">n el </w:t>
      </w:r>
      <w:r w:rsidR="00DE3993" w:rsidRPr="00A1770C">
        <w:rPr>
          <w:rFonts w:ascii="Bookman Old Style" w:eastAsia="MS Mincho" w:hAnsi="Bookman Old Style"/>
          <w:sz w:val="24"/>
          <w:szCs w:val="24"/>
          <w:lang w:val="es-CO"/>
        </w:rPr>
        <w:t>T</w:t>
      </w:r>
      <w:r w:rsidR="00DE3993">
        <w:rPr>
          <w:rFonts w:ascii="Bookman Old Style" w:eastAsia="MS Mincho" w:hAnsi="Bookman Old Style"/>
          <w:sz w:val="24"/>
          <w:szCs w:val="24"/>
          <w:lang w:val="es-CO"/>
        </w:rPr>
        <w:t>í</w:t>
      </w:r>
      <w:r w:rsidR="00DE3993" w:rsidRPr="00A1770C">
        <w:rPr>
          <w:rFonts w:ascii="Bookman Old Style" w:eastAsia="MS Mincho" w:hAnsi="Bookman Old Style"/>
          <w:sz w:val="24"/>
          <w:szCs w:val="24"/>
          <w:lang w:val="es-CO"/>
        </w:rPr>
        <w:t>tulo IX</w:t>
      </w:r>
      <w:r w:rsidR="00DE3993">
        <w:rPr>
          <w:rFonts w:ascii="Bookman Old Style" w:eastAsia="MS Mincho" w:hAnsi="Bookman Old Style"/>
          <w:sz w:val="24"/>
          <w:szCs w:val="24"/>
          <w:lang w:val="es-CO"/>
        </w:rPr>
        <w:t xml:space="preserve">, </w:t>
      </w:r>
      <w:r w:rsidR="00DE3993" w:rsidRPr="00A1770C">
        <w:rPr>
          <w:rFonts w:ascii="Bookman Old Style" w:eastAsia="MS Mincho" w:hAnsi="Bookman Old Style"/>
          <w:sz w:val="24"/>
          <w:szCs w:val="24"/>
          <w:lang w:val="es-CO"/>
        </w:rPr>
        <w:t>Normas Especiales Para Algunos Servicios</w:t>
      </w:r>
      <w:r w:rsidR="00DE3993">
        <w:rPr>
          <w:rFonts w:ascii="Bookman Old Style" w:eastAsia="MS Mincho" w:hAnsi="Bookman Old Style"/>
          <w:sz w:val="24"/>
          <w:szCs w:val="24"/>
          <w:lang w:val="es-CO"/>
        </w:rPr>
        <w:t xml:space="preserve">, </w:t>
      </w:r>
      <w:r w:rsidR="00DE3993" w:rsidRPr="003129F1">
        <w:rPr>
          <w:rFonts w:ascii="Bookman Old Style" w:eastAsia="MS Mincho" w:hAnsi="Bookman Old Style"/>
          <w:sz w:val="24"/>
          <w:szCs w:val="24"/>
          <w:lang w:val="es-CO"/>
        </w:rPr>
        <w:t>Cap</w:t>
      </w:r>
      <w:r w:rsidR="00DE3993">
        <w:rPr>
          <w:rFonts w:ascii="Bookman Old Style" w:eastAsia="MS Mincho" w:hAnsi="Bookman Old Style"/>
          <w:sz w:val="24"/>
          <w:szCs w:val="24"/>
          <w:lang w:val="es-CO"/>
        </w:rPr>
        <w:t>í</w:t>
      </w:r>
      <w:r w:rsidR="00DE3993" w:rsidRPr="003129F1">
        <w:rPr>
          <w:rFonts w:ascii="Bookman Old Style" w:eastAsia="MS Mincho" w:hAnsi="Bookman Old Style"/>
          <w:sz w:val="24"/>
          <w:szCs w:val="24"/>
          <w:lang w:val="es-CO"/>
        </w:rPr>
        <w:t>tulo II</w:t>
      </w:r>
      <w:r w:rsidR="00DE3993">
        <w:rPr>
          <w:rFonts w:ascii="Bookman Old Style" w:eastAsia="MS Mincho" w:hAnsi="Bookman Old Style"/>
          <w:sz w:val="24"/>
          <w:szCs w:val="24"/>
          <w:lang w:val="es-CO"/>
        </w:rPr>
        <w:t xml:space="preserve">, </w:t>
      </w:r>
      <w:r w:rsidR="00DE3993" w:rsidRPr="003129F1">
        <w:rPr>
          <w:rFonts w:ascii="Bookman Old Style" w:eastAsia="MS Mincho" w:hAnsi="Bookman Old Style"/>
          <w:sz w:val="24"/>
          <w:szCs w:val="24"/>
          <w:lang w:val="es-CO"/>
        </w:rPr>
        <w:t>Energ</w:t>
      </w:r>
      <w:r w:rsidR="00DE3993">
        <w:rPr>
          <w:rFonts w:ascii="Bookman Old Style" w:eastAsia="MS Mincho" w:hAnsi="Bookman Old Style"/>
          <w:sz w:val="24"/>
          <w:szCs w:val="24"/>
          <w:lang w:val="es-CO"/>
        </w:rPr>
        <w:t>í</w:t>
      </w:r>
      <w:r w:rsidR="00DE3993" w:rsidRPr="003129F1">
        <w:rPr>
          <w:rFonts w:ascii="Bookman Old Style" w:eastAsia="MS Mincho" w:hAnsi="Bookman Old Style"/>
          <w:sz w:val="24"/>
          <w:szCs w:val="24"/>
          <w:lang w:val="es-CO"/>
        </w:rPr>
        <w:t>a El</w:t>
      </w:r>
      <w:r w:rsidR="00DE3993">
        <w:rPr>
          <w:rFonts w:ascii="Bookman Old Style" w:eastAsia="MS Mincho" w:hAnsi="Bookman Old Style"/>
          <w:sz w:val="24"/>
          <w:szCs w:val="24"/>
          <w:lang w:val="es-CO"/>
        </w:rPr>
        <w:t>é</w:t>
      </w:r>
      <w:r w:rsidR="00DE3993" w:rsidRPr="003129F1">
        <w:rPr>
          <w:rFonts w:ascii="Bookman Old Style" w:eastAsia="MS Mincho" w:hAnsi="Bookman Old Style"/>
          <w:sz w:val="24"/>
          <w:szCs w:val="24"/>
          <w:lang w:val="es-CO"/>
        </w:rPr>
        <w:t xml:space="preserve">ctrica </w:t>
      </w:r>
      <w:r w:rsidR="00DE3993">
        <w:rPr>
          <w:rFonts w:ascii="Bookman Old Style" w:eastAsia="MS Mincho" w:hAnsi="Bookman Old Style"/>
          <w:sz w:val="24"/>
          <w:szCs w:val="24"/>
          <w:lang w:val="es-CO"/>
        </w:rPr>
        <w:t>y</w:t>
      </w:r>
      <w:r w:rsidR="00DE3993" w:rsidRPr="003129F1">
        <w:rPr>
          <w:rFonts w:ascii="Bookman Old Style" w:eastAsia="MS Mincho" w:hAnsi="Bookman Old Style"/>
          <w:sz w:val="24"/>
          <w:szCs w:val="24"/>
          <w:lang w:val="es-CO"/>
        </w:rPr>
        <w:t xml:space="preserve"> Gas Combustible</w:t>
      </w:r>
      <w:r w:rsidR="00DE3993">
        <w:rPr>
          <w:rFonts w:ascii="Bookman Old Style" w:eastAsia="MS Mincho" w:hAnsi="Bookman Old Style"/>
          <w:sz w:val="24"/>
          <w:szCs w:val="24"/>
          <w:lang w:val="es-CO"/>
        </w:rPr>
        <w:t xml:space="preserve">, </w:t>
      </w:r>
      <w:r w:rsidR="00F519AA">
        <w:rPr>
          <w:rFonts w:ascii="Bookman Old Style" w:eastAsia="MS Mincho" w:hAnsi="Bookman Old Style"/>
          <w:sz w:val="24"/>
          <w:szCs w:val="24"/>
          <w:lang w:val="es-CO"/>
        </w:rPr>
        <w:t>A</w:t>
      </w:r>
      <w:r w:rsidR="006907C1" w:rsidRPr="00277838">
        <w:rPr>
          <w:rFonts w:ascii="Bookman Old Style" w:eastAsia="MS Mincho" w:hAnsi="Bookman Old Style"/>
          <w:sz w:val="24"/>
          <w:szCs w:val="24"/>
          <w:lang w:val="es-CO"/>
        </w:rPr>
        <w:t>rtículo 170</w:t>
      </w:r>
      <w:r w:rsidR="00F519AA">
        <w:rPr>
          <w:rFonts w:ascii="Bookman Old Style" w:eastAsia="MS Mincho" w:hAnsi="Bookman Old Style"/>
          <w:sz w:val="24"/>
          <w:szCs w:val="24"/>
          <w:lang w:val="es-CO"/>
        </w:rPr>
        <w:t>,</w:t>
      </w:r>
      <w:r w:rsidR="006907C1" w:rsidRPr="00277838">
        <w:rPr>
          <w:rFonts w:ascii="Bookman Old Style" w:eastAsia="MS Mincho" w:hAnsi="Bookman Old Style"/>
          <w:sz w:val="24"/>
          <w:szCs w:val="24"/>
          <w:lang w:val="es-CO"/>
        </w:rPr>
        <w:t xml:space="preserve"> de la Ley 142 </w:t>
      </w:r>
      <w:r w:rsidR="00DD69E6">
        <w:rPr>
          <w:rFonts w:ascii="Bookman Old Style" w:eastAsia="MS Mincho" w:hAnsi="Bookman Old Style"/>
          <w:sz w:val="24"/>
          <w:szCs w:val="24"/>
          <w:lang w:val="es-CO"/>
        </w:rPr>
        <w:t>de 1994</w:t>
      </w:r>
      <w:r w:rsidR="007F1F8E">
        <w:rPr>
          <w:rFonts w:ascii="Bookman Old Style" w:eastAsia="MS Mincho" w:hAnsi="Bookman Old Style"/>
          <w:sz w:val="24"/>
          <w:szCs w:val="24"/>
          <w:lang w:val="es-CO"/>
        </w:rPr>
        <w:t>,</w:t>
      </w:r>
      <w:r w:rsidR="00DD69E6">
        <w:rPr>
          <w:rFonts w:ascii="Bookman Old Style" w:eastAsia="MS Mincho" w:hAnsi="Bookman Old Style"/>
          <w:sz w:val="24"/>
          <w:szCs w:val="24"/>
          <w:lang w:val="es-CO"/>
        </w:rPr>
        <w:t xml:space="preserve"> </w:t>
      </w:r>
      <w:r w:rsidR="0001484E">
        <w:rPr>
          <w:rFonts w:ascii="Bookman Old Style" w:eastAsia="MS Mincho" w:hAnsi="Bookman Old Style"/>
          <w:sz w:val="24"/>
          <w:szCs w:val="24"/>
          <w:lang w:val="es-CO"/>
        </w:rPr>
        <w:t>se tiene prevista la misma obligación</w:t>
      </w:r>
      <w:r w:rsidR="006907C1">
        <w:rPr>
          <w:rFonts w:ascii="Bookman Old Style" w:eastAsia="MS Mincho" w:hAnsi="Bookman Old Style"/>
          <w:sz w:val="24"/>
          <w:szCs w:val="24"/>
          <w:lang w:val="es-CO"/>
        </w:rPr>
        <w:t>:</w:t>
      </w:r>
    </w:p>
    <w:p w14:paraId="5D6BAA32" w14:textId="77777777" w:rsidR="00CD209C" w:rsidRPr="00277838" w:rsidRDefault="00CD209C" w:rsidP="006907C1">
      <w:pPr>
        <w:pStyle w:val="Textoindependiente21"/>
        <w:ind w:left="284"/>
        <w:contextualSpacing/>
        <w:rPr>
          <w:rFonts w:ascii="Bookman Old Style" w:eastAsia="MS Mincho" w:hAnsi="Bookman Old Style"/>
          <w:sz w:val="24"/>
          <w:szCs w:val="24"/>
          <w:lang w:val="es-CO"/>
        </w:rPr>
      </w:pPr>
    </w:p>
    <w:p w14:paraId="594BEF72" w14:textId="64629A1C" w:rsidR="006907C1" w:rsidRDefault="006907C1" w:rsidP="006907C1">
      <w:pPr>
        <w:pStyle w:val="Textoindependiente21"/>
        <w:ind w:left="567"/>
        <w:contextualSpacing/>
        <w:rPr>
          <w:rFonts w:ascii="Bookman Old Style" w:eastAsia="MS Mincho" w:hAnsi="Bookman Old Style"/>
          <w:i/>
          <w:sz w:val="20"/>
          <w:lang w:val="es-CO"/>
        </w:rPr>
      </w:pPr>
      <w:r w:rsidRPr="00CD209C">
        <w:rPr>
          <w:rFonts w:ascii="Bookman Old Style" w:eastAsia="MS Mincho" w:hAnsi="Bookman Old Style"/>
          <w:i/>
          <w:sz w:val="20"/>
          <w:lang w:val="es-CO"/>
        </w:rPr>
        <w:t>“</w:t>
      </w:r>
      <w:r w:rsidR="00CD209C">
        <w:rPr>
          <w:rFonts w:ascii="Bookman Old Style" w:eastAsia="MS Mincho" w:hAnsi="Bookman Old Style"/>
          <w:i/>
          <w:sz w:val="20"/>
          <w:lang w:val="es-CO"/>
        </w:rPr>
        <w:t xml:space="preserve">(…) </w:t>
      </w:r>
      <w:r w:rsidRPr="00CD209C">
        <w:rPr>
          <w:rFonts w:ascii="Bookman Old Style" w:eastAsia="MS Mincho" w:hAnsi="Bookman Old Style"/>
          <w:i/>
          <w:sz w:val="20"/>
          <w:lang w:val="es-CO"/>
        </w:rPr>
        <w:t>Artículo 170</w:t>
      </w:r>
      <w:r w:rsidRPr="00F73865">
        <w:rPr>
          <w:rFonts w:ascii="Bookman Old Style" w:eastAsia="MS Mincho" w:hAnsi="Bookman Old Style"/>
          <w:b/>
          <w:bCs/>
          <w:i/>
          <w:sz w:val="20"/>
          <w:lang w:val="es-CO"/>
        </w:rPr>
        <w:t>.</w:t>
      </w:r>
      <w:r w:rsidRPr="00316011">
        <w:rPr>
          <w:rFonts w:ascii="Bookman Old Style" w:eastAsia="MS Mincho" w:hAnsi="Bookman Old Style"/>
          <w:i/>
          <w:sz w:val="20"/>
          <w:lang w:val="es-CO"/>
        </w:rPr>
        <w:t xml:space="preserve"> Deber de facilitar la interconexión. </w:t>
      </w:r>
      <w:r w:rsidRPr="0050537A">
        <w:rPr>
          <w:rFonts w:ascii="Bookman Old Style" w:eastAsia="MS Mincho" w:hAnsi="Bookman Old Style"/>
          <w:b/>
          <w:bCs/>
          <w:i/>
          <w:sz w:val="20"/>
          <w:u w:val="single"/>
          <w:lang w:val="es-CO"/>
        </w:rPr>
        <w:t>Sin perjuicio de lo dispuesto en otras partes de esta Ley, las empresas propietarias de redes de interconexión, transmisión y distribución permitirán la conexión y acceso</w:t>
      </w:r>
      <w:r w:rsidRPr="00316011">
        <w:rPr>
          <w:rFonts w:ascii="Bookman Old Style" w:eastAsia="MS Mincho" w:hAnsi="Bookman Old Style"/>
          <w:i/>
          <w:sz w:val="20"/>
          <w:lang w:val="es-CO"/>
        </w:rPr>
        <w:t xml:space="preserve"> de las empresas eléctricas, de otras empresas generadoras y de los usuarios que lo soliciten, previo el cumplimiento de las normas que rijan el servicio y el pago de las retribuciones que correspondan.</w:t>
      </w:r>
      <w:r w:rsidR="00393A8A">
        <w:rPr>
          <w:rFonts w:ascii="Bookman Old Style" w:eastAsia="MS Mincho" w:hAnsi="Bookman Old Style"/>
          <w:i/>
          <w:sz w:val="20"/>
          <w:lang w:val="es-CO"/>
        </w:rPr>
        <w:t xml:space="preserve"> (…)</w:t>
      </w:r>
      <w:r>
        <w:rPr>
          <w:rFonts w:ascii="Bookman Old Style" w:eastAsia="MS Mincho" w:hAnsi="Bookman Old Style"/>
          <w:i/>
          <w:sz w:val="20"/>
          <w:lang w:val="es-CO"/>
        </w:rPr>
        <w:t>”</w:t>
      </w:r>
    </w:p>
    <w:p w14:paraId="7E794459" w14:textId="77777777" w:rsidR="00393A8A" w:rsidRDefault="00393A8A" w:rsidP="002849EB">
      <w:pPr>
        <w:pStyle w:val="Textoindependiente21"/>
        <w:ind w:left="284"/>
        <w:contextualSpacing/>
        <w:rPr>
          <w:rFonts w:ascii="Bookman Old Style" w:eastAsia="MS Mincho" w:hAnsi="Bookman Old Style"/>
          <w:iCs/>
          <w:sz w:val="24"/>
          <w:szCs w:val="24"/>
          <w:lang w:val="es-CO"/>
        </w:rPr>
      </w:pPr>
    </w:p>
    <w:p w14:paraId="25F1C4EE" w14:textId="6A5676CC" w:rsidR="00393A8A" w:rsidRDefault="004E0CA0" w:rsidP="002849EB">
      <w:pPr>
        <w:pStyle w:val="Textoindependiente21"/>
        <w:ind w:left="284"/>
        <w:contextualSpacing/>
        <w:rPr>
          <w:rFonts w:ascii="Bookman Old Style" w:eastAsia="MS Mincho" w:hAnsi="Bookman Old Style"/>
          <w:iCs/>
          <w:sz w:val="24"/>
          <w:szCs w:val="24"/>
          <w:lang w:val="es-CO"/>
        </w:rPr>
      </w:pPr>
      <w:r>
        <w:rPr>
          <w:rFonts w:ascii="Bookman Old Style" w:eastAsia="MS Mincho" w:hAnsi="Bookman Old Style"/>
          <w:iCs/>
          <w:sz w:val="24"/>
          <w:szCs w:val="24"/>
          <w:lang w:val="es-CO"/>
        </w:rPr>
        <w:t>E</w:t>
      </w:r>
      <w:r w:rsidR="00391199">
        <w:rPr>
          <w:rFonts w:ascii="Bookman Old Style" w:eastAsia="MS Mincho" w:hAnsi="Bookman Old Style"/>
          <w:iCs/>
          <w:sz w:val="24"/>
          <w:szCs w:val="24"/>
          <w:lang w:val="es-CO"/>
        </w:rPr>
        <w:t>n este artículo de la Ley 142 de 1994 se establece</w:t>
      </w:r>
      <w:r w:rsidR="00017C12">
        <w:rPr>
          <w:rFonts w:ascii="Bookman Old Style" w:eastAsia="MS Mincho" w:hAnsi="Bookman Old Style"/>
          <w:iCs/>
          <w:sz w:val="24"/>
          <w:szCs w:val="24"/>
          <w:lang w:val="es-CO"/>
        </w:rPr>
        <w:t>n</w:t>
      </w:r>
      <w:r w:rsidR="00276063">
        <w:rPr>
          <w:rFonts w:ascii="Bookman Old Style" w:eastAsia="MS Mincho" w:hAnsi="Bookman Old Style"/>
          <w:iCs/>
          <w:sz w:val="24"/>
          <w:szCs w:val="24"/>
          <w:lang w:val="es-CO"/>
        </w:rPr>
        <w:t xml:space="preserve"> </w:t>
      </w:r>
      <w:r w:rsidR="00D05D42">
        <w:rPr>
          <w:rFonts w:ascii="Bookman Old Style" w:eastAsia="MS Mincho" w:hAnsi="Bookman Old Style"/>
          <w:iCs/>
          <w:sz w:val="24"/>
          <w:szCs w:val="24"/>
          <w:lang w:val="es-CO"/>
        </w:rPr>
        <w:t xml:space="preserve">las </w:t>
      </w:r>
      <w:r w:rsidR="00391199">
        <w:rPr>
          <w:rFonts w:ascii="Bookman Old Style" w:eastAsia="MS Mincho" w:hAnsi="Bookman Old Style"/>
          <w:iCs/>
          <w:sz w:val="24"/>
          <w:szCs w:val="24"/>
          <w:lang w:val="es-CO"/>
        </w:rPr>
        <w:t>obligaci</w:t>
      </w:r>
      <w:r w:rsidR="00C40A47">
        <w:rPr>
          <w:rFonts w:ascii="Bookman Old Style" w:eastAsia="MS Mincho" w:hAnsi="Bookman Old Style"/>
          <w:iCs/>
          <w:sz w:val="24"/>
          <w:szCs w:val="24"/>
          <w:lang w:val="es-CO"/>
        </w:rPr>
        <w:t>o</w:t>
      </w:r>
      <w:r w:rsidR="00391199">
        <w:rPr>
          <w:rFonts w:ascii="Bookman Old Style" w:eastAsia="MS Mincho" w:hAnsi="Bookman Old Style"/>
          <w:iCs/>
          <w:sz w:val="24"/>
          <w:szCs w:val="24"/>
          <w:lang w:val="es-CO"/>
        </w:rPr>
        <w:t>n</w:t>
      </w:r>
      <w:r w:rsidR="00C40A47">
        <w:rPr>
          <w:rFonts w:ascii="Bookman Old Style" w:eastAsia="MS Mincho" w:hAnsi="Bookman Old Style"/>
          <w:iCs/>
          <w:sz w:val="24"/>
          <w:szCs w:val="24"/>
          <w:lang w:val="es-CO"/>
        </w:rPr>
        <w:t>es de permitir la conexión y acceso</w:t>
      </w:r>
      <w:r w:rsidR="004553F7">
        <w:rPr>
          <w:rFonts w:ascii="Bookman Old Style" w:eastAsia="MS Mincho" w:hAnsi="Bookman Old Style"/>
          <w:iCs/>
          <w:sz w:val="24"/>
          <w:szCs w:val="24"/>
          <w:lang w:val="es-CO"/>
        </w:rPr>
        <w:t>,</w:t>
      </w:r>
      <w:r w:rsidR="00C40A47">
        <w:rPr>
          <w:rFonts w:ascii="Bookman Old Style" w:eastAsia="MS Mincho" w:hAnsi="Bookman Old Style"/>
          <w:iCs/>
          <w:sz w:val="24"/>
          <w:szCs w:val="24"/>
          <w:lang w:val="es-CO"/>
        </w:rPr>
        <w:t xml:space="preserve"> </w:t>
      </w:r>
      <w:r w:rsidR="00065130">
        <w:rPr>
          <w:rFonts w:ascii="Bookman Old Style" w:eastAsia="MS Mincho" w:hAnsi="Bookman Old Style"/>
          <w:iCs/>
          <w:sz w:val="24"/>
          <w:szCs w:val="24"/>
          <w:lang w:val="es-CO"/>
        </w:rPr>
        <w:t xml:space="preserve">indicando adicionalmente que </w:t>
      </w:r>
      <w:r w:rsidR="00F56331">
        <w:rPr>
          <w:rFonts w:ascii="Bookman Old Style" w:eastAsia="MS Mincho" w:hAnsi="Bookman Old Style"/>
          <w:iCs/>
          <w:sz w:val="24"/>
          <w:szCs w:val="24"/>
          <w:lang w:val="es-CO"/>
        </w:rPr>
        <w:t xml:space="preserve">las mismas se definen sin perjuicio de </w:t>
      </w:r>
      <w:r w:rsidR="00FB4F78">
        <w:rPr>
          <w:rFonts w:ascii="Bookman Old Style" w:eastAsia="MS Mincho" w:hAnsi="Bookman Old Style"/>
          <w:iCs/>
          <w:sz w:val="24"/>
          <w:szCs w:val="24"/>
          <w:lang w:val="es-CO"/>
        </w:rPr>
        <w:t>otras disposiciones de esa misma Ley.</w:t>
      </w:r>
    </w:p>
    <w:p w14:paraId="2E7C1156" w14:textId="77777777" w:rsidR="00393A8A" w:rsidRDefault="00393A8A" w:rsidP="002849EB">
      <w:pPr>
        <w:pStyle w:val="Textoindependiente21"/>
        <w:ind w:left="284"/>
        <w:contextualSpacing/>
        <w:rPr>
          <w:rFonts w:ascii="Bookman Old Style" w:eastAsia="MS Mincho" w:hAnsi="Bookman Old Style"/>
          <w:iCs/>
          <w:sz w:val="24"/>
          <w:szCs w:val="24"/>
          <w:lang w:val="es-CO"/>
        </w:rPr>
      </w:pPr>
    </w:p>
    <w:p w14:paraId="37E4F1BC" w14:textId="1B79017A" w:rsidR="00606135" w:rsidRDefault="00B05A95" w:rsidP="002849EB">
      <w:pPr>
        <w:pStyle w:val="Textoindependiente21"/>
        <w:ind w:left="284"/>
        <w:contextualSpacing/>
        <w:rPr>
          <w:rFonts w:ascii="Bookman Old Style" w:eastAsia="MS Mincho" w:hAnsi="Bookman Old Style"/>
          <w:iCs/>
          <w:sz w:val="24"/>
          <w:szCs w:val="24"/>
          <w:lang w:val="es-CO"/>
        </w:rPr>
      </w:pPr>
      <w:r>
        <w:rPr>
          <w:rFonts w:ascii="Bookman Old Style" w:eastAsia="MS Mincho" w:hAnsi="Bookman Old Style"/>
          <w:iCs/>
          <w:sz w:val="24"/>
          <w:szCs w:val="24"/>
          <w:lang w:val="es-CO"/>
        </w:rPr>
        <w:t>Al respecto</w:t>
      </w:r>
      <w:r w:rsidR="007E7AAB">
        <w:rPr>
          <w:rFonts w:ascii="Bookman Old Style" w:eastAsia="MS Mincho" w:hAnsi="Bookman Old Style"/>
          <w:iCs/>
          <w:sz w:val="24"/>
          <w:szCs w:val="24"/>
          <w:lang w:val="es-CO"/>
        </w:rPr>
        <w:t xml:space="preserve">, </w:t>
      </w:r>
      <w:r w:rsidR="000D568D">
        <w:rPr>
          <w:rFonts w:ascii="Bookman Old Style" w:eastAsia="MS Mincho" w:hAnsi="Bookman Old Style"/>
          <w:iCs/>
          <w:sz w:val="24"/>
          <w:szCs w:val="24"/>
          <w:lang w:val="es-CO"/>
        </w:rPr>
        <w:t>au</w:t>
      </w:r>
      <w:r w:rsidR="00444E28">
        <w:rPr>
          <w:rFonts w:ascii="Bookman Old Style" w:eastAsia="MS Mincho" w:hAnsi="Bookman Old Style"/>
          <w:iCs/>
          <w:sz w:val="24"/>
          <w:szCs w:val="24"/>
          <w:lang w:val="es-CO"/>
        </w:rPr>
        <w:t>n</w:t>
      </w:r>
      <w:r w:rsidR="000D568D">
        <w:rPr>
          <w:rFonts w:ascii="Bookman Old Style" w:eastAsia="MS Mincho" w:hAnsi="Bookman Old Style"/>
          <w:iCs/>
          <w:sz w:val="24"/>
          <w:szCs w:val="24"/>
          <w:lang w:val="es-CO"/>
        </w:rPr>
        <w:t>q</w:t>
      </w:r>
      <w:r w:rsidR="00444E28">
        <w:rPr>
          <w:rFonts w:ascii="Bookman Old Style" w:eastAsia="MS Mincho" w:hAnsi="Bookman Old Style"/>
          <w:iCs/>
          <w:sz w:val="24"/>
          <w:szCs w:val="24"/>
          <w:lang w:val="es-CO"/>
        </w:rPr>
        <w:t>u</w:t>
      </w:r>
      <w:r w:rsidR="000D568D">
        <w:rPr>
          <w:rFonts w:ascii="Bookman Old Style" w:eastAsia="MS Mincho" w:hAnsi="Bookman Old Style"/>
          <w:iCs/>
          <w:sz w:val="24"/>
          <w:szCs w:val="24"/>
          <w:lang w:val="es-CO"/>
        </w:rPr>
        <w:t>e</w:t>
      </w:r>
      <w:r w:rsidR="00EB2FAC">
        <w:rPr>
          <w:rFonts w:ascii="Bookman Old Style" w:eastAsia="MS Mincho" w:hAnsi="Bookman Old Style"/>
          <w:iCs/>
          <w:sz w:val="24"/>
          <w:szCs w:val="24"/>
          <w:lang w:val="es-CO"/>
        </w:rPr>
        <w:t xml:space="preserve"> </w:t>
      </w:r>
      <w:r w:rsidR="003010A2">
        <w:rPr>
          <w:rFonts w:ascii="Bookman Old Style" w:eastAsia="MS Mincho" w:hAnsi="Bookman Old Style"/>
          <w:iCs/>
          <w:sz w:val="24"/>
          <w:szCs w:val="24"/>
          <w:lang w:val="es-CO"/>
        </w:rPr>
        <w:t xml:space="preserve">los </w:t>
      </w:r>
      <w:r w:rsidR="00F1431E">
        <w:rPr>
          <w:rFonts w:ascii="Bookman Old Style" w:eastAsia="MS Mincho" w:hAnsi="Bookman Old Style"/>
          <w:iCs/>
          <w:sz w:val="24"/>
          <w:szCs w:val="24"/>
          <w:lang w:val="es-CO"/>
        </w:rPr>
        <w:t>artículo</w:t>
      </w:r>
      <w:r w:rsidR="003010A2">
        <w:rPr>
          <w:rFonts w:ascii="Bookman Old Style" w:eastAsia="MS Mincho" w:hAnsi="Bookman Old Style"/>
          <w:iCs/>
          <w:sz w:val="24"/>
          <w:szCs w:val="24"/>
          <w:lang w:val="es-CO"/>
        </w:rPr>
        <w:t>s</w:t>
      </w:r>
      <w:r w:rsidR="00F1431E">
        <w:rPr>
          <w:rFonts w:ascii="Bookman Old Style" w:eastAsia="MS Mincho" w:hAnsi="Bookman Old Style"/>
          <w:iCs/>
          <w:sz w:val="24"/>
          <w:szCs w:val="24"/>
          <w:lang w:val="es-CO"/>
        </w:rPr>
        <w:t xml:space="preserve"> transcrito</w:t>
      </w:r>
      <w:r w:rsidR="003010A2">
        <w:rPr>
          <w:rFonts w:ascii="Bookman Old Style" w:eastAsia="MS Mincho" w:hAnsi="Bookman Old Style"/>
          <w:iCs/>
          <w:sz w:val="24"/>
          <w:szCs w:val="24"/>
          <w:lang w:val="es-CO"/>
        </w:rPr>
        <w:t>s</w:t>
      </w:r>
      <w:r w:rsidR="00F1431E">
        <w:rPr>
          <w:rFonts w:ascii="Bookman Old Style" w:eastAsia="MS Mincho" w:hAnsi="Bookman Old Style"/>
          <w:iCs/>
          <w:sz w:val="24"/>
          <w:szCs w:val="24"/>
          <w:lang w:val="es-CO"/>
        </w:rPr>
        <w:t xml:space="preserve"> </w:t>
      </w:r>
      <w:r w:rsidR="00BA3D72">
        <w:rPr>
          <w:rFonts w:ascii="Bookman Old Style" w:eastAsia="MS Mincho" w:hAnsi="Bookman Old Style"/>
          <w:iCs/>
          <w:sz w:val="24"/>
          <w:szCs w:val="24"/>
          <w:lang w:val="es-CO"/>
        </w:rPr>
        <w:t xml:space="preserve">anteriormente </w:t>
      </w:r>
      <w:r w:rsidR="00D873A5">
        <w:rPr>
          <w:rFonts w:ascii="Bookman Old Style" w:eastAsia="MS Mincho" w:hAnsi="Bookman Old Style"/>
          <w:sz w:val="24"/>
          <w:szCs w:val="24"/>
          <w:lang w:val="es-CO"/>
        </w:rPr>
        <w:t>hacen</w:t>
      </w:r>
      <w:r w:rsidR="002849EB" w:rsidRPr="00F1431E">
        <w:rPr>
          <w:rFonts w:ascii="Bookman Old Style" w:eastAsia="MS Mincho" w:hAnsi="Bookman Old Style"/>
          <w:sz w:val="24"/>
          <w:szCs w:val="24"/>
          <w:lang w:val="es-CO"/>
        </w:rPr>
        <w:t xml:space="preserve"> referencia </w:t>
      </w:r>
      <w:r w:rsidR="00DD6CAD">
        <w:rPr>
          <w:rFonts w:ascii="Bookman Old Style" w:eastAsia="MS Mincho" w:hAnsi="Bookman Old Style"/>
          <w:sz w:val="24"/>
          <w:szCs w:val="24"/>
          <w:lang w:val="es-CO"/>
        </w:rPr>
        <w:t xml:space="preserve">de forma particular </w:t>
      </w:r>
      <w:r w:rsidR="002849EB" w:rsidRPr="00F1431E">
        <w:rPr>
          <w:rFonts w:ascii="Bookman Old Style" w:eastAsia="MS Mincho" w:hAnsi="Bookman Old Style"/>
          <w:sz w:val="24"/>
          <w:szCs w:val="24"/>
          <w:lang w:val="es-CO"/>
        </w:rPr>
        <w:t xml:space="preserve">a empresas propietarias </w:t>
      </w:r>
      <w:r w:rsidR="00AF053C">
        <w:rPr>
          <w:rFonts w:ascii="Bookman Old Style" w:eastAsia="MS Mincho" w:hAnsi="Bookman Old Style"/>
          <w:sz w:val="24"/>
          <w:szCs w:val="24"/>
          <w:lang w:val="es-CO"/>
        </w:rPr>
        <w:t xml:space="preserve">y a </w:t>
      </w:r>
      <w:r w:rsidR="002849EB" w:rsidRPr="00F1431E">
        <w:rPr>
          <w:rFonts w:ascii="Bookman Old Style" w:eastAsia="MS Mincho" w:hAnsi="Bookman Old Style"/>
          <w:sz w:val="24"/>
          <w:szCs w:val="24"/>
          <w:lang w:val="es-CO"/>
        </w:rPr>
        <w:t xml:space="preserve">redes de interconexión, transmisión y distribución, el artículo 11 de la Ley 142 </w:t>
      </w:r>
      <w:r w:rsidR="00606135">
        <w:rPr>
          <w:rFonts w:ascii="Bookman Old Style" w:eastAsia="MS Mincho" w:hAnsi="Bookman Old Style"/>
          <w:iCs/>
          <w:sz w:val="24"/>
          <w:szCs w:val="24"/>
          <w:lang w:val="es-CO"/>
        </w:rPr>
        <w:t xml:space="preserve">de 1994 </w:t>
      </w:r>
      <w:r w:rsidR="002849EB" w:rsidRPr="00F1431E">
        <w:rPr>
          <w:rFonts w:ascii="Bookman Old Style" w:eastAsia="MS Mincho" w:hAnsi="Bookman Old Style"/>
          <w:sz w:val="24"/>
          <w:szCs w:val="24"/>
          <w:lang w:val="es-CO"/>
        </w:rPr>
        <w:t xml:space="preserve">hace referencia </w:t>
      </w:r>
      <w:r w:rsidR="003760F4">
        <w:rPr>
          <w:rFonts w:ascii="Bookman Old Style" w:eastAsia="MS Mincho" w:hAnsi="Bookman Old Style"/>
          <w:iCs/>
          <w:sz w:val="24"/>
          <w:szCs w:val="24"/>
          <w:lang w:val="es-CO"/>
        </w:rPr>
        <w:t>a la</w:t>
      </w:r>
      <w:r w:rsidR="002849EB" w:rsidRPr="00F1431E">
        <w:rPr>
          <w:rFonts w:ascii="Bookman Old Style" w:eastAsia="MS Mincho" w:hAnsi="Bookman Old Style"/>
          <w:sz w:val="24"/>
          <w:szCs w:val="24"/>
          <w:lang w:val="es-CO"/>
        </w:rPr>
        <w:t xml:space="preserve"> </w:t>
      </w:r>
      <w:r w:rsidR="0057684E">
        <w:rPr>
          <w:rFonts w:ascii="Bookman Old Style" w:eastAsia="MS Mincho" w:hAnsi="Bookman Old Style"/>
          <w:sz w:val="24"/>
          <w:szCs w:val="24"/>
          <w:lang w:val="es-CO"/>
        </w:rPr>
        <w:t xml:space="preserve">obligación de </w:t>
      </w:r>
      <w:r w:rsidR="00461077">
        <w:rPr>
          <w:rFonts w:ascii="Bookman Old Style" w:eastAsia="MS Mincho" w:hAnsi="Bookman Old Style"/>
          <w:sz w:val="24"/>
          <w:szCs w:val="24"/>
          <w:lang w:val="es-CO"/>
        </w:rPr>
        <w:t>facilitar el acceso e interconexión de forma general:</w:t>
      </w:r>
    </w:p>
    <w:p w14:paraId="5295FEDC" w14:textId="77777777" w:rsidR="00316011" w:rsidRDefault="00316011" w:rsidP="002849EB">
      <w:pPr>
        <w:pStyle w:val="Textoindependiente21"/>
        <w:ind w:left="284"/>
        <w:contextualSpacing/>
        <w:rPr>
          <w:rFonts w:ascii="Bookman Old Style" w:eastAsia="MS Mincho" w:hAnsi="Bookman Old Style"/>
          <w:iCs/>
          <w:sz w:val="24"/>
          <w:szCs w:val="24"/>
          <w:lang w:val="es-CO"/>
        </w:rPr>
      </w:pPr>
    </w:p>
    <w:p w14:paraId="520C133A" w14:textId="52B20339" w:rsidR="00BB1F91" w:rsidRDefault="00BB1F91" w:rsidP="007F1F8E">
      <w:pPr>
        <w:pStyle w:val="Textoindependiente21"/>
        <w:ind w:left="567"/>
        <w:contextualSpacing/>
        <w:rPr>
          <w:rFonts w:ascii="Bookman Old Style" w:eastAsia="MS Mincho" w:hAnsi="Bookman Old Style"/>
          <w:i/>
          <w:sz w:val="20"/>
          <w:lang w:val="es-CO"/>
        </w:rPr>
      </w:pPr>
      <w:r w:rsidRPr="00BB1F91">
        <w:rPr>
          <w:rFonts w:ascii="Bookman Old Style" w:eastAsia="MS Mincho" w:hAnsi="Bookman Old Style"/>
          <w:i/>
          <w:sz w:val="20"/>
          <w:lang w:val="es-CO"/>
        </w:rPr>
        <w:t>“</w:t>
      </w:r>
      <w:r w:rsidR="006E145C">
        <w:rPr>
          <w:rFonts w:ascii="Bookman Old Style" w:eastAsia="MS Mincho" w:hAnsi="Bookman Old Style"/>
          <w:i/>
          <w:sz w:val="20"/>
          <w:lang w:val="es-CO"/>
        </w:rPr>
        <w:t xml:space="preserve">(…) </w:t>
      </w:r>
      <w:r w:rsidR="005C17EE" w:rsidRPr="00BB1F91">
        <w:rPr>
          <w:rFonts w:ascii="Bookman Old Style" w:eastAsia="MS Mincho" w:hAnsi="Bookman Old Style"/>
          <w:i/>
          <w:sz w:val="20"/>
          <w:lang w:val="es-CO"/>
        </w:rPr>
        <w:t xml:space="preserve">ARTÍCULO 11. FUNCIÓN SOCIAL DE LA PROPIEDAD EN LAS ENTIDADES PRESTADORAS DE SERVICIOS PÚBLICOS. Para cumplir con la función social de la propiedad, pública o privada, </w:t>
      </w:r>
      <w:r w:rsidR="005C17EE" w:rsidRPr="00476F5A">
        <w:rPr>
          <w:rFonts w:ascii="Bookman Old Style" w:eastAsia="MS Mincho" w:hAnsi="Bookman Old Style"/>
          <w:b/>
          <w:bCs/>
          <w:i/>
          <w:sz w:val="20"/>
          <w:u w:val="single"/>
          <w:lang w:val="es-CO"/>
        </w:rPr>
        <w:t>las entidades que presten servicios públicos</w:t>
      </w:r>
      <w:r w:rsidR="005C17EE" w:rsidRPr="00BB1F91">
        <w:rPr>
          <w:rFonts w:ascii="Bookman Old Style" w:eastAsia="MS Mincho" w:hAnsi="Bookman Old Style"/>
          <w:i/>
          <w:sz w:val="20"/>
          <w:lang w:val="es-CO"/>
        </w:rPr>
        <w:t xml:space="preserve"> tienen las siguientes obligaciones:</w:t>
      </w:r>
      <w:r w:rsidR="00B71650">
        <w:rPr>
          <w:rFonts w:ascii="Bookman Old Style" w:eastAsia="MS Mincho" w:hAnsi="Bookman Old Style"/>
          <w:i/>
          <w:sz w:val="20"/>
          <w:lang w:val="es-CO"/>
        </w:rPr>
        <w:t xml:space="preserve"> </w:t>
      </w:r>
      <w:r>
        <w:rPr>
          <w:rFonts w:ascii="Bookman Old Style" w:eastAsia="MS Mincho" w:hAnsi="Bookman Old Style"/>
          <w:i/>
          <w:sz w:val="20"/>
          <w:lang w:val="es-CO"/>
        </w:rPr>
        <w:t>(…)</w:t>
      </w:r>
    </w:p>
    <w:p w14:paraId="7123E734" w14:textId="77777777" w:rsidR="00BB1F91" w:rsidRPr="00BB1F91" w:rsidRDefault="00BB1F91" w:rsidP="007F1F8E">
      <w:pPr>
        <w:pStyle w:val="Textoindependiente21"/>
        <w:ind w:left="567"/>
        <w:contextualSpacing/>
        <w:rPr>
          <w:rFonts w:ascii="Bookman Old Style" w:eastAsia="MS Mincho" w:hAnsi="Bookman Old Style"/>
          <w:i/>
          <w:sz w:val="20"/>
          <w:lang w:val="es-CO"/>
        </w:rPr>
      </w:pPr>
    </w:p>
    <w:p w14:paraId="097A8167" w14:textId="3AFCCCB3" w:rsidR="005C17EE" w:rsidRPr="00BB1F91" w:rsidRDefault="005C17EE" w:rsidP="007F1F8E">
      <w:pPr>
        <w:pStyle w:val="Textoindependiente21"/>
        <w:ind w:left="567"/>
        <w:contextualSpacing/>
        <w:rPr>
          <w:rFonts w:ascii="Bookman Old Style" w:eastAsia="MS Mincho" w:hAnsi="Bookman Old Style"/>
          <w:i/>
          <w:sz w:val="20"/>
          <w:lang w:val="es-CO"/>
        </w:rPr>
      </w:pPr>
      <w:r w:rsidRPr="00BB1F91">
        <w:rPr>
          <w:rFonts w:ascii="Bookman Old Style" w:eastAsia="MS Mincho" w:hAnsi="Bookman Old Style"/>
          <w:i/>
          <w:sz w:val="20"/>
          <w:lang w:val="es-CO"/>
        </w:rPr>
        <w:t xml:space="preserve">11.6. </w:t>
      </w:r>
      <w:r w:rsidRPr="00BB191A">
        <w:rPr>
          <w:rFonts w:ascii="Bookman Old Style" w:eastAsia="MS Mincho" w:hAnsi="Bookman Old Style"/>
          <w:b/>
          <w:bCs/>
          <w:i/>
          <w:sz w:val="20"/>
          <w:u w:val="single"/>
          <w:lang w:val="es-CO"/>
        </w:rPr>
        <w:t>Facilitar el acceso e interconexión</w:t>
      </w:r>
      <w:r w:rsidRPr="00BB1F91">
        <w:rPr>
          <w:rFonts w:ascii="Bookman Old Style" w:eastAsia="MS Mincho" w:hAnsi="Bookman Old Style"/>
          <w:i/>
          <w:sz w:val="20"/>
          <w:lang w:val="es-CO"/>
        </w:rPr>
        <w:t xml:space="preserve"> de otras empresas o entidades que prestan servicios públicos, o que sean grandes usuarios de ellos, </w:t>
      </w:r>
      <w:r w:rsidRPr="00BB191A">
        <w:rPr>
          <w:rFonts w:ascii="Bookman Old Style" w:eastAsia="MS Mincho" w:hAnsi="Bookman Old Style"/>
          <w:b/>
          <w:bCs/>
          <w:i/>
          <w:sz w:val="20"/>
          <w:u w:val="single"/>
          <w:lang w:val="es-CO"/>
        </w:rPr>
        <w:t>a los bienes empleados para la organización y prestación de los servicios</w:t>
      </w:r>
      <w:r w:rsidRPr="00BB1F91">
        <w:rPr>
          <w:rFonts w:ascii="Bookman Old Style" w:eastAsia="MS Mincho" w:hAnsi="Bookman Old Style"/>
          <w:i/>
          <w:sz w:val="20"/>
          <w:lang w:val="es-CO"/>
        </w:rPr>
        <w:t>.</w:t>
      </w:r>
      <w:r w:rsidR="00BB1F91" w:rsidRPr="00BB1F91">
        <w:rPr>
          <w:rFonts w:ascii="Bookman Old Style" w:eastAsia="MS Mincho" w:hAnsi="Bookman Old Style"/>
          <w:i/>
          <w:sz w:val="20"/>
          <w:lang w:val="es-CO"/>
        </w:rPr>
        <w:t>”</w:t>
      </w:r>
    </w:p>
    <w:p w14:paraId="38FE37C5" w14:textId="77777777" w:rsidR="005A61DE" w:rsidRDefault="005A61DE" w:rsidP="002804AD">
      <w:pPr>
        <w:pStyle w:val="Textoindependiente21"/>
        <w:ind w:left="284"/>
        <w:contextualSpacing/>
        <w:rPr>
          <w:rFonts w:ascii="Bookman Old Style" w:eastAsia="MS Mincho" w:hAnsi="Bookman Old Style"/>
          <w:iCs/>
          <w:sz w:val="24"/>
          <w:szCs w:val="24"/>
          <w:lang w:val="es-CO"/>
        </w:rPr>
      </w:pPr>
    </w:p>
    <w:p w14:paraId="71BD6945" w14:textId="77777777" w:rsidR="00184B0B" w:rsidRDefault="00F27977" w:rsidP="002804AD">
      <w:pPr>
        <w:pStyle w:val="Textoindependiente21"/>
        <w:ind w:left="284"/>
        <w:contextualSpacing/>
        <w:rPr>
          <w:rFonts w:ascii="Bookman Old Style" w:eastAsia="MS Mincho" w:hAnsi="Bookman Old Style"/>
          <w:iCs/>
          <w:sz w:val="24"/>
          <w:szCs w:val="24"/>
          <w:lang w:val="es-CO"/>
        </w:rPr>
      </w:pPr>
      <w:r>
        <w:rPr>
          <w:rFonts w:ascii="Bookman Old Style" w:eastAsia="MS Mincho" w:hAnsi="Bookman Old Style"/>
          <w:iCs/>
          <w:sz w:val="24"/>
          <w:szCs w:val="24"/>
          <w:lang w:val="es-CO"/>
        </w:rPr>
        <w:t>En ese sentido</w:t>
      </w:r>
      <w:r w:rsidR="009F2099">
        <w:rPr>
          <w:rFonts w:ascii="Bookman Old Style" w:eastAsia="MS Mincho" w:hAnsi="Bookman Old Style"/>
          <w:iCs/>
          <w:sz w:val="24"/>
          <w:szCs w:val="24"/>
          <w:lang w:val="es-CO"/>
        </w:rPr>
        <w:t>,</w:t>
      </w:r>
      <w:r>
        <w:rPr>
          <w:rFonts w:ascii="Bookman Old Style" w:eastAsia="MS Mincho" w:hAnsi="Bookman Old Style"/>
          <w:iCs/>
          <w:sz w:val="24"/>
          <w:szCs w:val="24"/>
          <w:lang w:val="es-CO"/>
        </w:rPr>
        <w:t xml:space="preserve"> </w:t>
      </w:r>
      <w:r w:rsidR="009F2099">
        <w:rPr>
          <w:rFonts w:ascii="Bookman Old Style" w:eastAsia="MS Mincho" w:hAnsi="Bookman Old Style"/>
          <w:iCs/>
          <w:sz w:val="24"/>
          <w:szCs w:val="24"/>
          <w:lang w:val="es-CO"/>
        </w:rPr>
        <w:t>en e</w:t>
      </w:r>
      <w:r w:rsidR="000021E1">
        <w:rPr>
          <w:rFonts w:ascii="Bookman Old Style" w:eastAsia="MS Mincho" w:hAnsi="Bookman Old Style"/>
          <w:iCs/>
          <w:sz w:val="24"/>
          <w:szCs w:val="24"/>
          <w:lang w:val="es-CO"/>
        </w:rPr>
        <w:t>l artículo 11 de la Ley 142 de 1994</w:t>
      </w:r>
      <w:r w:rsidR="002A5FEC">
        <w:rPr>
          <w:rFonts w:ascii="Bookman Old Style" w:eastAsia="MS Mincho" w:hAnsi="Bookman Old Style"/>
          <w:iCs/>
          <w:sz w:val="24"/>
          <w:szCs w:val="24"/>
          <w:lang w:val="es-CO"/>
        </w:rPr>
        <w:t xml:space="preserve">, </w:t>
      </w:r>
      <w:r w:rsidR="000021E1">
        <w:rPr>
          <w:rFonts w:ascii="Bookman Old Style" w:eastAsia="MS Mincho" w:hAnsi="Bookman Old Style"/>
          <w:iCs/>
          <w:sz w:val="24"/>
          <w:szCs w:val="24"/>
          <w:lang w:val="es-CO"/>
        </w:rPr>
        <w:t xml:space="preserve">no se </w:t>
      </w:r>
      <w:r w:rsidR="007A0FAC">
        <w:rPr>
          <w:rFonts w:ascii="Bookman Old Style" w:eastAsia="MS Mincho" w:hAnsi="Bookman Old Style"/>
          <w:iCs/>
          <w:sz w:val="24"/>
          <w:szCs w:val="24"/>
          <w:lang w:val="es-CO"/>
        </w:rPr>
        <w:t xml:space="preserve">hace </w:t>
      </w:r>
      <w:r w:rsidR="000021E1">
        <w:rPr>
          <w:rFonts w:ascii="Bookman Old Style" w:eastAsia="MS Mincho" w:hAnsi="Bookman Old Style"/>
          <w:iCs/>
          <w:sz w:val="24"/>
          <w:szCs w:val="24"/>
          <w:lang w:val="es-CO"/>
        </w:rPr>
        <w:t>refer</w:t>
      </w:r>
      <w:r w:rsidR="007A0FAC">
        <w:rPr>
          <w:rFonts w:ascii="Bookman Old Style" w:eastAsia="MS Mincho" w:hAnsi="Bookman Old Style"/>
          <w:iCs/>
          <w:sz w:val="24"/>
          <w:szCs w:val="24"/>
          <w:lang w:val="es-CO"/>
        </w:rPr>
        <w:t>encia</w:t>
      </w:r>
      <w:r w:rsidR="000021E1">
        <w:rPr>
          <w:rFonts w:ascii="Bookman Old Style" w:eastAsia="MS Mincho" w:hAnsi="Bookman Old Style"/>
          <w:iCs/>
          <w:sz w:val="24"/>
          <w:szCs w:val="24"/>
          <w:lang w:val="es-CO"/>
        </w:rPr>
        <w:t xml:space="preserve"> solamente a propietarios, sino que </w:t>
      </w:r>
      <w:r w:rsidR="008955F6">
        <w:rPr>
          <w:rFonts w:ascii="Bookman Old Style" w:eastAsia="MS Mincho" w:hAnsi="Bookman Old Style"/>
          <w:iCs/>
          <w:sz w:val="24"/>
          <w:szCs w:val="24"/>
          <w:lang w:val="es-CO"/>
        </w:rPr>
        <w:t xml:space="preserve">se establece la obligación a </w:t>
      </w:r>
      <w:r w:rsidR="000021E1" w:rsidRPr="0056663D">
        <w:rPr>
          <w:rFonts w:ascii="Bookman Old Style" w:eastAsia="MS Mincho" w:hAnsi="Bookman Old Style"/>
          <w:iCs/>
          <w:sz w:val="24"/>
          <w:szCs w:val="24"/>
          <w:lang w:val="es-CO"/>
        </w:rPr>
        <w:t>entidades que presten servicios públicos</w:t>
      </w:r>
      <w:r w:rsidR="000021E1">
        <w:rPr>
          <w:rFonts w:ascii="Bookman Old Style" w:eastAsia="MS Mincho" w:hAnsi="Bookman Old Style"/>
          <w:iCs/>
          <w:sz w:val="24"/>
          <w:szCs w:val="24"/>
          <w:lang w:val="es-CO"/>
        </w:rPr>
        <w:t xml:space="preserve">, </w:t>
      </w:r>
      <w:r w:rsidR="00116EAE">
        <w:rPr>
          <w:rFonts w:ascii="Bookman Old Style" w:eastAsia="MS Mincho" w:hAnsi="Bookman Old Style"/>
          <w:iCs/>
          <w:sz w:val="24"/>
          <w:szCs w:val="24"/>
          <w:lang w:val="es-CO"/>
        </w:rPr>
        <w:t xml:space="preserve">dentro de las cuales se encuentra </w:t>
      </w:r>
      <w:r w:rsidR="000021E1">
        <w:rPr>
          <w:rFonts w:ascii="Bookman Old Style" w:eastAsia="MS Mincho" w:hAnsi="Bookman Old Style"/>
          <w:iCs/>
          <w:sz w:val="24"/>
          <w:szCs w:val="24"/>
          <w:lang w:val="es-CO"/>
        </w:rPr>
        <w:t>GENSA</w:t>
      </w:r>
      <w:r w:rsidR="00866327">
        <w:rPr>
          <w:rFonts w:ascii="Bookman Old Style" w:eastAsia="MS Mincho" w:hAnsi="Bookman Old Style"/>
          <w:iCs/>
          <w:sz w:val="24"/>
          <w:szCs w:val="24"/>
          <w:lang w:val="es-CO"/>
        </w:rPr>
        <w:t>,</w:t>
      </w:r>
      <w:r w:rsidR="00116EAE">
        <w:rPr>
          <w:rFonts w:ascii="Bookman Old Style" w:eastAsia="MS Mincho" w:hAnsi="Bookman Old Style"/>
          <w:iCs/>
          <w:sz w:val="24"/>
          <w:szCs w:val="24"/>
          <w:lang w:val="es-CO"/>
        </w:rPr>
        <w:t xml:space="preserve"> como generador de energía eléctrica, según lo reporta</w:t>
      </w:r>
      <w:r w:rsidR="006A7978">
        <w:rPr>
          <w:rFonts w:ascii="Bookman Old Style" w:eastAsia="MS Mincho" w:hAnsi="Bookman Old Style"/>
          <w:iCs/>
          <w:sz w:val="24"/>
          <w:szCs w:val="24"/>
          <w:lang w:val="es-CO"/>
        </w:rPr>
        <w:t>do</w:t>
      </w:r>
      <w:r w:rsidR="00116EAE">
        <w:rPr>
          <w:rFonts w:ascii="Bookman Old Style" w:eastAsia="MS Mincho" w:hAnsi="Bookman Old Style"/>
          <w:iCs/>
          <w:sz w:val="24"/>
          <w:szCs w:val="24"/>
          <w:lang w:val="es-CO"/>
        </w:rPr>
        <w:t xml:space="preserve"> por ella misma a la SSPD</w:t>
      </w:r>
      <w:r w:rsidR="000021E1">
        <w:rPr>
          <w:rFonts w:ascii="Bookman Old Style" w:eastAsia="MS Mincho" w:hAnsi="Bookman Old Style"/>
          <w:iCs/>
          <w:sz w:val="24"/>
          <w:szCs w:val="24"/>
          <w:lang w:val="es-CO"/>
        </w:rPr>
        <w:t>.</w:t>
      </w:r>
    </w:p>
    <w:p w14:paraId="6220329C" w14:textId="77777777" w:rsidR="00184B0B" w:rsidRDefault="00184B0B" w:rsidP="002804AD">
      <w:pPr>
        <w:pStyle w:val="Textoindependiente21"/>
        <w:ind w:left="284"/>
        <w:contextualSpacing/>
        <w:rPr>
          <w:rFonts w:ascii="Bookman Old Style" w:eastAsia="MS Mincho" w:hAnsi="Bookman Old Style"/>
          <w:iCs/>
          <w:sz w:val="24"/>
          <w:szCs w:val="24"/>
          <w:lang w:val="es-CO"/>
        </w:rPr>
      </w:pPr>
    </w:p>
    <w:p w14:paraId="659F0C69" w14:textId="02F30C34" w:rsidR="00A36F40" w:rsidRDefault="00184B0B" w:rsidP="002804AD">
      <w:pPr>
        <w:pStyle w:val="Textoindependiente21"/>
        <w:ind w:left="284"/>
        <w:contextualSpacing/>
        <w:rPr>
          <w:rFonts w:ascii="Bookman Old Style" w:eastAsia="MS Mincho" w:hAnsi="Bookman Old Style"/>
          <w:sz w:val="24"/>
          <w:szCs w:val="24"/>
          <w:lang w:val="es-CO"/>
        </w:rPr>
      </w:pPr>
      <w:r>
        <w:rPr>
          <w:rFonts w:ascii="Bookman Old Style" w:eastAsia="MS Mincho" w:hAnsi="Bookman Old Style"/>
          <w:iCs/>
          <w:sz w:val="24"/>
          <w:szCs w:val="24"/>
          <w:lang w:val="es-CO"/>
        </w:rPr>
        <w:t>Así mismo,</w:t>
      </w:r>
      <w:r w:rsidR="00B564EA">
        <w:rPr>
          <w:rFonts w:ascii="Bookman Old Style" w:eastAsia="MS Mincho" w:hAnsi="Bookman Old Style"/>
          <w:iCs/>
          <w:sz w:val="24"/>
          <w:szCs w:val="24"/>
          <w:lang w:val="es-CO"/>
        </w:rPr>
        <w:t xml:space="preserve"> </w:t>
      </w:r>
      <w:r w:rsidR="00BC37E6">
        <w:rPr>
          <w:rFonts w:ascii="Bookman Old Style" w:eastAsia="MS Mincho" w:hAnsi="Bookman Old Style"/>
          <w:iCs/>
          <w:sz w:val="24"/>
          <w:szCs w:val="24"/>
          <w:lang w:val="es-CO"/>
        </w:rPr>
        <w:t xml:space="preserve">la infraestructura a la que se </w:t>
      </w:r>
      <w:r w:rsidR="00662807">
        <w:rPr>
          <w:rFonts w:ascii="Bookman Old Style" w:eastAsia="MS Mincho" w:hAnsi="Bookman Old Style"/>
          <w:iCs/>
          <w:sz w:val="24"/>
          <w:szCs w:val="24"/>
          <w:lang w:val="es-CO"/>
        </w:rPr>
        <w:t>refiere</w:t>
      </w:r>
      <w:r w:rsidR="00874B67">
        <w:rPr>
          <w:rFonts w:ascii="Bookman Old Style" w:eastAsia="MS Mincho" w:hAnsi="Bookman Old Style"/>
          <w:iCs/>
          <w:sz w:val="24"/>
          <w:szCs w:val="24"/>
          <w:lang w:val="es-CO"/>
        </w:rPr>
        <w:t>,</w:t>
      </w:r>
      <w:r w:rsidR="00662807">
        <w:rPr>
          <w:rFonts w:ascii="Bookman Old Style" w:eastAsia="MS Mincho" w:hAnsi="Bookman Old Style"/>
          <w:iCs/>
          <w:sz w:val="24"/>
          <w:szCs w:val="24"/>
          <w:lang w:val="es-CO"/>
        </w:rPr>
        <w:t xml:space="preserve"> cuando se habla de </w:t>
      </w:r>
      <w:r w:rsidR="00BC37E6">
        <w:rPr>
          <w:rFonts w:ascii="Bookman Old Style" w:eastAsia="MS Mincho" w:hAnsi="Bookman Old Style"/>
          <w:iCs/>
          <w:sz w:val="24"/>
          <w:szCs w:val="24"/>
          <w:lang w:val="es-CO"/>
        </w:rPr>
        <w:t>facilitar el acceso</w:t>
      </w:r>
      <w:r w:rsidR="00874B67">
        <w:rPr>
          <w:rFonts w:ascii="Bookman Old Style" w:eastAsia="MS Mincho" w:hAnsi="Bookman Old Style"/>
          <w:iCs/>
          <w:sz w:val="24"/>
          <w:szCs w:val="24"/>
          <w:lang w:val="es-CO"/>
        </w:rPr>
        <w:t>,</w:t>
      </w:r>
      <w:r w:rsidR="00BC37E6">
        <w:rPr>
          <w:rFonts w:ascii="Bookman Old Style" w:eastAsia="MS Mincho" w:hAnsi="Bookman Old Style"/>
          <w:iCs/>
          <w:sz w:val="24"/>
          <w:szCs w:val="24"/>
          <w:lang w:val="es-CO"/>
        </w:rPr>
        <w:t xml:space="preserve"> no es solamente la de redes de </w:t>
      </w:r>
      <w:r w:rsidR="00BC37E6" w:rsidRPr="00BC37E6">
        <w:rPr>
          <w:rFonts w:ascii="Bookman Old Style" w:eastAsia="MS Mincho" w:hAnsi="Bookman Old Style"/>
          <w:iCs/>
          <w:sz w:val="24"/>
          <w:szCs w:val="24"/>
          <w:lang w:val="es-CO"/>
        </w:rPr>
        <w:t>interconexión, transmisión y distribución</w:t>
      </w:r>
      <w:r w:rsidR="001D3B27">
        <w:rPr>
          <w:rFonts w:ascii="Bookman Old Style" w:eastAsia="MS Mincho" w:hAnsi="Bookman Old Style"/>
          <w:iCs/>
          <w:sz w:val="24"/>
          <w:szCs w:val="24"/>
          <w:lang w:val="es-CO"/>
        </w:rPr>
        <w:t>. E</w:t>
      </w:r>
      <w:r w:rsidR="00874B67">
        <w:rPr>
          <w:rFonts w:ascii="Bookman Old Style" w:eastAsia="MS Mincho" w:hAnsi="Bookman Old Style"/>
          <w:iCs/>
          <w:sz w:val="24"/>
          <w:szCs w:val="24"/>
          <w:lang w:val="es-CO"/>
        </w:rPr>
        <w:t>n el citado artículo 11</w:t>
      </w:r>
      <w:r w:rsidR="00606135">
        <w:rPr>
          <w:rFonts w:ascii="Bookman Old Style" w:eastAsia="MS Mincho" w:hAnsi="Bookman Old Style"/>
          <w:iCs/>
          <w:sz w:val="24"/>
          <w:szCs w:val="24"/>
          <w:lang w:val="es-CO"/>
        </w:rPr>
        <w:t xml:space="preserve"> se habla de </w:t>
      </w:r>
      <w:r w:rsidR="00B67377" w:rsidRPr="00B67377">
        <w:rPr>
          <w:rFonts w:ascii="Bookman Old Style" w:eastAsia="MS Mincho" w:hAnsi="Bookman Old Style"/>
          <w:iCs/>
          <w:sz w:val="24"/>
          <w:szCs w:val="24"/>
          <w:lang w:val="es-CO"/>
        </w:rPr>
        <w:t>bienes empleados para la organización y prestación de los servicios</w:t>
      </w:r>
      <w:r w:rsidR="00B67377">
        <w:rPr>
          <w:rFonts w:ascii="Bookman Old Style" w:eastAsia="MS Mincho" w:hAnsi="Bookman Old Style"/>
          <w:iCs/>
          <w:sz w:val="24"/>
          <w:szCs w:val="24"/>
          <w:lang w:val="es-CO"/>
        </w:rPr>
        <w:t xml:space="preserve">, </w:t>
      </w:r>
      <w:r w:rsidR="001B7384">
        <w:rPr>
          <w:rFonts w:ascii="Bookman Old Style" w:eastAsia="MS Mincho" w:hAnsi="Bookman Old Style"/>
          <w:iCs/>
          <w:sz w:val="24"/>
          <w:szCs w:val="24"/>
          <w:lang w:val="es-CO"/>
        </w:rPr>
        <w:t>hac</w:t>
      </w:r>
      <w:r w:rsidR="00DF3B5C">
        <w:rPr>
          <w:rFonts w:ascii="Bookman Old Style" w:eastAsia="MS Mincho" w:hAnsi="Bookman Old Style"/>
          <w:iCs/>
          <w:sz w:val="24"/>
          <w:szCs w:val="24"/>
          <w:lang w:val="es-CO"/>
        </w:rPr>
        <w:t>iendo</w:t>
      </w:r>
      <w:r w:rsidR="001B7384">
        <w:rPr>
          <w:rFonts w:ascii="Bookman Old Style" w:eastAsia="MS Mincho" w:hAnsi="Bookman Old Style"/>
          <w:iCs/>
          <w:sz w:val="24"/>
          <w:szCs w:val="24"/>
          <w:lang w:val="es-CO"/>
        </w:rPr>
        <w:t xml:space="preserve"> referencia a</w:t>
      </w:r>
      <w:r w:rsidR="003E30D8">
        <w:rPr>
          <w:rFonts w:ascii="Bookman Old Style" w:eastAsia="MS Mincho" w:hAnsi="Bookman Old Style"/>
          <w:iCs/>
          <w:sz w:val="24"/>
          <w:szCs w:val="24"/>
          <w:lang w:val="es-CO"/>
        </w:rPr>
        <w:t xml:space="preserve"> todos los bienes vinculados a la prestación del servicio</w:t>
      </w:r>
      <w:r w:rsidR="001B7384">
        <w:rPr>
          <w:rFonts w:ascii="Bookman Old Style" w:eastAsia="MS Mincho" w:hAnsi="Bookman Old Style"/>
          <w:iCs/>
          <w:sz w:val="24"/>
          <w:szCs w:val="24"/>
          <w:lang w:val="es-CO"/>
        </w:rPr>
        <w:t xml:space="preserve"> público</w:t>
      </w:r>
      <w:r w:rsidR="00D27922">
        <w:rPr>
          <w:rFonts w:ascii="Bookman Old Style" w:eastAsia="MS Mincho" w:hAnsi="Bookman Old Style"/>
          <w:iCs/>
          <w:sz w:val="24"/>
          <w:szCs w:val="24"/>
          <w:lang w:val="es-CO"/>
        </w:rPr>
        <w:t>,</w:t>
      </w:r>
      <w:r w:rsidR="003E30D8">
        <w:rPr>
          <w:rFonts w:ascii="Bookman Old Style" w:eastAsia="MS Mincho" w:hAnsi="Bookman Old Style"/>
          <w:iCs/>
          <w:sz w:val="24"/>
          <w:szCs w:val="24"/>
          <w:lang w:val="es-CO"/>
        </w:rPr>
        <w:t xml:space="preserve"> </w:t>
      </w:r>
      <w:r w:rsidR="00723AED">
        <w:rPr>
          <w:rFonts w:ascii="Bookman Old Style" w:eastAsia="MS Mincho" w:hAnsi="Bookman Old Style"/>
          <w:iCs/>
          <w:sz w:val="24"/>
          <w:szCs w:val="24"/>
          <w:lang w:val="es-CO"/>
        </w:rPr>
        <w:t xml:space="preserve">independientemente de que, en el caso </w:t>
      </w:r>
      <w:r w:rsidR="00691122">
        <w:rPr>
          <w:rFonts w:ascii="Bookman Old Style" w:eastAsia="MS Mincho" w:hAnsi="Bookman Old Style"/>
          <w:iCs/>
          <w:sz w:val="24"/>
          <w:szCs w:val="24"/>
          <w:lang w:val="es-CO"/>
        </w:rPr>
        <w:t>particular de esta actuación, pudieran ser activos de generación</w:t>
      </w:r>
      <w:r w:rsidR="00E82D0B">
        <w:rPr>
          <w:rFonts w:ascii="Bookman Old Style" w:eastAsia="MS Mincho" w:hAnsi="Bookman Old Style"/>
          <w:iCs/>
          <w:sz w:val="24"/>
          <w:szCs w:val="24"/>
          <w:lang w:val="es-CO"/>
        </w:rPr>
        <w:t>.</w:t>
      </w:r>
    </w:p>
    <w:p w14:paraId="2EC0DDF1" w14:textId="77777777" w:rsidR="00F73865" w:rsidRPr="005E7380" w:rsidRDefault="00F73865" w:rsidP="00B264DC">
      <w:pPr>
        <w:pStyle w:val="Textoindependiente21"/>
        <w:ind w:left="284"/>
        <w:contextualSpacing/>
        <w:rPr>
          <w:rFonts w:ascii="Bookman Old Style" w:eastAsia="MS Mincho" w:hAnsi="Bookman Old Style"/>
          <w:szCs w:val="22"/>
          <w:lang w:val="es-CO"/>
        </w:rPr>
      </w:pPr>
    </w:p>
    <w:p w14:paraId="734C4041" w14:textId="324D8934" w:rsidR="00BB3903" w:rsidRPr="008520B0" w:rsidRDefault="00BB3903" w:rsidP="00BB3903">
      <w:pPr>
        <w:pStyle w:val="Textoindependiente21"/>
        <w:ind w:left="284"/>
        <w:contextualSpacing/>
        <w:rPr>
          <w:rFonts w:ascii="Bookman Old Style" w:eastAsia="MS Mincho" w:hAnsi="Bookman Old Style"/>
          <w:sz w:val="24"/>
          <w:lang w:val="es-CO"/>
        </w:rPr>
      </w:pPr>
      <w:r w:rsidRPr="006243E6">
        <w:rPr>
          <w:rFonts w:ascii="Bookman Old Style" w:eastAsia="MS Mincho" w:hAnsi="Bookman Old Style"/>
          <w:sz w:val="24"/>
          <w:lang w:val="es-CO"/>
        </w:rPr>
        <w:t xml:space="preserve">En relación con el segundo argumento, </w:t>
      </w:r>
      <w:r w:rsidR="0017667F" w:rsidRPr="0017667F">
        <w:rPr>
          <w:rFonts w:ascii="Bookman Old Style" w:eastAsia="MS Mincho" w:hAnsi="Bookman Old Style"/>
          <w:sz w:val="24"/>
          <w:lang w:val="es-CO"/>
        </w:rPr>
        <w:t>(</w:t>
      </w:r>
      <w:r w:rsidR="001B7384">
        <w:rPr>
          <w:rFonts w:ascii="Bookman Old Style" w:eastAsia="MS Mincho" w:hAnsi="Bookman Old Style"/>
          <w:sz w:val="24"/>
          <w:lang w:val="es-CO"/>
        </w:rPr>
        <w:t>l</w:t>
      </w:r>
      <w:r w:rsidR="0017667F" w:rsidRPr="0017667F">
        <w:rPr>
          <w:rFonts w:ascii="Bookman Old Style" w:eastAsia="MS Mincho" w:hAnsi="Bookman Old Style"/>
          <w:sz w:val="24"/>
          <w:lang w:val="es-CO"/>
        </w:rPr>
        <w:t xml:space="preserve">os procedimientos de conexión imponen la obligación de permitir el acceso a </w:t>
      </w:r>
      <w:r w:rsidR="001B7384">
        <w:rPr>
          <w:rFonts w:ascii="Bookman Old Style" w:eastAsia="MS Mincho" w:hAnsi="Bookman Old Style"/>
          <w:sz w:val="24"/>
          <w:lang w:val="es-CO"/>
        </w:rPr>
        <w:t>d</w:t>
      </w:r>
      <w:r w:rsidR="0017667F" w:rsidRPr="0017667F">
        <w:rPr>
          <w:rFonts w:ascii="Bookman Old Style" w:eastAsia="MS Mincho" w:hAnsi="Bookman Old Style"/>
          <w:sz w:val="24"/>
          <w:lang w:val="es-CO"/>
        </w:rPr>
        <w:t xml:space="preserve">istribuidores y no a </w:t>
      </w:r>
      <w:r w:rsidR="001B7384">
        <w:rPr>
          <w:rFonts w:ascii="Bookman Old Style" w:eastAsia="MS Mincho" w:hAnsi="Bookman Old Style"/>
          <w:sz w:val="24"/>
          <w:lang w:val="es-CO"/>
        </w:rPr>
        <w:t>g</w:t>
      </w:r>
      <w:r w:rsidR="0017667F" w:rsidRPr="0017667F">
        <w:rPr>
          <w:rFonts w:ascii="Bookman Old Style" w:eastAsia="MS Mincho" w:hAnsi="Bookman Old Style"/>
          <w:sz w:val="24"/>
          <w:lang w:val="es-CO"/>
        </w:rPr>
        <w:t>eneradores)</w:t>
      </w:r>
      <w:r w:rsidR="0017667F" w:rsidRPr="006243E6">
        <w:rPr>
          <w:rFonts w:ascii="Bookman Old Style" w:eastAsia="MS Mincho" w:hAnsi="Bookman Old Style"/>
          <w:sz w:val="24"/>
          <w:lang w:val="es-CO"/>
        </w:rPr>
        <w:t xml:space="preserve"> </w:t>
      </w:r>
      <w:r w:rsidRPr="008520B0">
        <w:rPr>
          <w:rFonts w:ascii="Bookman Old Style" w:eastAsia="MS Mincho" w:hAnsi="Bookman Old Style"/>
          <w:sz w:val="24"/>
          <w:lang w:val="es-CO"/>
        </w:rPr>
        <w:t xml:space="preserve">GENSA, en la citada comunicación </w:t>
      </w:r>
      <w:r w:rsidR="00BA307E">
        <w:rPr>
          <w:rFonts w:ascii="Bookman Old Style" w:eastAsia="MS Mincho" w:hAnsi="Bookman Old Style"/>
          <w:sz w:val="24"/>
          <w:lang w:val="es-CO"/>
        </w:rPr>
        <w:t>(</w:t>
      </w:r>
      <w:r w:rsidR="005E7380">
        <w:rPr>
          <w:rFonts w:ascii="Bookman Old Style" w:eastAsia="MS Mincho" w:hAnsi="Bookman Old Style"/>
          <w:sz w:val="24"/>
          <w:lang w:val="es-CO"/>
        </w:rPr>
        <w:t xml:space="preserve">radicado CREG </w:t>
      </w:r>
      <w:r w:rsidR="00BA307E" w:rsidRPr="005E7380">
        <w:rPr>
          <w:rFonts w:ascii="Bookman Old Style" w:hAnsi="Bookman Old Style"/>
          <w:sz w:val="24"/>
          <w:lang w:val="es-CO"/>
        </w:rPr>
        <w:t>E-2019-014169</w:t>
      </w:r>
      <w:r w:rsidR="00BA307E">
        <w:rPr>
          <w:rFonts w:ascii="Bookman Old Style" w:hAnsi="Bookman Old Style"/>
          <w:sz w:val="24"/>
          <w:lang w:val="es-CO"/>
        </w:rPr>
        <w:t xml:space="preserve">) </w:t>
      </w:r>
      <w:r w:rsidRPr="006243E6">
        <w:rPr>
          <w:rFonts w:ascii="Bookman Old Style" w:eastAsia="MS Mincho" w:hAnsi="Bookman Old Style"/>
          <w:sz w:val="24"/>
          <w:lang w:val="es-CO"/>
        </w:rPr>
        <w:t>manifiesta lo siguiente:</w:t>
      </w:r>
    </w:p>
    <w:p w14:paraId="431DB09A" w14:textId="77777777" w:rsidR="00BB3903" w:rsidRPr="005E7380" w:rsidRDefault="00BB3903" w:rsidP="00B264DC">
      <w:pPr>
        <w:pStyle w:val="Textoindependiente21"/>
        <w:ind w:left="284"/>
        <w:contextualSpacing/>
        <w:rPr>
          <w:rFonts w:eastAsia="MS Mincho"/>
          <w:lang w:val="es-CO"/>
        </w:rPr>
      </w:pPr>
    </w:p>
    <w:p w14:paraId="373B357F" w14:textId="7798DB25" w:rsidR="00BB3903" w:rsidRPr="005E7380" w:rsidRDefault="008341CC" w:rsidP="004C1175">
      <w:pPr>
        <w:pStyle w:val="Textoindependiente21"/>
        <w:ind w:left="567"/>
        <w:contextualSpacing/>
        <w:rPr>
          <w:rFonts w:ascii="Bookman Old Style" w:eastAsia="MS Mincho" w:hAnsi="Bookman Old Style"/>
          <w:i/>
          <w:sz w:val="20"/>
          <w:lang w:val="es-CO"/>
        </w:rPr>
      </w:pPr>
      <w:r w:rsidRPr="005E7380">
        <w:rPr>
          <w:rFonts w:ascii="Bookman Old Style" w:eastAsia="MS Mincho" w:hAnsi="Bookman Old Style"/>
          <w:i/>
          <w:sz w:val="20"/>
          <w:lang w:val="es-CO"/>
        </w:rPr>
        <w:t>“</w:t>
      </w:r>
      <w:r w:rsidR="00657D43" w:rsidRPr="005E7380">
        <w:rPr>
          <w:rFonts w:ascii="Bookman Old Style" w:eastAsia="MS Mincho" w:hAnsi="Bookman Old Style"/>
          <w:i/>
          <w:sz w:val="20"/>
          <w:lang w:val="es-CO"/>
        </w:rPr>
        <w:t xml:space="preserve">(…) </w:t>
      </w:r>
      <w:r w:rsidRPr="00DC1A20">
        <w:rPr>
          <w:rFonts w:ascii="Bookman Old Style" w:eastAsia="MS Mincho" w:hAnsi="Bookman Old Style"/>
          <w:b/>
          <w:bCs/>
          <w:i/>
          <w:sz w:val="20"/>
          <w:u w:val="single"/>
          <w:lang w:val="es-CO"/>
        </w:rPr>
        <w:t>Los procedimientos de conexión establecidos en la</w:t>
      </w:r>
      <w:r w:rsidRPr="00707A8D">
        <w:rPr>
          <w:rFonts w:ascii="Bookman Old Style" w:eastAsia="MS Mincho" w:hAnsi="Bookman Old Style"/>
          <w:b/>
          <w:bCs/>
          <w:i/>
          <w:sz w:val="20"/>
          <w:u w:val="single"/>
          <w:lang w:val="es-CO"/>
        </w:rPr>
        <w:t xml:space="preserve"> regulación imponen la obligación de permitir el acceso a Distribuidores y no a Generadores.</w:t>
      </w:r>
    </w:p>
    <w:p w14:paraId="216F39FD" w14:textId="77777777" w:rsidR="008341CC" w:rsidRPr="005E7380" w:rsidRDefault="008341CC" w:rsidP="004C1175">
      <w:pPr>
        <w:pStyle w:val="Textoindependiente21"/>
        <w:ind w:left="567"/>
        <w:contextualSpacing/>
        <w:rPr>
          <w:rFonts w:ascii="Bookman Old Style" w:eastAsia="MS Mincho" w:hAnsi="Bookman Old Style"/>
          <w:i/>
          <w:sz w:val="20"/>
          <w:lang w:val="es-CO"/>
        </w:rPr>
      </w:pPr>
    </w:p>
    <w:p w14:paraId="3E8F0F0E" w14:textId="687A61F0" w:rsidR="009B4860" w:rsidRPr="005E7380" w:rsidRDefault="009B4860" w:rsidP="004C1175">
      <w:pPr>
        <w:pStyle w:val="Textoindependiente21"/>
        <w:ind w:left="567"/>
        <w:contextualSpacing/>
        <w:rPr>
          <w:rFonts w:ascii="Bookman Old Style" w:eastAsia="MS Mincho" w:hAnsi="Bookman Old Style"/>
          <w:i/>
          <w:sz w:val="20"/>
          <w:lang w:val="es-CO"/>
        </w:rPr>
      </w:pPr>
      <w:r w:rsidRPr="005E7380">
        <w:rPr>
          <w:rFonts w:ascii="Bookman Old Style" w:eastAsia="MS Mincho" w:hAnsi="Bookman Old Style"/>
          <w:i/>
          <w:sz w:val="20"/>
          <w:lang w:val="es-CO"/>
        </w:rPr>
        <w:t xml:space="preserve">El proyecto de resolución </w:t>
      </w:r>
      <w:r w:rsidR="007346D2">
        <w:rPr>
          <w:rFonts w:ascii="Bookman Old Style" w:eastAsia="MS Mincho" w:hAnsi="Bookman Old Style"/>
          <w:i/>
          <w:sz w:val="20"/>
          <w:lang w:val="es-CO"/>
        </w:rPr>
        <w:t>‘</w:t>
      </w:r>
      <w:r w:rsidRPr="005E7380">
        <w:rPr>
          <w:rFonts w:ascii="Bookman Old Style" w:eastAsia="MS Mincho" w:hAnsi="Bookman Old Style"/>
          <w:i/>
          <w:sz w:val="20"/>
          <w:lang w:val="es-CO"/>
        </w:rPr>
        <w:t>Por la cual se regulan las actividades de generación distribuida y autogenerac</w:t>
      </w:r>
      <w:r w:rsidR="00D259B3" w:rsidRPr="005E7380">
        <w:rPr>
          <w:rFonts w:ascii="Bookman Old Style" w:eastAsia="MS Mincho" w:hAnsi="Bookman Old Style"/>
          <w:i/>
          <w:sz w:val="20"/>
          <w:lang w:val="es-CO"/>
        </w:rPr>
        <w:t>i</w:t>
      </w:r>
      <w:r w:rsidRPr="005E7380">
        <w:rPr>
          <w:rFonts w:ascii="Bookman Old Style" w:eastAsia="MS Mincho" w:hAnsi="Bookman Old Style"/>
          <w:i/>
          <w:sz w:val="20"/>
          <w:lang w:val="es-CO"/>
        </w:rPr>
        <w:t>ón a pequeña y gran escala en las zonas no interconectadas</w:t>
      </w:r>
      <w:r w:rsidR="008825D7">
        <w:rPr>
          <w:rFonts w:ascii="Bookman Old Style" w:eastAsia="MS Mincho" w:hAnsi="Bookman Old Style"/>
          <w:i/>
          <w:sz w:val="20"/>
          <w:lang w:val="es-CO"/>
        </w:rPr>
        <w:t>’</w:t>
      </w:r>
      <w:r w:rsidRPr="005E7380">
        <w:rPr>
          <w:rFonts w:ascii="Bookman Old Style" w:eastAsia="MS Mincho" w:hAnsi="Bookman Old Style"/>
          <w:i/>
          <w:sz w:val="20"/>
          <w:lang w:val="es-CO"/>
        </w:rPr>
        <w:t xml:space="preserve"> fue publicado en la Resolución CREG 001 de 2018. Dicha resolución establecía las condiciones de integración de generadores distribuidos en las Zonas No Interconectadas. </w:t>
      </w:r>
    </w:p>
    <w:p w14:paraId="32E0EC65" w14:textId="77777777" w:rsidR="009B4860" w:rsidRPr="002543A0" w:rsidRDefault="009B4860" w:rsidP="004C1175">
      <w:pPr>
        <w:pStyle w:val="Textoindependiente21"/>
        <w:ind w:left="567"/>
        <w:contextualSpacing/>
        <w:rPr>
          <w:rFonts w:ascii="Bookman Old Style" w:eastAsia="MS Mincho" w:hAnsi="Bookman Old Style"/>
          <w:i/>
          <w:sz w:val="20"/>
          <w:highlight w:val="cyan"/>
          <w:lang w:val="es-CO"/>
        </w:rPr>
      </w:pPr>
    </w:p>
    <w:p w14:paraId="1141628E" w14:textId="21C9A975" w:rsidR="009B4860" w:rsidRPr="005E7380" w:rsidRDefault="009B4860" w:rsidP="004C1175">
      <w:pPr>
        <w:pStyle w:val="Textoindependiente21"/>
        <w:ind w:left="567"/>
        <w:contextualSpacing/>
        <w:rPr>
          <w:rFonts w:ascii="Bookman Old Style" w:eastAsia="MS Mincho" w:hAnsi="Bookman Old Style"/>
          <w:i/>
          <w:sz w:val="20"/>
          <w:lang w:val="es-CO"/>
        </w:rPr>
      </w:pPr>
      <w:r w:rsidRPr="005E7380">
        <w:rPr>
          <w:rFonts w:ascii="Bookman Old Style" w:eastAsia="MS Mincho" w:hAnsi="Bookman Old Style"/>
          <w:i/>
          <w:sz w:val="20"/>
          <w:lang w:val="es-CO"/>
        </w:rPr>
        <w:t xml:space="preserve">No obstante lo anterior, </w:t>
      </w:r>
      <w:r w:rsidRPr="0046504D">
        <w:rPr>
          <w:rFonts w:ascii="Bookman Old Style" w:eastAsia="MS Mincho" w:hAnsi="Bookman Old Style"/>
          <w:b/>
          <w:bCs/>
          <w:i/>
          <w:sz w:val="20"/>
          <w:u w:val="single"/>
          <w:lang w:val="es-CO"/>
        </w:rPr>
        <w:t>la Resolución CREG 038 de 2018 no estableció dichas condiciones</w:t>
      </w:r>
      <w:r w:rsidRPr="005E7380">
        <w:rPr>
          <w:rFonts w:ascii="Bookman Old Style" w:eastAsia="MS Mincho" w:hAnsi="Bookman Old Style"/>
          <w:i/>
          <w:sz w:val="20"/>
          <w:lang w:val="es-CO"/>
        </w:rPr>
        <w:t xml:space="preserve"> en razón a que, en los términos de la propia resolución, dicha actividad ya se encuentra regulada en la Resolución CREG 091 de 2007. </w:t>
      </w:r>
    </w:p>
    <w:p w14:paraId="503E9392" w14:textId="77777777" w:rsidR="00D259B3" w:rsidRPr="005E7380" w:rsidRDefault="00D259B3" w:rsidP="004C1175">
      <w:pPr>
        <w:pStyle w:val="Textoindependiente21"/>
        <w:ind w:left="567"/>
        <w:contextualSpacing/>
        <w:rPr>
          <w:rFonts w:ascii="Bookman Old Style" w:eastAsia="MS Mincho" w:hAnsi="Bookman Old Style"/>
          <w:i/>
          <w:sz w:val="20"/>
          <w:lang w:val="es-CO"/>
        </w:rPr>
      </w:pPr>
    </w:p>
    <w:p w14:paraId="146EAC98" w14:textId="77777777" w:rsidR="009B4860" w:rsidRPr="005E7380" w:rsidRDefault="009B4860" w:rsidP="004C1175">
      <w:pPr>
        <w:pStyle w:val="Textoindependiente21"/>
        <w:ind w:left="567"/>
        <w:contextualSpacing/>
        <w:rPr>
          <w:rFonts w:ascii="Bookman Old Style" w:eastAsia="MS Mincho" w:hAnsi="Bookman Old Style"/>
          <w:i/>
          <w:sz w:val="20"/>
          <w:lang w:val="es-CO"/>
        </w:rPr>
      </w:pPr>
      <w:r w:rsidRPr="0046504D">
        <w:rPr>
          <w:rFonts w:ascii="Bookman Old Style" w:eastAsia="MS Mincho" w:hAnsi="Bookman Old Style"/>
          <w:b/>
          <w:bCs/>
          <w:i/>
          <w:sz w:val="20"/>
          <w:u w:val="single"/>
          <w:lang w:val="es-CO"/>
        </w:rPr>
        <w:t>La Resolución CREG 091 de 2007 no establece las condiciones de conexión de los generadores distribuidos</w:t>
      </w:r>
      <w:r w:rsidRPr="005E7380">
        <w:rPr>
          <w:rFonts w:ascii="Bookman Old Style" w:eastAsia="MS Mincho" w:hAnsi="Bookman Old Style"/>
          <w:i/>
          <w:sz w:val="20"/>
          <w:lang w:val="es-CO"/>
        </w:rPr>
        <w:t xml:space="preserve">, por lo cual podría pensarse que dichos generadores no pueden conectarse a los sistemas eléctricos de distribución existentes en las Zonas No Interconectadas. No obstante lo anterior, también podría considerarse que es posible la conexión de los mencionados generadores llevando a cabo un procedimiento de conexión análogo. </w:t>
      </w:r>
    </w:p>
    <w:p w14:paraId="02D37B17" w14:textId="77777777" w:rsidR="00D259B3" w:rsidRPr="005E7380" w:rsidRDefault="00D259B3" w:rsidP="004C1175">
      <w:pPr>
        <w:pStyle w:val="Textoindependiente21"/>
        <w:ind w:left="567"/>
        <w:contextualSpacing/>
        <w:rPr>
          <w:rFonts w:ascii="Bookman Old Style" w:eastAsia="MS Mincho" w:hAnsi="Bookman Old Style"/>
          <w:i/>
          <w:sz w:val="20"/>
          <w:lang w:val="es-CO"/>
        </w:rPr>
      </w:pPr>
    </w:p>
    <w:p w14:paraId="64FEA895" w14:textId="74DFEFE0" w:rsidR="008341CC" w:rsidRPr="005E7380" w:rsidRDefault="009B4860" w:rsidP="004C1175">
      <w:pPr>
        <w:pStyle w:val="Textoindependiente21"/>
        <w:ind w:left="567"/>
        <w:contextualSpacing/>
        <w:rPr>
          <w:rFonts w:ascii="Bookman Old Style" w:eastAsia="MS Mincho" w:hAnsi="Bookman Old Style"/>
          <w:i/>
          <w:sz w:val="20"/>
          <w:lang w:val="es-CO"/>
        </w:rPr>
      </w:pPr>
      <w:r w:rsidRPr="005E7380">
        <w:rPr>
          <w:rFonts w:ascii="Bookman Old Style" w:eastAsia="MS Mincho" w:hAnsi="Bookman Old Style"/>
          <w:i/>
          <w:sz w:val="20"/>
          <w:lang w:val="es-CO"/>
        </w:rPr>
        <w:t>En este último caso se considera que aplicaría alguno de los procedimientos de conexión existentes en la regulación por analogía, que podrían ser, o bien el procedimiento de conexión de autogeneradores en Zonas No Interconectadas (Resolución CREG 038 de 2018), o bien el procedimiento general para asignación de puntos de generación de generadores a los Sistemas de Distribución Local (Resolución CREG 106 de 2006).</w:t>
      </w:r>
    </w:p>
    <w:p w14:paraId="550AB313" w14:textId="77777777" w:rsidR="00E50E6D" w:rsidRPr="005E7380" w:rsidRDefault="00E50E6D" w:rsidP="004C1175">
      <w:pPr>
        <w:pStyle w:val="Textoindependiente21"/>
        <w:ind w:left="567"/>
        <w:contextualSpacing/>
        <w:rPr>
          <w:rFonts w:ascii="Bookman Old Style" w:eastAsia="MS Mincho" w:hAnsi="Bookman Old Style"/>
          <w:i/>
          <w:sz w:val="20"/>
          <w:lang w:val="es-CO"/>
        </w:rPr>
      </w:pPr>
    </w:p>
    <w:p w14:paraId="37CD6AB4" w14:textId="10E969C9" w:rsidR="00E50E6D" w:rsidRPr="005E7380" w:rsidRDefault="00E50E6D" w:rsidP="004C1175">
      <w:pPr>
        <w:pStyle w:val="Textoindependiente21"/>
        <w:ind w:left="567"/>
        <w:contextualSpacing/>
        <w:rPr>
          <w:rFonts w:ascii="Bookman Old Style" w:eastAsia="MS Mincho" w:hAnsi="Bookman Old Style"/>
          <w:i/>
          <w:sz w:val="20"/>
          <w:lang w:val="es-CO"/>
        </w:rPr>
      </w:pPr>
      <w:r w:rsidRPr="005E7380">
        <w:rPr>
          <w:rFonts w:ascii="Bookman Old Style" w:eastAsia="MS Mincho" w:hAnsi="Bookman Old Style"/>
          <w:i/>
          <w:sz w:val="20"/>
          <w:lang w:val="es-CO"/>
        </w:rPr>
        <w:t xml:space="preserve">En cualquier caso, </w:t>
      </w:r>
      <w:r w:rsidRPr="0087743A">
        <w:rPr>
          <w:rFonts w:ascii="Bookman Old Style" w:eastAsia="MS Mincho" w:hAnsi="Bookman Old Style"/>
          <w:b/>
          <w:bCs/>
          <w:i/>
          <w:sz w:val="20"/>
          <w:u w:val="single"/>
          <w:lang w:val="es-CO"/>
        </w:rPr>
        <w:t>los procedimientos existentes establecen obligaciones a transportadores (distribuidores y/o transmisores) de permitir el acceso a las redes a su caso, obligaciones que no se repiten hacía los generadores</w:t>
      </w:r>
      <w:r w:rsidRPr="005E7380">
        <w:rPr>
          <w:rFonts w:ascii="Bookman Old Style" w:eastAsia="MS Mincho" w:hAnsi="Bookman Old Style"/>
          <w:i/>
          <w:sz w:val="20"/>
          <w:lang w:val="es-CO"/>
        </w:rPr>
        <w:t>.</w:t>
      </w:r>
    </w:p>
    <w:p w14:paraId="49572A21" w14:textId="77777777" w:rsidR="00E50E6D" w:rsidRPr="005E7380" w:rsidRDefault="00E50E6D" w:rsidP="004C1175">
      <w:pPr>
        <w:pStyle w:val="Textoindependiente21"/>
        <w:ind w:left="567"/>
        <w:contextualSpacing/>
        <w:rPr>
          <w:rFonts w:ascii="Bookman Old Style" w:eastAsia="MS Mincho" w:hAnsi="Bookman Old Style"/>
          <w:i/>
          <w:sz w:val="20"/>
          <w:lang w:val="es-CO"/>
        </w:rPr>
      </w:pPr>
    </w:p>
    <w:p w14:paraId="7EB0CA5A" w14:textId="6A71D6D4" w:rsidR="00E50E6D" w:rsidRPr="005E7380" w:rsidRDefault="00E50E6D" w:rsidP="004C1175">
      <w:pPr>
        <w:pStyle w:val="Textoindependiente21"/>
        <w:ind w:left="567"/>
        <w:contextualSpacing/>
        <w:rPr>
          <w:rFonts w:ascii="Bookman Old Style" w:eastAsia="MS Mincho" w:hAnsi="Bookman Old Style"/>
          <w:i/>
          <w:lang w:val="es-CO"/>
        </w:rPr>
      </w:pPr>
      <w:r w:rsidRPr="005E7380">
        <w:rPr>
          <w:rFonts w:ascii="Bookman Old Style" w:eastAsia="MS Mincho" w:hAnsi="Bookman Old Style"/>
          <w:i/>
          <w:sz w:val="20"/>
          <w:lang w:val="es-CO"/>
        </w:rPr>
        <w:t xml:space="preserve">Bajo este punto de vista, </w:t>
      </w:r>
      <w:r w:rsidRPr="000800D0">
        <w:rPr>
          <w:rFonts w:ascii="Bookman Old Style" w:eastAsia="MS Mincho" w:hAnsi="Bookman Old Style"/>
          <w:b/>
          <w:bCs/>
          <w:i/>
          <w:sz w:val="20"/>
          <w:u w:val="single"/>
          <w:lang w:val="es-CO"/>
        </w:rPr>
        <w:t>no existiría un procedimiento análogo aplicable al caso en concreto donde se pretende la conexión a un bien que se encuentra bajo la operación de un Generador de energía eléctrica</w:t>
      </w:r>
      <w:r w:rsidRPr="005E7380">
        <w:rPr>
          <w:rFonts w:ascii="Bookman Old Style" w:eastAsia="MS Mincho" w:hAnsi="Bookman Old Style"/>
          <w:i/>
          <w:sz w:val="20"/>
          <w:lang w:val="es-CO"/>
        </w:rPr>
        <w:t>, como lo es GENSA, quien, en el Municipio de Mitú, no desarrolla ninguna actividad de transporte de energía eléctrica.</w:t>
      </w:r>
      <w:r w:rsidR="00657D43" w:rsidRPr="005E7380">
        <w:rPr>
          <w:rFonts w:ascii="Bookman Old Style" w:eastAsia="MS Mincho" w:hAnsi="Bookman Old Style"/>
          <w:i/>
          <w:sz w:val="20"/>
          <w:lang w:val="es-CO"/>
        </w:rPr>
        <w:t xml:space="preserve"> (…)</w:t>
      </w:r>
      <w:r w:rsidRPr="005E7380">
        <w:rPr>
          <w:rFonts w:ascii="Bookman Old Style" w:eastAsia="MS Mincho" w:hAnsi="Bookman Old Style"/>
          <w:i/>
          <w:sz w:val="20"/>
          <w:lang w:val="es-CO"/>
        </w:rPr>
        <w:t>”.</w:t>
      </w:r>
    </w:p>
    <w:p w14:paraId="1DC1332B" w14:textId="77777777" w:rsidR="00707A8D" w:rsidRDefault="00707A8D" w:rsidP="00B264DC">
      <w:pPr>
        <w:pStyle w:val="Textoindependiente21"/>
        <w:ind w:left="284"/>
        <w:contextualSpacing/>
        <w:rPr>
          <w:rFonts w:ascii="Bookman Old Style" w:eastAsia="MS Mincho" w:hAnsi="Bookman Old Style"/>
          <w:sz w:val="24"/>
          <w:lang w:val="es-CO"/>
        </w:rPr>
      </w:pPr>
    </w:p>
    <w:p w14:paraId="598F7691" w14:textId="3E79777A" w:rsidR="00707A8D" w:rsidRDefault="00707A8D" w:rsidP="00B264DC">
      <w:pPr>
        <w:pStyle w:val="Textoindependiente21"/>
        <w:ind w:left="284"/>
        <w:contextualSpacing/>
        <w:rPr>
          <w:rFonts w:ascii="Bookman Old Style" w:eastAsia="MS Mincho" w:hAnsi="Bookman Old Style"/>
          <w:sz w:val="24"/>
          <w:lang w:val="es-CO"/>
        </w:rPr>
      </w:pPr>
      <w:r>
        <w:rPr>
          <w:rFonts w:ascii="Bookman Old Style" w:eastAsia="MS Mincho" w:hAnsi="Bookman Old Style"/>
          <w:sz w:val="24"/>
          <w:lang w:val="es-CO"/>
        </w:rPr>
        <w:t xml:space="preserve">Sobre </w:t>
      </w:r>
      <w:r w:rsidR="0087743A">
        <w:rPr>
          <w:rFonts w:ascii="Bookman Old Style" w:eastAsia="MS Mincho" w:hAnsi="Bookman Old Style"/>
          <w:sz w:val="24"/>
          <w:lang w:val="es-CO"/>
        </w:rPr>
        <w:t xml:space="preserve">el </w:t>
      </w:r>
      <w:r>
        <w:rPr>
          <w:rFonts w:ascii="Bookman Old Style" w:eastAsia="MS Mincho" w:hAnsi="Bookman Old Style"/>
          <w:sz w:val="24"/>
          <w:lang w:val="es-CO"/>
        </w:rPr>
        <w:t xml:space="preserve">segundo fundamento planteado por GENSA para rechazar la solicitud de </w:t>
      </w:r>
      <w:r w:rsidR="00B57162">
        <w:rPr>
          <w:rFonts w:ascii="Bookman Old Style" w:eastAsia="MS Mincho" w:hAnsi="Bookman Old Style"/>
          <w:sz w:val="24"/>
          <w:lang w:val="es-CO"/>
        </w:rPr>
        <w:t>imposición de servidumbre, c</w:t>
      </w:r>
      <w:r>
        <w:rPr>
          <w:rFonts w:ascii="Bookman Old Style" w:eastAsia="MS Mincho" w:hAnsi="Bookman Old Style"/>
          <w:sz w:val="24"/>
          <w:lang w:val="es-CO"/>
        </w:rPr>
        <w:t>omo se mostró anteriormente</w:t>
      </w:r>
      <w:r w:rsidR="00B57162">
        <w:rPr>
          <w:rFonts w:ascii="Bookman Old Style" w:eastAsia="MS Mincho" w:hAnsi="Bookman Old Style"/>
          <w:sz w:val="24"/>
          <w:lang w:val="es-CO"/>
        </w:rPr>
        <w:t xml:space="preserve">, la obligación de </w:t>
      </w:r>
      <w:r w:rsidR="00DC1A20">
        <w:rPr>
          <w:rFonts w:ascii="Bookman Old Style" w:eastAsia="MS Mincho" w:hAnsi="Bookman Old Style"/>
          <w:sz w:val="24"/>
          <w:lang w:val="es-CO"/>
        </w:rPr>
        <w:t xml:space="preserve">facilitar la conexión </w:t>
      </w:r>
      <w:r w:rsidR="00A84ABC">
        <w:rPr>
          <w:rFonts w:ascii="Bookman Old Style" w:eastAsia="MS Mincho" w:hAnsi="Bookman Old Style"/>
          <w:sz w:val="24"/>
          <w:lang w:val="es-CO"/>
        </w:rPr>
        <w:t>no proviene de la CREG. La obligación proviene de la misma Ley 142 de 1994</w:t>
      </w:r>
      <w:r w:rsidR="00E11F0B">
        <w:rPr>
          <w:rFonts w:ascii="Bookman Old Style" w:eastAsia="MS Mincho" w:hAnsi="Bookman Old Style"/>
          <w:sz w:val="24"/>
          <w:lang w:val="es-CO"/>
        </w:rPr>
        <w:t>, artí</w:t>
      </w:r>
      <w:r w:rsidR="004E7F02">
        <w:rPr>
          <w:rFonts w:ascii="Bookman Old Style" w:eastAsia="MS Mincho" w:hAnsi="Bookman Old Style"/>
          <w:sz w:val="24"/>
          <w:lang w:val="es-CO"/>
        </w:rPr>
        <w:t xml:space="preserve">culo 11 y 170; </w:t>
      </w:r>
      <w:r w:rsidR="005F60DC">
        <w:rPr>
          <w:rFonts w:ascii="Bookman Old Style" w:eastAsia="MS Mincho" w:hAnsi="Bookman Old Style"/>
          <w:sz w:val="24"/>
          <w:lang w:val="es-CO"/>
        </w:rPr>
        <w:t>y de la Ley 143 de 19</w:t>
      </w:r>
      <w:r w:rsidR="00684E00">
        <w:rPr>
          <w:rFonts w:ascii="Bookman Old Style" w:eastAsia="MS Mincho" w:hAnsi="Bookman Old Style"/>
          <w:sz w:val="24"/>
          <w:lang w:val="es-CO"/>
        </w:rPr>
        <w:t>94, artículo 30.</w:t>
      </w:r>
    </w:p>
    <w:p w14:paraId="6D0205D1" w14:textId="77777777" w:rsidR="00707A8D" w:rsidRDefault="00707A8D" w:rsidP="00B264DC">
      <w:pPr>
        <w:pStyle w:val="Textoindependiente21"/>
        <w:ind w:left="284"/>
        <w:contextualSpacing/>
        <w:rPr>
          <w:rFonts w:ascii="Bookman Old Style" w:eastAsia="MS Mincho" w:hAnsi="Bookman Old Style"/>
          <w:sz w:val="24"/>
          <w:lang w:val="es-CO"/>
        </w:rPr>
      </w:pPr>
    </w:p>
    <w:p w14:paraId="3B0BA96F" w14:textId="14B825D7" w:rsidR="00484394" w:rsidRDefault="0019556B" w:rsidP="00484394">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Como lo indica GENSA, m</w:t>
      </w:r>
      <w:r w:rsidR="00484394">
        <w:rPr>
          <w:rFonts w:ascii="Bookman Old Style" w:eastAsia="MS Mincho" w:hAnsi="Bookman Old Style" w:cs="Arial"/>
          <w:lang w:val="es-CO"/>
        </w:rPr>
        <w:t xml:space="preserve">ediante Resolución CREG 038 de 2018 se reguló </w:t>
      </w:r>
      <w:r w:rsidR="00484394" w:rsidRPr="00E06026">
        <w:rPr>
          <w:rFonts w:ascii="Bookman Old Style" w:eastAsia="MS Mincho" w:hAnsi="Bookman Old Style" w:cs="Arial"/>
          <w:lang w:val="es-CO"/>
        </w:rPr>
        <w:t xml:space="preserve">la actividad de autogeneración en las </w:t>
      </w:r>
      <w:r w:rsidR="001D3B27">
        <w:rPr>
          <w:rFonts w:ascii="Bookman Old Style" w:eastAsia="MS Mincho" w:hAnsi="Bookman Old Style" w:cs="Arial"/>
          <w:lang w:val="es-CO"/>
        </w:rPr>
        <w:t>Z</w:t>
      </w:r>
      <w:r w:rsidR="00484394" w:rsidRPr="00E06026">
        <w:rPr>
          <w:rFonts w:ascii="Bookman Old Style" w:eastAsia="MS Mincho" w:hAnsi="Bookman Old Style" w:cs="Arial"/>
          <w:lang w:val="es-CO"/>
        </w:rPr>
        <w:t xml:space="preserve">onas </w:t>
      </w:r>
      <w:r w:rsidR="001D3B27">
        <w:rPr>
          <w:rFonts w:ascii="Bookman Old Style" w:eastAsia="MS Mincho" w:hAnsi="Bookman Old Style" w:cs="Arial"/>
          <w:lang w:val="es-CO"/>
        </w:rPr>
        <w:t>N</w:t>
      </w:r>
      <w:r w:rsidR="00484394" w:rsidRPr="00E06026">
        <w:rPr>
          <w:rFonts w:ascii="Bookman Old Style" w:eastAsia="MS Mincho" w:hAnsi="Bookman Old Style" w:cs="Arial"/>
          <w:lang w:val="es-CO"/>
        </w:rPr>
        <w:t xml:space="preserve">o </w:t>
      </w:r>
      <w:r w:rsidR="001D3B27">
        <w:rPr>
          <w:rFonts w:ascii="Bookman Old Style" w:eastAsia="MS Mincho" w:hAnsi="Bookman Old Style" w:cs="Arial"/>
          <w:lang w:val="es-CO"/>
        </w:rPr>
        <w:t>I</w:t>
      </w:r>
      <w:r w:rsidR="00484394" w:rsidRPr="00E06026">
        <w:rPr>
          <w:rFonts w:ascii="Bookman Old Style" w:eastAsia="MS Mincho" w:hAnsi="Bookman Old Style" w:cs="Arial"/>
          <w:lang w:val="es-CO"/>
        </w:rPr>
        <w:t>nterconectadas</w:t>
      </w:r>
      <w:r w:rsidR="001D3B27">
        <w:rPr>
          <w:rFonts w:ascii="Bookman Old Style" w:eastAsia="MS Mincho" w:hAnsi="Bookman Old Style" w:cs="Arial"/>
          <w:lang w:val="es-CO"/>
        </w:rPr>
        <w:t>,</w:t>
      </w:r>
      <w:r w:rsidR="00484394" w:rsidRPr="00E06026">
        <w:rPr>
          <w:rFonts w:ascii="Bookman Old Style" w:eastAsia="MS Mincho" w:hAnsi="Bookman Old Style" w:cs="Arial"/>
          <w:lang w:val="es-CO"/>
        </w:rPr>
        <w:t xml:space="preserve"> y </w:t>
      </w:r>
      <w:r w:rsidR="00484394">
        <w:rPr>
          <w:rFonts w:ascii="Bookman Old Style" w:eastAsia="MS Mincho" w:hAnsi="Bookman Old Style" w:cs="Arial"/>
          <w:lang w:val="es-CO"/>
        </w:rPr>
        <w:t xml:space="preserve">se </w:t>
      </w:r>
      <w:r w:rsidR="00484394" w:rsidRPr="00E06026">
        <w:rPr>
          <w:rFonts w:ascii="Bookman Old Style" w:eastAsia="MS Mincho" w:hAnsi="Bookman Old Style" w:cs="Arial"/>
          <w:lang w:val="es-CO"/>
        </w:rPr>
        <w:t>dict</w:t>
      </w:r>
      <w:r w:rsidR="00484394">
        <w:rPr>
          <w:rFonts w:ascii="Bookman Old Style" w:eastAsia="MS Mincho" w:hAnsi="Bookman Old Style" w:cs="Arial"/>
          <w:lang w:val="es-CO"/>
        </w:rPr>
        <w:t>aron</w:t>
      </w:r>
      <w:r w:rsidR="00484394" w:rsidRPr="00E06026">
        <w:rPr>
          <w:rFonts w:ascii="Bookman Old Style" w:eastAsia="MS Mincho" w:hAnsi="Bookman Old Style" w:cs="Arial"/>
          <w:lang w:val="es-CO"/>
        </w:rPr>
        <w:t xml:space="preserve"> algunas disposiciones sobre la generación distribuida en las </w:t>
      </w:r>
      <w:r w:rsidR="001D3B27" w:rsidRPr="00E06026">
        <w:rPr>
          <w:rFonts w:ascii="Bookman Old Style" w:eastAsia="MS Mincho" w:hAnsi="Bookman Old Style" w:cs="Arial"/>
          <w:lang w:val="es-CO"/>
        </w:rPr>
        <w:t>Zonas No Interconectadas</w:t>
      </w:r>
      <w:r w:rsidR="00484394">
        <w:rPr>
          <w:rFonts w:ascii="Bookman Old Style" w:eastAsia="MS Mincho" w:hAnsi="Bookman Old Style" w:cs="Arial"/>
          <w:lang w:val="es-CO"/>
        </w:rPr>
        <w:t>.</w:t>
      </w:r>
    </w:p>
    <w:p w14:paraId="496FE882" w14:textId="77777777" w:rsidR="00484394" w:rsidRDefault="00484394" w:rsidP="00484394">
      <w:pPr>
        <w:ind w:left="284"/>
        <w:contextualSpacing/>
        <w:jc w:val="both"/>
        <w:rPr>
          <w:rFonts w:ascii="Bookman Old Style" w:eastAsia="MS Mincho" w:hAnsi="Bookman Old Style" w:cs="Arial"/>
          <w:lang w:val="es-CO"/>
        </w:rPr>
      </w:pPr>
    </w:p>
    <w:p w14:paraId="65378D41" w14:textId="77777777" w:rsidR="00484394" w:rsidRDefault="00484394" w:rsidP="00484394">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Aunque en el proceso de consulta de las anteriores disposiciones la CREG planteó dentro de las alternativas analizadas la determinación de los p</w:t>
      </w:r>
      <w:r w:rsidRPr="00B222EE">
        <w:rPr>
          <w:rFonts w:ascii="Bookman Old Style" w:eastAsia="MS Mincho" w:hAnsi="Bookman Old Style" w:cs="Arial"/>
          <w:lang w:val="es-CO"/>
        </w:rPr>
        <w:t>rocedimientos para la conexión de generadores distribuidos</w:t>
      </w:r>
      <w:r>
        <w:rPr>
          <w:rFonts w:ascii="Bookman Old Style" w:eastAsia="MS Mincho" w:hAnsi="Bookman Old Style" w:cs="Arial"/>
          <w:lang w:val="es-CO"/>
        </w:rPr>
        <w:t>, tal como se evidencia en el Documento CREG 001 de 2018, que acompaña la Resolución CREG 001 de 2018, “</w:t>
      </w:r>
      <w:r w:rsidRPr="00EE3304">
        <w:rPr>
          <w:rFonts w:ascii="Bookman Old Style" w:eastAsia="MS Mincho" w:hAnsi="Bookman Old Style" w:cs="Arial"/>
          <w:i/>
          <w:iCs/>
          <w:lang w:val="es-CO"/>
        </w:rPr>
        <w:t xml:space="preserve">Por la cual se ordena hacer público el proyecto de resolución </w:t>
      </w:r>
      <w:r>
        <w:rPr>
          <w:rFonts w:ascii="Bookman Old Style" w:eastAsia="MS Mincho" w:hAnsi="Bookman Old Style" w:cs="Arial"/>
          <w:i/>
          <w:iCs/>
          <w:lang w:val="es-CO"/>
        </w:rPr>
        <w:t>‘</w:t>
      </w:r>
      <w:r w:rsidRPr="00EE3304">
        <w:rPr>
          <w:rFonts w:ascii="Bookman Old Style" w:eastAsia="MS Mincho" w:hAnsi="Bookman Old Style" w:cs="Arial"/>
          <w:i/>
          <w:iCs/>
          <w:lang w:val="es-CO"/>
        </w:rPr>
        <w:t>Por la cual se regulan las actividades de generación distribuida y autogeneración a pequeña y gran escala en las zonas no interconectadas</w:t>
      </w:r>
      <w:r>
        <w:rPr>
          <w:rFonts w:ascii="Bookman Old Style" w:eastAsia="MS Mincho" w:hAnsi="Bookman Old Style" w:cs="Arial"/>
          <w:i/>
          <w:iCs/>
          <w:lang w:val="es-CO"/>
        </w:rPr>
        <w:t>’</w:t>
      </w:r>
      <w:r w:rsidRPr="00EE3304">
        <w:rPr>
          <w:rFonts w:ascii="Bookman Old Style" w:eastAsia="MS Mincho" w:hAnsi="Bookman Old Style" w:cs="Arial"/>
          <w:i/>
          <w:iCs/>
          <w:lang w:val="es-CO"/>
        </w:rPr>
        <w:t>”:</w:t>
      </w:r>
    </w:p>
    <w:p w14:paraId="1F32E223" w14:textId="77777777" w:rsidR="00484394" w:rsidRDefault="00484394" w:rsidP="00484394">
      <w:pPr>
        <w:ind w:left="284"/>
        <w:contextualSpacing/>
        <w:jc w:val="both"/>
        <w:rPr>
          <w:rFonts w:ascii="Bookman Old Style" w:eastAsia="MS Mincho" w:hAnsi="Bookman Old Style" w:cs="Arial"/>
          <w:lang w:val="es-CO"/>
        </w:rPr>
      </w:pPr>
    </w:p>
    <w:p w14:paraId="7E1A254A" w14:textId="77777777" w:rsidR="00484394" w:rsidRDefault="00484394" w:rsidP="001D3B27">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4.2.3. Aspectos relacionados con la posición de los agentes prestadores del servicio en ZNI (…)</w:t>
      </w:r>
    </w:p>
    <w:p w14:paraId="4C157A26" w14:textId="77777777" w:rsidR="00484394" w:rsidRDefault="00484394" w:rsidP="001D3B27">
      <w:pPr>
        <w:ind w:left="567"/>
        <w:contextualSpacing/>
        <w:jc w:val="both"/>
        <w:rPr>
          <w:rFonts w:ascii="Bookman Old Style" w:eastAsia="MS Mincho" w:hAnsi="Bookman Old Style" w:cs="Arial"/>
          <w:i/>
          <w:iCs/>
          <w:sz w:val="20"/>
          <w:szCs w:val="20"/>
          <w:lang w:val="es-CO"/>
        </w:rPr>
      </w:pPr>
    </w:p>
    <w:p w14:paraId="6EFBDDCB" w14:textId="77777777" w:rsidR="00484394" w:rsidRDefault="00484394" w:rsidP="001D3B27">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Considerando que, en el caso de las ZNI, el OR usualmente es el mismo generador, pueden presentarse conflictos de interés que deriven en abusos de posición dominante de estos agentes, reflejados en la limitación a la entrada de generadores distribuidos o autogeneradores, toda vez que el aumento en la oferta de suministro de parte de estos agentes se constituye en competencia directa para el generador existente y significa una potencial disminución de la demanda atendida con su generación.</w:t>
      </w:r>
    </w:p>
    <w:p w14:paraId="4F78945B" w14:textId="77777777" w:rsidR="00484394" w:rsidRDefault="00484394" w:rsidP="001D3B27">
      <w:pPr>
        <w:ind w:left="567"/>
        <w:contextualSpacing/>
        <w:jc w:val="both"/>
        <w:rPr>
          <w:rFonts w:ascii="Bookman Old Style" w:eastAsia="MS Mincho" w:hAnsi="Bookman Old Style" w:cs="Arial"/>
          <w:i/>
          <w:iCs/>
          <w:sz w:val="20"/>
          <w:szCs w:val="20"/>
          <w:lang w:val="es-CO"/>
        </w:rPr>
      </w:pPr>
    </w:p>
    <w:p w14:paraId="5FE03834" w14:textId="77777777" w:rsidR="00484394" w:rsidRDefault="00484394" w:rsidP="001D3B27">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En ese sentido, se hace necesario implementar, a lo largo de esta alternativa, mecanismos que prevengan conductas de los actuales prestadores, principalmente de los OR, a través de las cuales se niegue o restrinja el acceso a los sistemas de distribución y, por consiguiente, a la comercialización de esta potencial oferta energética. En esta alternativa se prevé incluir:</w:t>
      </w:r>
    </w:p>
    <w:p w14:paraId="37D9183B" w14:textId="77777777" w:rsidR="00484394" w:rsidRDefault="00484394" w:rsidP="00484394">
      <w:pPr>
        <w:ind w:left="709"/>
        <w:contextualSpacing/>
        <w:jc w:val="both"/>
        <w:rPr>
          <w:rFonts w:ascii="Bookman Old Style" w:eastAsia="MS Mincho" w:hAnsi="Bookman Old Style" w:cs="Arial"/>
          <w:i/>
          <w:iCs/>
          <w:sz w:val="20"/>
          <w:szCs w:val="20"/>
          <w:lang w:val="es-CO"/>
        </w:rPr>
      </w:pPr>
    </w:p>
    <w:p w14:paraId="1E835425" w14:textId="77777777" w:rsidR="00484394" w:rsidRPr="00807F67" w:rsidRDefault="00484394" w:rsidP="001D3B27">
      <w:pPr>
        <w:pStyle w:val="Prrafodelista"/>
        <w:numPr>
          <w:ilvl w:val="0"/>
          <w:numId w:val="37"/>
        </w:numPr>
        <w:ind w:left="851" w:hanging="284"/>
        <w:contextualSpacing/>
        <w:jc w:val="both"/>
        <w:rPr>
          <w:rFonts w:ascii="Bookman Old Style" w:eastAsia="MS Mincho" w:hAnsi="Bookman Old Style" w:cs="Arial"/>
          <w:i/>
          <w:iCs/>
        </w:rPr>
      </w:pPr>
      <w:r w:rsidRPr="00CF5181">
        <w:rPr>
          <w:rFonts w:ascii="Bookman Old Style" w:eastAsia="MS Mincho" w:hAnsi="Bookman Old Style" w:cs="Arial"/>
          <w:b/>
          <w:bCs/>
          <w:i/>
          <w:iCs/>
          <w:u w:val="single"/>
        </w:rPr>
        <w:t>Procedimientos para la conexión de generadores distribuidos</w:t>
      </w:r>
      <w:r>
        <w:rPr>
          <w:rFonts w:ascii="Bookman Old Style" w:eastAsia="MS Mincho" w:hAnsi="Bookman Old Style" w:cs="Arial"/>
          <w:i/>
          <w:iCs/>
        </w:rPr>
        <w:t xml:space="preserve"> y autogeneradores </w:t>
      </w:r>
      <w:r w:rsidRPr="00CF5181">
        <w:rPr>
          <w:rFonts w:ascii="Bookman Old Style" w:eastAsia="MS Mincho" w:hAnsi="Bookman Old Style" w:cs="Arial"/>
          <w:b/>
          <w:bCs/>
          <w:i/>
          <w:iCs/>
          <w:u w:val="single"/>
        </w:rPr>
        <w:t>que permitan acceso a la red y que les garanticen el debido proceso dentro del trámite de solicitud de acceso y posterior conexión</w:t>
      </w:r>
      <w:r>
        <w:rPr>
          <w:rFonts w:ascii="Bookman Old Style" w:eastAsia="MS Mincho" w:hAnsi="Bookman Old Style" w:cs="Arial"/>
          <w:i/>
          <w:iCs/>
        </w:rPr>
        <w:t>. (…)”</w:t>
      </w:r>
      <w:r>
        <w:rPr>
          <w:rFonts w:ascii="Bookman Old Style" w:eastAsia="MS Mincho" w:hAnsi="Bookman Old Style" w:cs="Arial"/>
        </w:rPr>
        <w:t xml:space="preserve"> Resaltado y subrayado fuera de texto</w:t>
      </w:r>
    </w:p>
    <w:p w14:paraId="2F3FD893" w14:textId="77777777" w:rsidR="00484394" w:rsidRDefault="00484394" w:rsidP="00484394">
      <w:pPr>
        <w:ind w:left="284"/>
        <w:contextualSpacing/>
        <w:jc w:val="both"/>
        <w:rPr>
          <w:rFonts w:ascii="Bookman Old Style" w:eastAsia="MS Mincho" w:hAnsi="Bookman Old Style" w:cs="Arial"/>
          <w:lang w:val="es-CO"/>
        </w:rPr>
      </w:pPr>
    </w:p>
    <w:p w14:paraId="3F643DAB" w14:textId="7A33D8C1" w:rsidR="00484394" w:rsidRDefault="00484394" w:rsidP="00484394">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Los procedimientos para la conexión que fueron regulados en su momento se limitaron solamente al caso de autogeneradores. Sobre lo anterior esta comisión, en Documento CREG 034 de 2018</w:t>
      </w:r>
      <w:r w:rsidR="001D3B27">
        <w:rPr>
          <w:rFonts w:ascii="Bookman Old Style" w:eastAsia="MS Mincho" w:hAnsi="Bookman Old Style" w:cs="Arial"/>
          <w:lang w:val="es-CO"/>
        </w:rPr>
        <w:t>,</w:t>
      </w:r>
      <w:r>
        <w:rPr>
          <w:rFonts w:ascii="Bookman Old Style" w:eastAsia="MS Mincho" w:hAnsi="Bookman Old Style" w:cs="Arial"/>
          <w:lang w:val="es-CO"/>
        </w:rPr>
        <w:t xml:space="preserve"> manifestó:</w:t>
      </w:r>
    </w:p>
    <w:p w14:paraId="039EA0CB" w14:textId="77777777" w:rsidR="00484394" w:rsidRDefault="00484394" w:rsidP="00484394">
      <w:pPr>
        <w:ind w:left="284"/>
        <w:contextualSpacing/>
        <w:jc w:val="both"/>
        <w:rPr>
          <w:rFonts w:ascii="Bookman Old Style" w:eastAsia="MS Mincho" w:hAnsi="Bookman Old Style" w:cs="Arial"/>
          <w:lang w:val="es-CO"/>
        </w:rPr>
      </w:pPr>
    </w:p>
    <w:p w14:paraId="778B2CC9" w14:textId="77777777" w:rsidR="00484394" w:rsidRPr="00CF6A10" w:rsidRDefault="00484394" w:rsidP="001D3B27">
      <w:pPr>
        <w:ind w:left="567"/>
        <w:contextualSpacing/>
        <w:jc w:val="both"/>
        <w:rPr>
          <w:rFonts w:ascii="Bookman Old Style" w:eastAsia="MS Mincho" w:hAnsi="Bookman Old Style" w:cs="Arial"/>
          <w:sz w:val="20"/>
          <w:szCs w:val="20"/>
          <w:lang w:val="es-CO"/>
        </w:rPr>
      </w:pPr>
      <w:r>
        <w:rPr>
          <w:rFonts w:ascii="Bookman Old Style" w:eastAsia="MS Mincho" w:hAnsi="Bookman Old Style" w:cs="Arial"/>
          <w:i/>
          <w:iCs/>
          <w:sz w:val="20"/>
          <w:szCs w:val="20"/>
          <w:lang w:val="es-CO"/>
        </w:rPr>
        <w:t xml:space="preserve">“(…) Finalmente, la CREG está trabajando en una nueva propuesta regulatoria para remunerar las actividades de generación, distribución y comercialización de energía eléctrica en las zonas no interconectada, la cual reemplazará la normatividad que se encuentra vigente. (…) En ese sentido, </w:t>
      </w:r>
      <w:r w:rsidRPr="00CF6A10">
        <w:rPr>
          <w:rFonts w:ascii="Bookman Old Style" w:eastAsia="MS Mincho" w:hAnsi="Bookman Old Style" w:cs="Arial"/>
          <w:b/>
          <w:bCs/>
          <w:i/>
          <w:iCs/>
          <w:sz w:val="20"/>
          <w:szCs w:val="20"/>
          <w:u w:val="single"/>
          <w:lang w:val="es-CO"/>
        </w:rPr>
        <w:t>la regulación alusiva a los generadores distribuidos en ZNI será abordada en la nueva propuesta de metodología tarifaria que dará inicio a un nuevo periodo tarifario</w:t>
      </w:r>
      <w:r>
        <w:rPr>
          <w:rFonts w:ascii="Bookman Old Style" w:eastAsia="MS Mincho" w:hAnsi="Bookman Old Style" w:cs="Arial"/>
          <w:i/>
          <w:iCs/>
          <w:sz w:val="20"/>
          <w:szCs w:val="20"/>
          <w:lang w:val="es-CO"/>
        </w:rPr>
        <w:t xml:space="preserve"> (…)” </w:t>
      </w:r>
      <w:r>
        <w:rPr>
          <w:rFonts w:ascii="Bookman Old Style" w:eastAsia="MS Mincho" w:hAnsi="Bookman Old Style" w:cs="Arial"/>
          <w:sz w:val="20"/>
          <w:szCs w:val="20"/>
          <w:lang w:val="es-CO"/>
        </w:rPr>
        <w:t>Resaltado y subrayado fuera de texto</w:t>
      </w:r>
    </w:p>
    <w:p w14:paraId="31421F32" w14:textId="77777777" w:rsidR="00484394" w:rsidRDefault="00484394" w:rsidP="00484394">
      <w:pPr>
        <w:ind w:left="284"/>
        <w:contextualSpacing/>
        <w:jc w:val="both"/>
        <w:rPr>
          <w:rFonts w:ascii="Bookman Old Style" w:eastAsia="MS Mincho" w:hAnsi="Bookman Old Style" w:cs="Arial"/>
          <w:lang w:val="es-CO"/>
        </w:rPr>
      </w:pPr>
    </w:p>
    <w:p w14:paraId="50B38486" w14:textId="692E7C31" w:rsidR="00484394" w:rsidRDefault="00484394" w:rsidP="00484394">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Ahora, </w:t>
      </w:r>
      <w:r w:rsidR="00671870">
        <w:rPr>
          <w:rFonts w:ascii="Bookman Old Style" w:eastAsia="MS Mincho" w:hAnsi="Bookman Old Style" w:cs="Arial"/>
          <w:lang w:val="es-CO"/>
        </w:rPr>
        <w:t xml:space="preserve">la ausencia de </w:t>
      </w:r>
      <w:r>
        <w:rPr>
          <w:rFonts w:ascii="Bookman Old Style" w:eastAsia="MS Mincho" w:hAnsi="Bookman Old Style" w:cs="Arial"/>
          <w:lang w:val="es-CO"/>
        </w:rPr>
        <w:t>regula</w:t>
      </w:r>
      <w:r w:rsidR="00671870">
        <w:rPr>
          <w:rFonts w:ascii="Bookman Old Style" w:eastAsia="MS Mincho" w:hAnsi="Bookman Old Style" w:cs="Arial"/>
          <w:lang w:val="es-CO"/>
        </w:rPr>
        <w:t xml:space="preserve">ción, particularmente de </w:t>
      </w:r>
      <w:r>
        <w:rPr>
          <w:rFonts w:ascii="Bookman Old Style" w:eastAsia="MS Mincho" w:hAnsi="Bookman Old Style" w:cs="Arial"/>
          <w:lang w:val="es-CO"/>
        </w:rPr>
        <w:t>los procedimientos para el proceso de conexión de generadores distribuidos en ZNI</w:t>
      </w:r>
      <w:r w:rsidR="00782C76">
        <w:rPr>
          <w:rFonts w:ascii="Bookman Old Style" w:eastAsia="MS Mincho" w:hAnsi="Bookman Old Style" w:cs="Arial"/>
          <w:lang w:val="es-CO"/>
        </w:rPr>
        <w:t xml:space="preserve"> que es </w:t>
      </w:r>
      <w:r>
        <w:rPr>
          <w:rFonts w:ascii="Bookman Old Style" w:eastAsia="MS Mincho" w:hAnsi="Bookman Old Style" w:cs="Arial"/>
          <w:lang w:val="es-CO"/>
        </w:rPr>
        <w:t>objeto de este análisis, no limita la posibilidad de que los mismos prestadores del servicio pudieran establecer procedimientos propios, sin desconocer los lineamientos y obligaciones dados en la misma ley 142 de 1994, entre otros:</w:t>
      </w:r>
    </w:p>
    <w:p w14:paraId="11EFEDD6" w14:textId="77777777" w:rsidR="00484394" w:rsidRDefault="00484394" w:rsidP="00484394">
      <w:pPr>
        <w:ind w:left="284"/>
        <w:contextualSpacing/>
        <w:jc w:val="both"/>
        <w:rPr>
          <w:rFonts w:ascii="Bookman Old Style" w:eastAsia="MS Mincho" w:hAnsi="Bookman Old Style" w:cs="Arial"/>
          <w:lang w:val="es-CO"/>
        </w:rPr>
      </w:pPr>
    </w:p>
    <w:p w14:paraId="3C83E676" w14:textId="77777777" w:rsidR="00484394" w:rsidRPr="008D3A5E" w:rsidRDefault="00484394" w:rsidP="001D3B27">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8D3A5E">
        <w:rPr>
          <w:rFonts w:ascii="Bookman Old Style" w:eastAsia="MS Mincho" w:hAnsi="Bookman Old Style" w:cs="Arial"/>
          <w:i/>
          <w:iCs/>
          <w:sz w:val="20"/>
          <w:szCs w:val="20"/>
          <w:lang w:val="es-CO"/>
        </w:rPr>
        <w:t xml:space="preserve">Artículo 11. Función social de la propiedad en las entidades prestadoras de servicios públicos. Para cumplir con la función social de la propiedad, pública o privada, </w:t>
      </w:r>
      <w:r w:rsidRPr="00430ED8">
        <w:rPr>
          <w:rFonts w:ascii="Bookman Old Style" w:eastAsia="MS Mincho" w:hAnsi="Bookman Old Style" w:cs="Arial"/>
          <w:b/>
          <w:bCs/>
          <w:i/>
          <w:iCs/>
          <w:sz w:val="20"/>
          <w:szCs w:val="20"/>
          <w:u w:val="single"/>
          <w:lang w:val="es-CO"/>
        </w:rPr>
        <w:t>las entidades que presten servicios públicos tienen las siguientes obligaciones:</w:t>
      </w:r>
      <w:r>
        <w:rPr>
          <w:rFonts w:ascii="Bookman Old Style" w:eastAsia="MS Mincho" w:hAnsi="Bookman Old Style" w:cs="Arial"/>
          <w:i/>
          <w:iCs/>
          <w:sz w:val="20"/>
          <w:szCs w:val="20"/>
          <w:lang w:val="es-CO"/>
        </w:rPr>
        <w:t xml:space="preserve"> (…)</w:t>
      </w:r>
    </w:p>
    <w:p w14:paraId="2B2D0DCB" w14:textId="77777777" w:rsidR="00484394" w:rsidRPr="008D3A5E" w:rsidRDefault="00484394" w:rsidP="001D3B27">
      <w:pPr>
        <w:ind w:left="567"/>
        <w:contextualSpacing/>
        <w:jc w:val="both"/>
        <w:rPr>
          <w:rFonts w:ascii="Bookman Old Style" w:eastAsia="MS Mincho" w:hAnsi="Bookman Old Style" w:cs="Arial"/>
          <w:i/>
          <w:iCs/>
          <w:sz w:val="20"/>
          <w:szCs w:val="20"/>
          <w:lang w:val="es-CO"/>
        </w:rPr>
      </w:pPr>
    </w:p>
    <w:p w14:paraId="7A76DED0" w14:textId="77777777" w:rsidR="00484394" w:rsidRPr="008D3A5E" w:rsidRDefault="00484394" w:rsidP="001D3B27">
      <w:pPr>
        <w:ind w:left="567"/>
        <w:contextualSpacing/>
        <w:jc w:val="both"/>
        <w:rPr>
          <w:rFonts w:ascii="Bookman Old Style" w:eastAsia="MS Mincho" w:hAnsi="Bookman Old Style" w:cs="Arial"/>
          <w:i/>
          <w:iCs/>
          <w:sz w:val="20"/>
          <w:szCs w:val="20"/>
          <w:lang w:val="es-CO"/>
        </w:rPr>
      </w:pPr>
      <w:r w:rsidRPr="008D3A5E">
        <w:rPr>
          <w:rFonts w:ascii="Bookman Old Style" w:eastAsia="MS Mincho" w:hAnsi="Bookman Old Style" w:cs="Arial"/>
          <w:i/>
          <w:iCs/>
          <w:sz w:val="20"/>
          <w:szCs w:val="20"/>
          <w:lang w:val="es-CO"/>
        </w:rPr>
        <w:t xml:space="preserve">11.2. </w:t>
      </w:r>
      <w:r w:rsidRPr="00430ED8">
        <w:rPr>
          <w:rFonts w:ascii="Bookman Old Style" w:eastAsia="MS Mincho" w:hAnsi="Bookman Old Style" w:cs="Arial"/>
          <w:b/>
          <w:bCs/>
          <w:i/>
          <w:iCs/>
          <w:sz w:val="20"/>
          <w:szCs w:val="20"/>
          <w:u w:val="single"/>
          <w:lang w:val="es-CO"/>
        </w:rPr>
        <w:t>Abstenerse de prácticas monopolísticas o restrictivas de la competencia</w:t>
      </w:r>
      <w:r w:rsidRPr="008D3A5E">
        <w:rPr>
          <w:rFonts w:ascii="Bookman Old Style" w:eastAsia="MS Mincho" w:hAnsi="Bookman Old Style" w:cs="Arial"/>
          <w:i/>
          <w:iCs/>
          <w:sz w:val="20"/>
          <w:szCs w:val="20"/>
          <w:lang w:val="es-CO"/>
        </w:rPr>
        <w:t>, cuando exista, de hecho, la posibilidad de la competencia.</w:t>
      </w:r>
    </w:p>
    <w:p w14:paraId="3D4EC900" w14:textId="77777777" w:rsidR="00484394" w:rsidRDefault="00484394" w:rsidP="001D3B27">
      <w:pPr>
        <w:ind w:left="567"/>
        <w:contextualSpacing/>
        <w:jc w:val="both"/>
        <w:rPr>
          <w:rFonts w:ascii="Bookman Old Style" w:eastAsia="MS Mincho" w:hAnsi="Bookman Old Style" w:cs="Arial"/>
          <w:i/>
          <w:iCs/>
          <w:sz w:val="20"/>
          <w:szCs w:val="20"/>
          <w:lang w:val="es-CO"/>
        </w:rPr>
      </w:pPr>
    </w:p>
    <w:p w14:paraId="1281CD29" w14:textId="77777777" w:rsidR="00484394" w:rsidRDefault="00484394" w:rsidP="001D3B27">
      <w:pPr>
        <w:ind w:left="567"/>
        <w:contextualSpacing/>
        <w:jc w:val="both"/>
        <w:rPr>
          <w:rFonts w:ascii="Bookman Old Style" w:eastAsia="MS Mincho" w:hAnsi="Bookman Old Style" w:cs="Arial"/>
          <w:i/>
          <w:iCs/>
          <w:sz w:val="20"/>
          <w:szCs w:val="20"/>
          <w:lang w:val="es-CO"/>
        </w:rPr>
      </w:pPr>
      <w:r w:rsidRPr="008D3A5E">
        <w:rPr>
          <w:rFonts w:ascii="Bookman Old Style" w:eastAsia="MS Mincho" w:hAnsi="Bookman Old Style" w:cs="Arial"/>
          <w:i/>
          <w:iCs/>
          <w:sz w:val="20"/>
          <w:szCs w:val="20"/>
          <w:lang w:val="es-CO"/>
        </w:rPr>
        <w:t xml:space="preserve">11.6. </w:t>
      </w:r>
      <w:r w:rsidRPr="00430ED8">
        <w:rPr>
          <w:rFonts w:ascii="Bookman Old Style" w:eastAsia="MS Mincho" w:hAnsi="Bookman Old Style" w:cs="Arial"/>
          <w:b/>
          <w:bCs/>
          <w:i/>
          <w:iCs/>
          <w:sz w:val="20"/>
          <w:szCs w:val="20"/>
          <w:u w:val="single"/>
          <w:lang w:val="es-CO"/>
        </w:rPr>
        <w:t>Facilitar el acceso e interconexión de otras empresas</w:t>
      </w:r>
      <w:r w:rsidRPr="008D3A5E">
        <w:rPr>
          <w:rFonts w:ascii="Bookman Old Style" w:eastAsia="MS Mincho" w:hAnsi="Bookman Old Style" w:cs="Arial"/>
          <w:i/>
          <w:iCs/>
          <w:sz w:val="20"/>
          <w:szCs w:val="20"/>
          <w:lang w:val="es-CO"/>
        </w:rPr>
        <w:t xml:space="preserve"> o entidades que prestan servicios públicos, o que sean grandes usuarios de ellos, </w:t>
      </w:r>
      <w:r w:rsidRPr="00430ED8">
        <w:rPr>
          <w:rFonts w:ascii="Bookman Old Style" w:eastAsia="MS Mincho" w:hAnsi="Bookman Old Style" w:cs="Arial"/>
          <w:b/>
          <w:bCs/>
          <w:i/>
          <w:iCs/>
          <w:sz w:val="20"/>
          <w:szCs w:val="20"/>
          <w:u w:val="single"/>
          <w:lang w:val="es-CO"/>
        </w:rPr>
        <w:t>a los bienes empleados para la organización y prestación de los servicios</w:t>
      </w:r>
      <w:r w:rsidRPr="008D3A5E">
        <w:rPr>
          <w:rFonts w:ascii="Bookman Old Style" w:eastAsia="MS Mincho" w:hAnsi="Bookman Old Style" w:cs="Arial"/>
          <w:i/>
          <w:iCs/>
          <w:sz w:val="20"/>
          <w:szCs w:val="20"/>
          <w:lang w:val="es-CO"/>
        </w:rPr>
        <w:t>.</w:t>
      </w:r>
      <w:r>
        <w:rPr>
          <w:rFonts w:ascii="Bookman Old Style" w:eastAsia="MS Mincho" w:hAnsi="Bookman Old Style" w:cs="Arial"/>
          <w:i/>
          <w:iCs/>
          <w:sz w:val="20"/>
          <w:szCs w:val="20"/>
          <w:lang w:val="es-CO"/>
        </w:rPr>
        <w:t xml:space="preserve"> (…)</w:t>
      </w:r>
    </w:p>
    <w:p w14:paraId="18A84E4D" w14:textId="77777777" w:rsidR="00484394" w:rsidRDefault="00484394" w:rsidP="001D3B27">
      <w:pPr>
        <w:ind w:left="567"/>
        <w:contextualSpacing/>
        <w:jc w:val="both"/>
        <w:rPr>
          <w:rFonts w:ascii="Bookman Old Style" w:eastAsia="MS Mincho" w:hAnsi="Bookman Old Style" w:cs="Arial"/>
          <w:i/>
          <w:iCs/>
          <w:sz w:val="20"/>
          <w:szCs w:val="20"/>
          <w:lang w:val="es-CO"/>
        </w:rPr>
      </w:pPr>
    </w:p>
    <w:p w14:paraId="0BD0A07D" w14:textId="77777777" w:rsidR="00484394" w:rsidRPr="00D417FA" w:rsidRDefault="00484394" w:rsidP="001D3B27">
      <w:pPr>
        <w:ind w:left="567"/>
        <w:contextualSpacing/>
        <w:jc w:val="both"/>
        <w:rPr>
          <w:rFonts w:ascii="Bookman Old Style" w:eastAsia="MS Mincho" w:hAnsi="Bookman Old Style" w:cs="Arial"/>
          <w:i/>
          <w:iCs/>
          <w:sz w:val="20"/>
          <w:szCs w:val="20"/>
          <w:lang w:val="es-CO"/>
        </w:rPr>
      </w:pPr>
      <w:r w:rsidRPr="00D417FA">
        <w:rPr>
          <w:rFonts w:ascii="Bookman Old Style" w:eastAsia="MS Mincho" w:hAnsi="Bookman Old Style" w:cs="Arial"/>
          <w:i/>
          <w:iCs/>
          <w:sz w:val="20"/>
          <w:szCs w:val="20"/>
          <w:lang w:val="es-CO"/>
        </w:rPr>
        <w:t xml:space="preserve">Artículo 34. Prohibición de prácticas discriminatorias, abusivas o restrictivas. Las empresas de servicios públicos, en todos sus actos y contratos, deben evitar privilegios y discriminaciones injustificados, y </w:t>
      </w:r>
      <w:r w:rsidRPr="00BA1720">
        <w:rPr>
          <w:rFonts w:ascii="Bookman Old Style" w:eastAsia="MS Mincho" w:hAnsi="Bookman Old Style" w:cs="Arial"/>
          <w:b/>
          <w:bCs/>
          <w:i/>
          <w:iCs/>
          <w:sz w:val="20"/>
          <w:szCs w:val="20"/>
          <w:u w:val="single"/>
          <w:lang w:val="es-CO"/>
        </w:rPr>
        <w:t>abstenerse de toda práctica que tenga la capacidad, el propósito o el efecto de generar competencia desleal o de restringir en forma indebida la competencia</w:t>
      </w:r>
      <w:r w:rsidRPr="00D417FA">
        <w:rPr>
          <w:rFonts w:ascii="Bookman Old Style" w:eastAsia="MS Mincho" w:hAnsi="Bookman Old Style" w:cs="Arial"/>
          <w:i/>
          <w:iCs/>
          <w:sz w:val="20"/>
          <w:szCs w:val="20"/>
          <w:lang w:val="es-CO"/>
        </w:rPr>
        <w:t>.</w:t>
      </w:r>
    </w:p>
    <w:p w14:paraId="5DA99DF2" w14:textId="77777777" w:rsidR="00484394" w:rsidRPr="00D417FA" w:rsidRDefault="00484394" w:rsidP="001D3B27">
      <w:pPr>
        <w:ind w:left="567"/>
        <w:contextualSpacing/>
        <w:jc w:val="both"/>
        <w:rPr>
          <w:rFonts w:ascii="Bookman Old Style" w:eastAsia="MS Mincho" w:hAnsi="Bookman Old Style" w:cs="Arial"/>
          <w:i/>
          <w:iCs/>
          <w:sz w:val="20"/>
          <w:szCs w:val="20"/>
          <w:lang w:val="es-CO"/>
        </w:rPr>
      </w:pPr>
    </w:p>
    <w:p w14:paraId="4F1D3224" w14:textId="77777777" w:rsidR="00484394" w:rsidRPr="00D417FA" w:rsidRDefault="00484394" w:rsidP="001D3B27">
      <w:pPr>
        <w:ind w:left="567"/>
        <w:contextualSpacing/>
        <w:jc w:val="both"/>
        <w:rPr>
          <w:rFonts w:ascii="Bookman Old Style" w:eastAsia="MS Mincho" w:hAnsi="Bookman Old Style" w:cs="Arial"/>
          <w:i/>
          <w:iCs/>
          <w:sz w:val="20"/>
          <w:szCs w:val="20"/>
          <w:lang w:val="es-CO"/>
        </w:rPr>
      </w:pPr>
      <w:r w:rsidRPr="00D417FA">
        <w:rPr>
          <w:rFonts w:ascii="Bookman Old Style" w:eastAsia="MS Mincho" w:hAnsi="Bookman Old Style" w:cs="Arial"/>
          <w:i/>
          <w:iCs/>
          <w:sz w:val="20"/>
          <w:szCs w:val="20"/>
          <w:lang w:val="es-CO"/>
        </w:rPr>
        <w:t>Se consideran restricciones indebidas a la competencia, entre otras, las siguientes:</w:t>
      </w:r>
      <w:r>
        <w:rPr>
          <w:rFonts w:ascii="Bookman Old Style" w:eastAsia="MS Mincho" w:hAnsi="Bookman Old Style" w:cs="Arial"/>
          <w:i/>
          <w:iCs/>
          <w:sz w:val="20"/>
          <w:szCs w:val="20"/>
          <w:lang w:val="es-CO"/>
        </w:rPr>
        <w:t xml:space="preserve"> (…)</w:t>
      </w:r>
    </w:p>
    <w:p w14:paraId="2E197821" w14:textId="77777777" w:rsidR="00484394" w:rsidRPr="00D417FA" w:rsidRDefault="00484394" w:rsidP="001D3B27">
      <w:pPr>
        <w:ind w:left="567"/>
        <w:contextualSpacing/>
        <w:jc w:val="both"/>
        <w:rPr>
          <w:rFonts w:ascii="Bookman Old Style" w:eastAsia="MS Mincho" w:hAnsi="Bookman Old Style" w:cs="Arial"/>
          <w:i/>
          <w:iCs/>
          <w:sz w:val="20"/>
          <w:szCs w:val="20"/>
          <w:lang w:val="es-CO"/>
        </w:rPr>
      </w:pPr>
    </w:p>
    <w:p w14:paraId="222256CB" w14:textId="77777777" w:rsidR="00484394" w:rsidRPr="00885188" w:rsidRDefault="00484394" w:rsidP="001D3B27">
      <w:pPr>
        <w:ind w:left="567"/>
        <w:contextualSpacing/>
        <w:jc w:val="both"/>
        <w:rPr>
          <w:rFonts w:ascii="Bookman Old Style" w:eastAsia="MS Mincho" w:hAnsi="Bookman Old Style" w:cs="Arial"/>
          <w:sz w:val="20"/>
          <w:szCs w:val="20"/>
          <w:lang w:val="es-CO"/>
        </w:rPr>
      </w:pPr>
      <w:r w:rsidRPr="00D417FA">
        <w:rPr>
          <w:rFonts w:ascii="Bookman Old Style" w:eastAsia="MS Mincho" w:hAnsi="Bookman Old Style" w:cs="Arial"/>
          <w:i/>
          <w:iCs/>
          <w:sz w:val="20"/>
          <w:szCs w:val="20"/>
          <w:lang w:val="es-CO"/>
        </w:rPr>
        <w:t xml:space="preserve">34.6. </w:t>
      </w:r>
      <w:r w:rsidRPr="00407392">
        <w:rPr>
          <w:rFonts w:ascii="Bookman Old Style" w:eastAsia="MS Mincho" w:hAnsi="Bookman Old Style" w:cs="Arial"/>
          <w:b/>
          <w:bCs/>
          <w:i/>
          <w:iCs/>
          <w:sz w:val="20"/>
          <w:szCs w:val="20"/>
          <w:u w:val="single"/>
          <w:lang w:val="es-CO"/>
        </w:rPr>
        <w:t>El abuso de la posición dominante al que se refiere el artículo 133 de esta Ley, cualquiera que sea la otra parte contratante y en cualquier clase de contratos</w:t>
      </w:r>
      <w:r w:rsidRPr="00D417FA">
        <w:rPr>
          <w:rFonts w:ascii="Bookman Old Style" w:eastAsia="MS Mincho" w:hAnsi="Bookman Old Style" w:cs="Arial"/>
          <w:i/>
          <w:iCs/>
          <w:sz w:val="20"/>
          <w:szCs w:val="20"/>
          <w:lang w:val="es-CO"/>
        </w:rPr>
        <w:t>.</w:t>
      </w:r>
      <w:r>
        <w:rPr>
          <w:rFonts w:ascii="Bookman Old Style" w:eastAsia="MS Mincho" w:hAnsi="Bookman Old Style" w:cs="Arial"/>
          <w:i/>
          <w:iCs/>
          <w:sz w:val="20"/>
          <w:szCs w:val="20"/>
          <w:lang w:val="es-CO"/>
        </w:rPr>
        <w:t xml:space="preserve"> (…)”</w:t>
      </w:r>
      <w:r>
        <w:rPr>
          <w:rFonts w:ascii="Bookman Old Style" w:eastAsia="MS Mincho" w:hAnsi="Bookman Old Style" w:cs="Arial"/>
          <w:sz w:val="20"/>
          <w:szCs w:val="20"/>
          <w:lang w:val="es-CO"/>
        </w:rPr>
        <w:t xml:space="preserve"> Resaltado y subrayado fuera de texto</w:t>
      </w:r>
    </w:p>
    <w:p w14:paraId="54F46856" w14:textId="77777777" w:rsidR="006F73D4" w:rsidRDefault="006F73D4" w:rsidP="00B264DC">
      <w:pPr>
        <w:pStyle w:val="Textoindependiente21"/>
        <w:ind w:left="284"/>
        <w:contextualSpacing/>
        <w:rPr>
          <w:rFonts w:ascii="Bookman Old Style" w:eastAsia="MS Mincho" w:hAnsi="Bookman Old Style"/>
          <w:sz w:val="24"/>
          <w:lang w:val="es-CO"/>
        </w:rPr>
      </w:pPr>
    </w:p>
    <w:p w14:paraId="56E39312" w14:textId="2DED27C9" w:rsidR="00BB3903" w:rsidRPr="00620D5A" w:rsidRDefault="00323A43" w:rsidP="00B264DC">
      <w:pPr>
        <w:pStyle w:val="Textoindependiente21"/>
        <w:ind w:left="284"/>
        <w:contextualSpacing/>
        <w:rPr>
          <w:rFonts w:ascii="Bookman Old Style" w:eastAsia="MS Mincho" w:hAnsi="Bookman Old Style"/>
          <w:sz w:val="24"/>
          <w:lang w:val="es-CO"/>
        </w:rPr>
      </w:pPr>
      <w:r>
        <w:rPr>
          <w:rFonts w:ascii="Bookman Old Style" w:eastAsia="MS Mincho" w:hAnsi="Bookman Old Style"/>
          <w:sz w:val="24"/>
          <w:lang w:val="es-CO"/>
        </w:rPr>
        <w:t>Adicionalmente</w:t>
      </w:r>
      <w:r w:rsidR="00E651DF">
        <w:rPr>
          <w:rFonts w:ascii="Bookman Old Style" w:eastAsia="MS Mincho" w:hAnsi="Bookman Old Style"/>
          <w:sz w:val="24"/>
          <w:lang w:val="es-CO"/>
        </w:rPr>
        <w:t xml:space="preserve">, </w:t>
      </w:r>
      <w:r w:rsidR="007C566F">
        <w:rPr>
          <w:rFonts w:ascii="Bookman Old Style" w:eastAsia="MS Mincho" w:hAnsi="Bookman Old Style"/>
          <w:sz w:val="24"/>
          <w:lang w:val="es-CO"/>
        </w:rPr>
        <w:t xml:space="preserve">en </w:t>
      </w:r>
      <w:r w:rsidR="0055438C" w:rsidRPr="00620D5A">
        <w:rPr>
          <w:rFonts w:ascii="Bookman Old Style" w:eastAsia="MS Mincho" w:hAnsi="Bookman Old Style"/>
          <w:sz w:val="24"/>
          <w:lang w:val="es-CO"/>
        </w:rPr>
        <w:t>el artículo 39 de la Ley 142 de 1994</w:t>
      </w:r>
      <w:r w:rsidR="005E7380" w:rsidRPr="00620D5A">
        <w:rPr>
          <w:rFonts w:ascii="Bookman Old Style" w:eastAsia="MS Mincho" w:hAnsi="Bookman Old Style"/>
          <w:sz w:val="24"/>
          <w:lang w:val="es-CO"/>
        </w:rPr>
        <w:t xml:space="preserve">, </w:t>
      </w:r>
      <w:r w:rsidR="001D3B27">
        <w:rPr>
          <w:rFonts w:ascii="Bookman Old Style" w:eastAsia="MS Mincho" w:hAnsi="Bookman Old Style"/>
          <w:sz w:val="24"/>
          <w:lang w:val="es-CO"/>
        </w:rPr>
        <w:t xml:space="preserve">se </w:t>
      </w:r>
      <w:r w:rsidR="007C566F">
        <w:rPr>
          <w:rFonts w:ascii="Bookman Old Style" w:eastAsia="MS Mincho" w:hAnsi="Bookman Old Style"/>
          <w:sz w:val="24"/>
          <w:lang w:val="es-CO"/>
        </w:rPr>
        <w:t xml:space="preserve">establece el mecanismo contractual mediante el cual </w:t>
      </w:r>
      <w:r w:rsidR="00A80C47">
        <w:rPr>
          <w:rFonts w:ascii="Bookman Old Style" w:eastAsia="MS Mincho" w:hAnsi="Bookman Old Style"/>
          <w:sz w:val="24"/>
          <w:lang w:val="es-CO"/>
        </w:rPr>
        <w:t>se puede convenir el acc</w:t>
      </w:r>
      <w:r w:rsidR="0007580C">
        <w:rPr>
          <w:rFonts w:ascii="Bookman Old Style" w:eastAsia="MS Mincho" w:hAnsi="Bookman Old Style"/>
          <w:sz w:val="24"/>
          <w:lang w:val="es-CO"/>
        </w:rPr>
        <w:t xml:space="preserve">eso compartido o de interconexión </w:t>
      </w:r>
      <w:r w:rsidR="004679C9">
        <w:rPr>
          <w:rFonts w:ascii="Bookman Old Style" w:eastAsia="MS Mincho" w:hAnsi="Bookman Old Style"/>
          <w:sz w:val="24"/>
          <w:lang w:val="es-CO"/>
        </w:rPr>
        <w:t>a bienes indispensables para la prestación de servicios públicos:</w:t>
      </w:r>
    </w:p>
    <w:p w14:paraId="7DEDEC64" w14:textId="77777777" w:rsidR="005E7380" w:rsidRDefault="005E7380" w:rsidP="00B264DC">
      <w:pPr>
        <w:pStyle w:val="Textoindependiente21"/>
        <w:ind w:left="284"/>
        <w:contextualSpacing/>
        <w:rPr>
          <w:rFonts w:ascii="Bookman Old Style" w:eastAsia="MS Mincho" w:hAnsi="Bookman Old Style"/>
          <w:sz w:val="24"/>
          <w:highlight w:val="cyan"/>
          <w:lang w:val="es-CO"/>
        </w:rPr>
      </w:pPr>
    </w:p>
    <w:p w14:paraId="1A912DCF" w14:textId="25FB9436" w:rsidR="00AE002D" w:rsidRPr="00AE002D" w:rsidRDefault="00AE002D" w:rsidP="001D3B27">
      <w:pPr>
        <w:pStyle w:val="Textoindependiente21"/>
        <w:ind w:left="567"/>
        <w:contextualSpacing/>
        <w:rPr>
          <w:rFonts w:ascii="Bookman Old Style" w:eastAsia="MS Mincho" w:hAnsi="Bookman Old Style"/>
          <w:i/>
          <w:iCs/>
          <w:sz w:val="20"/>
          <w:szCs w:val="16"/>
          <w:lang w:val="es-CO"/>
        </w:rPr>
      </w:pPr>
      <w:r>
        <w:rPr>
          <w:rFonts w:ascii="Bookman Old Style" w:eastAsia="MS Mincho" w:hAnsi="Bookman Old Style"/>
          <w:i/>
          <w:iCs/>
          <w:sz w:val="20"/>
          <w:szCs w:val="16"/>
          <w:lang w:val="es-CO"/>
        </w:rPr>
        <w:t>“</w:t>
      </w:r>
      <w:r w:rsidR="000952DF">
        <w:rPr>
          <w:rFonts w:ascii="Bookman Old Style" w:eastAsia="MS Mincho" w:hAnsi="Bookman Old Style"/>
          <w:i/>
          <w:iCs/>
          <w:sz w:val="20"/>
          <w:szCs w:val="16"/>
          <w:lang w:val="es-CO"/>
        </w:rPr>
        <w:t xml:space="preserve">(…) </w:t>
      </w:r>
      <w:r w:rsidR="000A3888" w:rsidRPr="00AE002D">
        <w:rPr>
          <w:rFonts w:ascii="Bookman Old Style" w:eastAsia="MS Mincho" w:hAnsi="Bookman Old Style"/>
          <w:i/>
          <w:iCs/>
          <w:sz w:val="20"/>
          <w:szCs w:val="16"/>
          <w:lang w:val="es-CO"/>
        </w:rPr>
        <w:t>Artículo 39. Contratos especiales. Para los efectos de la gestión de los servicios públicos se autoriza la celebración, entre otros, de los siguientes contratos especiales:</w:t>
      </w:r>
      <w:r w:rsidR="000952DF">
        <w:rPr>
          <w:rFonts w:ascii="Bookman Old Style" w:eastAsia="MS Mincho" w:hAnsi="Bookman Old Style"/>
          <w:i/>
          <w:iCs/>
          <w:sz w:val="20"/>
          <w:szCs w:val="16"/>
          <w:lang w:val="es-CO"/>
        </w:rPr>
        <w:t xml:space="preserve"> </w:t>
      </w:r>
      <w:r w:rsidRPr="00AE002D">
        <w:rPr>
          <w:rFonts w:ascii="Bookman Old Style" w:eastAsia="MS Mincho" w:hAnsi="Bookman Old Style"/>
          <w:i/>
          <w:iCs/>
          <w:sz w:val="20"/>
          <w:szCs w:val="16"/>
          <w:lang w:val="es-CO"/>
        </w:rPr>
        <w:t>(…)</w:t>
      </w:r>
    </w:p>
    <w:p w14:paraId="0E357882" w14:textId="77777777" w:rsidR="00AE002D" w:rsidRPr="00AE002D" w:rsidRDefault="00AE002D" w:rsidP="001D3B27">
      <w:pPr>
        <w:pStyle w:val="Textoindependiente21"/>
        <w:ind w:left="567"/>
        <w:contextualSpacing/>
        <w:rPr>
          <w:rFonts w:ascii="Bookman Old Style" w:eastAsia="MS Mincho" w:hAnsi="Bookman Old Style"/>
          <w:i/>
          <w:iCs/>
          <w:sz w:val="20"/>
          <w:szCs w:val="16"/>
          <w:lang w:val="es-CO"/>
        </w:rPr>
      </w:pPr>
    </w:p>
    <w:p w14:paraId="177F36C8" w14:textId="77777777" w:rsidR="00AE002D" w:rsidRPr="00693C52" w:rsidRDefault="00AE002D" w:rsidP="001D3B27">
      <w:pPr>
        <w:pStyle w:val="Textoindependiente21"/>
        <w:ind w:left="567"/>
        <w:contextualSpacing/>
        <w:rPr>
          <w:rFonts w:ascii="Bookman Old Style" w:eastAsia="MS Mincho" w:hAnsi="Bookman Old Style"/>
          <w:i/>
          <w:iCs/>
          <w:sz w:val="20"/>
          <w:szCs w:val="16"/>
          <w:lang w:val="es-CO"/>
        </w:rPr>
      </w:pPr>
      <w:r w:rsidRPr="00AE002D">
        <w:rPr>
          <w:rFonts w:ascii="Bookman Old Style" w:eastAsia="MS Mincho" w:hAnsi="Bookman Old Style"/>
          <w:i/>
          <w:iCs/>
          <w:sz w:val="20"/>
          <w:szCs w:val="16"/>
          <w:lang w:val="es-CO"/>
        </w:rPr>
        <w:t xml:space="preserve">39.4. </w:t>
      </w:r>
      <w:r w:rsidRPr="00693C52">
        <w:rPr>
          <w:rFonts w:ascii="Bookman Old Style" w:eastAsia="MS Mincho" w:hAnsi="Bookman Old Style"/>
          <w:i/>
          <w:iCs/>
          <w:sz w:val="20"/>
          <w:szCs w:val="16"/>
          <w:lang w:val="es-CO"/>
        </w:rPr>
        <w:t>Contratos en virtud de los cuales dos o mas entidades prestadoras de servicios públicos o éstas con grandes proveedores o usuarios, regulan el acceso compartido o de interconexión de bienes indispensables para la prestación de servicios públicos, mediante el pago de remuneración o peaje razonable.</w:t>
      </w:r>
    </w:p>
    <w:p w14:paraId="06655AFF" w14:textId="77777777" w:rsidR="00AE002D" w:rsidRPr="00693C52" w:rsidRDefault="00AE002D" w:rsidP="001D3B27">
      <w:pPr>
        <w:pStyle w:val="Textoindependiente21"/>
        <w:ind w:left="567"/>
        <w:contextualSpacing/>
        <w:rPr>
          <w:rFonts w:ascii="Bookman Old Style" w:eastAsia="MS Mincho" w:hAnsi="Bookman Old Style"/>
          <w:i/>
          <w:iCs/>
          <w:sz w:val="20"/>
          <w:szCs w:val="16"/>
          <w:lang w:val="es-CO"/>
        </w:rPr>
      </w:pPr>
    </w:p>
    <w:p w14:paraId="79608EEC" w14:textId="77777777" w:rsidR="00AE002D" w:rsidRPr="00AE002D" w:rsidRDefault="00AE002D" w:rsidP="001D3B27">
      <w:pPr>
        <w:pStyle w:val="Textoindependiente21"/>
        <w:ind w:left="567"/>
        <w:contextualSpacing/>
        <w:rPr>
          <w:rFonts w:ascii="Bookman Old Style" w:eastAsia="MS Mincho" w:hAnsi="Bookman Old Style"/>
          <w:i/>
          <w:iCs/>
          <w:sz w:val="20"/>
          <w:szCs w:val="16"/>
          <w:lang w:val="es-CO"/>
        </w:rPr>
      </w:pPr>
      <w:r w:rsidRPr="00693C52">
        <w:rPr>
          <w:rFonts w:ascii="Bookman Old Style" w:eastAsia="MS Mincho" w:hAnsi="Bookman Old Style"/>
          <w:i/>
          <w:iCs/>
          <w:sz w:val="20"/>
          <w:szCs w:val="16"/>
          <w:lang w:val="es-CO"/>
        </w:rPr>
        <w:t>Este contrato puede celebrarse también entre una empresa de servicios públicos y cualquiera de sus grandes proveedores o usuarios.</w:t>
      </w:r>
    </w:p>
    <w:p w14:paraId="0857ECF9" w14:textId="77777777" w:rsidR="00AE002D" w:rsidRPr="00AE002D" w:rsidRDefault="00AE002D" w:rsidP="001D3B27">
      <w:pPr>
        <w:pStyle w:val="Textoindependiente21"/>
        <w:ind w:left="567"/>
        <w:contextualSpacing/>
        <w:rPr>
          <w:rFonts w:ascii="Bookman Old Style" w:eastAsia="MS Mincho" w:hAnsi="Bookman Old Style"/>
          <w:i/>
          <w:iCs/>
          <w:sz w:val="20"/>
          <w:szCs w:val="16"/>
          <w:lang w:val="es-CO"/>
        </w:rPr>
      </w:pPr>
    </w:p>
    <w:p w14:paraId="6867A03B" w14:textId="19C2B0E1" w:rsidR="00AE002D" w:rsidRPr="00AE002D" w:rsidRDefault="00AE002D" w:rsidP="001D3B27">
      <w:pPr>
        <w:pStyle w:val="Textoindependiente21"/>
        <w:ind w:left="567"/>
        <w:contextualSpacing/>
        <w:rPr>
          <w:rFonts w:ascii="Bookman Old Style" w:eastAsia="MS Mincho" w:hAnsi="Bookman Old Style"/>
          <w:i/>
          <w:iCs/>
          <w:sz w:val="20"/>
          <w:szCs w:val="16"/>
          <w:highlight w:val="cyan"/>
          <w:lang w:val="es-CO"/>
        </w:rPr>
      </w:pPr>
      <w:r w:rsidRPr="00AE002D">
        <w:rPr>
          <w:rFonts w:ascii="Bookman Old Style" w:eastAsia="MS Mincho" w:hAnsi="Bookman Old Style"/>
          <w:i/>
          <w:iCs/>
          <w:sz w:val="20"/>
          <w:szCs w:val="16"/>
          <w:lang w:val="es-CO"/>
        </w:rPr>
        <w:t>Si las partes no se convienen, en virtud de esta Ley la comisión de regulación podrá imponer una servidumbre de acceso o de interconexión a quien tenga el uso del bien.</w:t>
      </w:r>
      <w:r w:rsidR="000D393A">
        <w:rPr>
          <w:rFonts w:ascii="Bookman Old Style" w:eastAsia="MS Mincho" w:hAnsi="Bookman Old Style"/>
          <w:i/>
          <w:iCs/>
          <w:sz w:val="20"/>
          <w:szCs w:val="16"/>
          <w:lang w:val="es-CO"/>
        </w:rPr>
        <w:t>”</w:t>
      </w:r>
    </w:p>
    <w:p w14:paraId="16C25BAD" w14:textId="77777777" w:rsidR="00A829B2" w:rsidRDefault="00A829B2" w:rsidP="00B264DC">
      <w:pPr>
        <w:pStyle w:val="Textoindependiente21"/>
        <w:ind w:left="284"/>
        <w:contextualSpacing/>
        <w:rPr>
          <w:rFonts w:ascii="Bookman Old Style" w:eastAsia="MS Mincho" w:hAnsi="Bookman Old Style"/>
          <w:sz w:val="24"/>
          <w:highlight w:val="cyan"/>
          <w:lang w:val="es-CO"/>
        </w:rPr>
      </w:pPr>
    </w:p>
    <w:p w14:paraId="1D92AF39" w14:textId="5FA08906" w:rsidR="001774CC" w:rsidRDefault="00F83827" w:rsidP="00B11EC0">
      <w:pPr>
        <w:pStyle w:val="Textoindependiente21"/>
        <w:ind w:left="284"/>
        <w:contextualSpacing/>
        <w:rPr>
          <w:rFonts w:ascii="Bookman Old Style" w:eastAsia="MS Mincho" w:hAnsi="Bookman Old Style"/>
          <w:sz w:val="24"/>
          <w:lang w:val="es-CO"/>
        </w:rPr>
      </w:pPr>
      <w:r>
        <w:rPr>
          <w:rFonts w:ascii="Bookman Old Style" w:eastAsia="MS Mincho" w:hAnsi="Bookman Old Style"/>
          <w:sz w:val="24"/>
          <w:lang w:val="es-CO"/>
        </w:rPr>
        <w:t>Adicionalmente</w:t>
      </w:r>
      <w:r w:rsidR="001D3B27">
        <w:rPr>
          <w:rFonts w:ascii="Bookman Old Style" w:eastAsia="MS Mincho" w:hAnsi="Bookman Old Style"/>
          <w:sz w:val="24"/>
          <w:lang w:val="es-CO"/>
        </w:rPr>
        <w:t>,</w:t>
      </w:r>
      <w:r>
        <w:rPr>
          <w:rFonts w:ascii="Bookman Old Style" w:eastAsia="MS Mincho" w:hAnsi="Bookman Old Style"/>
          <w:sz w:val="24"/>
          <w:lang w:val="es-CO"/>
        </w:rPr>
        <w:t xml:space="preserve"> y d</w:t>
      </w:r>
      <w:r w:rsidR="00155098" w:rsidRPr="007647DB">
        <w:rPr>
          <w:rFonts w:ascii="Bookman Old Style" w:eastAsia="MS Mincho" w:hAnsi="Bookman Old Style"/>
          <w:sz w:val="24"/>
          <w:lang w:val="es-CO"/>
        </w:rPr>
        <w:t xml:space="preserve">e acuerdo con el </w:t>
      </w:r>
      <w:r w:rsidR="00B11EC0" w:rsidRPr="007647DB">
        <w:rPr>
          <w:rFonts w:ascii="Bookman Old Style" w:eastAsia="MS Mincho" w:hAnsi="Bookman Old Style"/>
          <w:sz w:val="24"/>
          <w:lang w:val="es-CO"/>
        </w:rPr>
        <w:t xml:space="preserve">numeral 39.4 </w:t>
      </w:r>
      <w:r w:rsidR="006C477B">
        <w:rPr>
          <w:rFonts w:ascii="Bookman Old Style" w:eastAsia="MS Mincho" w:hAnsi="Bookman Old Style"/>
          <w:sz w:val="24"/>
          <w:lang w:val="es-CO"/>
        </w:rPr>
        <w:t xml:space="preserve">transcrito, </w:t>
      </w:r>
      <w:r w:rsidR="000B5DDB" w:rsidRPr="007647DB">
        <w:rPr>
          <w:rFonts w:ascii="Bookman Old Style" w:eastAsia="MS Mincho" w:hAnsi="Bookman Old Style"/>
          <w:sz w:val="24"/>
          <w:lang w:val="es-CO"/>
        </w:rPr>
        <w:t>en caso de</w:t>
      </w:r>
      <w:r w:rsidR="00B11EC0" w:rsidRPr="007647DB">
        <w:rPr>
          <w:rFonts w:ascii="Bookman Old Style" w:eastAsia="MS Mincho" w:hAnsi="Bookman Old Style"/>
          <w:sz w:val="24"/>
          <w:lang w:val="es-CO"/>
        </w:rPr>
        <w:t xml:space="preserve"> que </w:t>
      </w:r>
      <w:r w:rsidR="005D4CF7" w:rsidRPr="007647DB">
        <w:rPr>
          <w:rFonts w:ascii="Bookman Old Style" w:eastAsia="MS Mincho" w:hAnsi="Bookman Old Style"/>
          <w:sz w:val="24"/>
          <w:lang w:val="es-CO"/>
        </w:rPr>
        <w:t xml:space="preserve">las partes no lleguen a un acuerdo, </w:t>
      </w:r>
      <w:r w:rsidR="0055334E" w:rsidRPr="007647DB">
        <w:rPr>
          <w:rFonts w:ascii="Bookman Old Style" w:eastAsia="MS Mincho" w:hAnsi="Bookman Old Style"/>
          <w:sz w:val="24"/>
          <w:lang w:val="es-CO"/>
        </w:rPr>
        <w:t xml:space="preserve">la </w:t>
      </w:r>
      <w:r w:rsidR="00235588">
        <w:rPr>
          <w:rFonts w:ascii="Bookman Old Style" w:eastAsia="MS Mincho" w:hAnsi="Bookman Old Style"/>
          <w:sz w:val="24"/>
          <w:lang w:val="es-CO"/>
        </w:rPr>
        <w:t xml:space="preserve">respectiva </w:t>
      </w:r>
      <w:r w:rsidR="00FC1425" w:rsidRPr="007647DB">
        <w:rPr>
          <w:rFonts w:ascii="Bookman Old Style" w:eastAsia="MS Mincho" w:hAnsi="Bookman Old Style"/>
          <w:sz w:val="24"/>
          <w:lang w:val="es-CO"/>
        </w:rPr>
        <w:t xml:space="preserve">comisión de regulación podrá imponer una </w:t>
      </w:r>
      <w:r w:rsidR="00B11EC0" w:rsidRPr="007647DB">
        <w:rPr>
          <w:rFonts w:ascii="Bookman Old Style" w:eastAsia="MS Mincho" w:hAnsi="Bookman Old Style"/>
          <w:sz w:val="24"/>
          <w:lang w:val="es-CO"/>
        </w:rPr>
        <w:t>servidumbre a quien tenga el uso del bien</w:t>
      </w:r>
      <w:r w:rsidR="00402D21" w:rsidRPr="007647DB">
        <w:rPr>
          <w:rFonts w:ascii="Bookman Old Style" w:eastAsia="MS Mincho" w:hAnsi="Bookman Old Style"/>
          <w:sz w:val="24"/>
          <w:lang w:val="es-CO"/>
        </w:rPr>
        <w:t xml:space="preserve">. </w:t>
      </w:r>
      <w:r w:rsidR="00B8799E">
        <w:rPr>
          <w:rFonts w:ascii="Bookman Old Style" w:eastAsia="MS Mincho" w:hAnsi="Bookman Old Style"/>
          <w:sz w:val="24"/>
          <w:lang w:val="es-CO"/>
        </w:rPr>
        <w:t>En ese sentido</w:t>
      </w:r>
      <w:r w:rsidR="00402D21" w:rsidRPr="007647DB">
        <w:rPr>
          <w:rFonts w:ascii="Bookman Old Style" w:eastAsia="MS Mincho" w:hAnsi="Bookman Old Style"/>
          <w:sz w:val="24"/>
          <w:lang w:val="es-CO"/>
        </w:rPr>
        <w:t>,</w:t>
      </w:r>
      <w:r w:rsidR="00D83464">
        <w:rPr>
          <w:rFonts w:ascii="Bookman Old Style" w:eastAsia="MS Mincho" w:hAnsi="Bookman Old Style"/>
          <w:sz w:val="24"/>
          <w:lang w:val="es-CO"/>
        </w:rPr>
        <w:t xml:space="preserve"> </w:t>
      </w:r>
      <w:r w:rsidR="00931087" w:rsidRPr="007647DB">
        <w:rPr>
          <w:rFonts w:ascii="Bookman Old Style" w:eastAsia="MS Mincho" w:hAnsi="Bookman Old Style"/>
          <w:sz w:val="24"/>
          <w:lang w:val="es-CO"/>
        </w:rPr>
        <w:t xml:space="preserve">la imposición de servidumbre </w:t>
      </w:r>
      <w:r w:rsidR="00752E65">
        <w:rPr>
          <w:rFonts w:ascii="Bookman Old Style" w:eastAsia="MS Mincho" w:hAnsi="Bookman Old Style"/>
          <w:sz w:val="24"/>
          <w:lang w:val="es-CO"/>
        </w:rPr>
        <w:t xml:space="preserve">no </w:t>
      </w:r>
      <w:r w:rsidR="00A22EF5">
        <w:rPr>
          <w:rFonts w:ascii="Bookman Old Style" w:eastAsia="MS Mincho" w:hAnsi="Bookman Old Style"/>
          <w:sz w:val="24"/>
          <w:lang w:val="es-CO"/>
        </w:rPr>
        <w:t xml:space="preserve">se predica </w:t>
      </w:r>
      <w:r w:rsidR="00931087" w:rsidRPr="007647DB">
        <w:rPr>
          <w:rFonts w:ascii="Bookman Old Style" w:eastAsia="MS Mincho" w:hAnsi="Bookman Old Style"/>
          <w:sz w:val="24"/>
          <w:lang w:val="es-CO"/>
        </w:rPr>
        <w:t xml:space="preserve">solamente </w:t>
      </w:r>
      <w:r w:rsidR="00A22EF5">
        <w:rPr>
          <w:rFonts w:ascii="Bookman Old Style" w:eastAsia="MS Mincho" w:hAnsi="Bookman Old Style"/>
          <w:sz w:val="24"/>
          <w:lang w:val="es-CO"/>
        </w:rPr>
        <w:t xml:space="preserve">sobre agentes que </w:t>
      </w:r>
      <w:r w:rsidR="00B735D1">
        <w:rPr>
          <w:rFonts w:ascii="Bookman Old Style" w:eastAsia="MS Mincho" w:hAnsi="Bookman Old Style"/>
          <w:sz w:val="24"/>
          <w:lang w:val="es-CO"/>
        </w:rPr>
        <w:t xml:space="preserve">tengan la calidad de </w:t>
      </w:r>
      <w:r w:rsidR="00931087" w:rsidRPr="007647DB">
        <w:rPr>
          <w:rFonts w:ascii="Bookman Old Style" w:eastAsia="MS Mincho" w:hAnsi="Bookman Old Style"/>
          <w:sz w:val="24"/>
          <w:lang w:val="es-CO"/>
        </w:rPr>
        <w:t>distribuidores</w:t>
      </w:r>
      <w:r w:rsidR="00B735D1">
        <w:rPr>
          <w:rFonts w:ascii="Bookman Old Style" w:eastAsia="MS Mincho" w:hAnsi="Bookman Old Style"/>
          <w:sz w:val="24"/>
          <w:lang w:val="es-CO"/>
        </w:rPr>
        <w:t xml:space="preserve"> de energía eléctrica</w:t>
      </w:r>
      <w:r w:rsidR="001D3B27">
        <w:rPr>
          <w:rFonts w:ascii="Bookman Old Style" w:eastAsia="MS Mincho" w:hAnsi="Bookman Old Style"/>
          <w:sz w:val="24"/>
          <w:lang w:val="es-CO"/>
        </w:rPr>
        <w:t>. S</w:t>
      </w:r>
      <w:r w:rsidR="00997FAC">
        <w:rPr>
          <w:rFonts w:ascii="Bookman Old Style" w:eastAsia="MS Mincho" w:hAnsi="Bookman Old Style"/>
          <w:sz w:val="24"/>
          <w:lang w:val="es-CO"/>
        </w:rPr>
        <w:t xml:space="preserve">e refiere </w:t>
      </w:r>
      <w:r w:rsidR="001D3B27">
        <w:rPr>
          <w:rFonts w:ascii="Bookman Old Style" w:eastAsia="MS Mincho" w:hAnsi="Bookman Old Style"/>
          <w:sz w:val="24"/>
          <w:lang w:val="es-CO"/>
        </w:rPr>
        <w:t xml:space="preserve">a </w:t>
      </w:r>
      <w:r w:rsidR="00A32F59">
        <w:rPr>
          <w:rFonts w:ascii="Bookman Old Style" w:eastAsia="MS Mincho" w:hAnsi="Bookman Old Style"/>
          <w:sz w:val="24"/>
          <w:lang w:val="es-CO"/>
        </w:rPr>
        <w:t xml:space="preserve">las empresas de servicios públicos </w:t>
      </w:r>
      <w:r w:rsidR="00517C85">
        <w:rPr>
          <w:rFonts w:ascii="Bookman Old Style" w:eastAsia="MS Mincho" w:hAnsi="Bookman Old Style"/>
          <w:sz w:val="24"/>
          <w:lang w:val="es-CO"/>
        </w:rPr>
        <w:t xml:space="preserve">que </w:t>
      </w:r>
      <w:r w:rsidR="00C33780">
        <w:rPr>
          <w:rFonts w:ascii="Bookman Old Style" w:eastAsia="MS Mincho" w:hAnsi="Bookman Old Style"/>
          <w:sz w:val="24"/>
          <w:lang w:val="es-CO"/>
        </w:rPr>
        <w:t>tenga</w:t>
      </w:r>
      <w:r w:rsidR="00295495">
        <w:rPr>
          <w:rFonts w:ascii="Bookman Old Style" w:eastAsia="MS Mincho" w:hAnsi="Bookman Old Style"/>
          <w:sz w:val="24"/>
          <w:lang w:val="es-CO"/>
        </w:rPr>
        <w:t>n</w:t>
      </w:r>
      <w:r w:rsidR="00C33780">
        <w:rPr>
          <w:rFonts w:ascii="Bookman Old Style" w:eastAsia="MS Mincho" w:hAnsi="Bookman Old Style"/>
          <w:sz w:val="24"/>
          <w:lang w:val="es-CO"/>
        </w:rPr>
        <w:t xml:space="preserve"> el uso del bien.</w:t>
      </w:r>
    </w:p>
    <w:p w14:paraId="2D2CEBF2" w14:textId="77777777" w:rsidR="001774CC" w:rsidRDefault="001774CC" w:rsidP="00B11EC0">
      <w:pPr>
        <w:pStyle w:val="Textoindependiente21"/>
        <w:ind w:left="284"/>
        <w:contextualSpacing/>
        <w:rPr>
          <w:rFonts w:ascii="Bookman Old Style" w:eastAsia="MS Mincho" w:hAnsi="Bookman Old Style"/>
          <w:sz w:val="24"/>
          <w:lang w:val="es-CO"/>
        </w:rPr>
      </w:pPr>
    </w:p>
    <w:p w14:paraId="0DC79E79" w14:textId="5AA9B67A" w:rsidR="00C71DFC" w:rsidRPr="00CB101C" w:rsidRDefault="006C3DA5" w:rsidP="00B11EC0">
      <w:pPr>
        <w:pStyle w:val="Textoindependiente21"/>
        <w:ind w:left="284"/>
        <w:contextualSpacing/>
        <w:rPr>
          <w:rFonts w:ascii="Bookman Old Style" w:eastAsia="MS Mincho" w:hAnsi="Bookman Old Style"/>
          <w:sz w:val="24"/>
          <w:szCs w:val="24"/>
          <w:lang w:val="es-CO"/>
        </w:rPr>
      </w:pPr>
      <w:r w:rsidRPr="007647DB">
        <w:rPr>
          <w:rFonts w:ascii="Bookman Old Style" w:eastAsia="MS Mincho" w:hAnsi="Bookman Old Style"/>
          <w:sz w:val="24"/>
          <w:lang w:val="es-CO"/>
        </w:rPr>
        <w:t>Al respecto</w:t>
      </w:r>
      <w:r w:rsidR="009B5D35" w:rsidRPr="007647DB">
        <w:rPr>
          <w:rFonts w:ascii="Bookman Old Style" w:eastAsia="MS Mincho" w:hAnsi="Bookman Old Style"/>
          <w:sz w:val="24"/>
          <w:lang w:val="es-CO"/>
        </w:rPr>
        <w:t xml:space="preserve">, </w:t>
      </w:r>
      <w:r w:rsidR="00F54644" w:rsidRPr="007647DB">
        <w:rPr>
          <w:rFonts w:ascii="Bookman Old Style" w:eastAsia="MS Mincho" w:hAnsi="Bookman Old Style"/>
          <w:sz w:val="24"/>
          <w:lang w:val="es-CO"/>
        </w:rPr>
        <w:t xml:space="preserve">el </w:t>
      </w:r>
      <w:r w:rsidR="00A448F9" w:rsidRPr="007647DB">
        <w:rPr>
          <w:rFonts w:ascii="Bookman Old Style" w:eastAsia="MS Mincho" w:hAnsi="Bookman Old Style"/>
          <w:sz w:val="24"/>
          <w:lang w:val="es-CO"/>
        </w:rPr>
        <w:t xml:space="preserve">MME ha manifestado en varias oportunidades </w:t>
      </w:r>
      <w:r w:rsidR="008A43D8" w:rsidRPr="007647DB">
        <w:rPr>
          <w:rFonts w:ascii="Bookman Old Style" w:eastAsia="MS Mincho" w:hAnsi="Bookman Old Style"/>
          <w:sz w:val="24"/>
          <w:lang w:val="es-CO"/>
        </w:rPr>
        <w:t xml:space="preserve">que </w:t>
      </w:r>
      <w:r w:rsidRPr="007647DB">
        <w:rPr>
          <w:rFonts w:ascii="Bookman Old Style" w:eastAsia="MS Mincho" w:hAnsi="Bookman Old Style"/>
          <w:sz w:val="24"/>
          <w:lang w:val="es-CO"/>
        </w:rPr>
        <w:t xml:space="preserve">GENSA </w:t>
      </w:r>
      <w:r w:rsidR="006228A3" w:rsidRPr="007647DB">
        <w:rPr>
          <w:rFonts w:ascii="Bookman Old Style" w:eastAsia="MS Mincho" w:hAnsi="Bookman Old Style"/>
          <w:sz w:val="24"/>
          <w:lang w:val="es-CO"/>
        </w:rPr>
        <w:t xml:space="preserve">es quien </w:t>
      </w:r>
      <w:r w:rsidRPr="007647DB">
        <w:rPr>
          <w:rFonts w:ascii="Bookman Old Style" w:eastAsia="MS Mincho" w:hAnsi="Bookman Old Style"/>
          <w:sz w:val="24"/>
          <w:lang w:val="es-CO"/>
        </w:rPr>
        <w:t>posee el uso y goce de la infraestructura</w:t>
      </w:r>
      <w:r w:rsidR="00BB6086" w:rsidRPr="007647DB">
        <w:rPr>
          <w:rFonts w:ascii="Bookman Old Style" w:eastAsia="MS Mincho" w:hAnsi="Bookman Old Style"/>
          <w:sz w:val="24"/>
          <w:lang w:val="es-CO"/>
        </w:rPr>
        <w:t xml:space="preserve"> </w:t>
      </w:r>
      <w:r w:rsidR="00EC7B9B">
        <w:rPr>
          <w:rFonts w:ascii="Bookman Old Style" w:eastAsia="MS Mincho" w:hAnsi="Bookman Old Style"/>
          <w:sz w:val="24"/>
          <w:lang w:val="es-CO"/>
        </w:rPr>
        <w:t xml:space="preserve">sobre la que se solicita la imposición de servidumbre. </w:t>
      </w:r>
      <w:r w:rsidR="00F35ED1" w:rsidRPr="00CB101C">
        <w:rPr>
          <w:rFonts w:ascii="Bookman Old Style" w:eastAsia="MS Mincho" w:hAnsi="Bookman Old Style"/>
          <w:sz w:val="24"/>
          <w:szCs w:val="24"/>
          <w:lang w:val="es-CO"/>
        </w:rPr>
        <w:t xml:space="preserve">Mediante </w:t>
      </w:r>
      <w:r w:rsidR="00B0589E">
        <w:rPr>
          <w:rFonts w:ascii="Bookman Old Style" w:eastAsia="MS Mincho" w:hAnsi="Bookman Old Style"/>
          <w:sz w:val="24"/>
          <w:szCs w:val="24"/>
          <w:lang w:val="es-CO"/>
        </w:rPr>
        <w:t xml:space="preserve">comunicación </w:t>
      </w:r>
      <w:r w:rsidR="00B0589E" w:rsidRPr="00B0589E">
        <w:rPr>
          <w:rFonts w:ascii="Bookman Old Style" w:hAnsi="Bookman Old Style" w:cs="Arial"/>
          <w:sz w:val="24"/>
          <w:szCs w:val="24"/>
        </w:rPr>
        <w:t>con radicado MME No. 2019091375 del 26 de diciembre del 2019, en la que la Dirección de Energía Eléctrica del MME responde a derecho de petición presentado por DUE</w:t>
      </w:r>
      <w:r w:rsidR="00B0589E">
        <w:rPr>
          <w:rFonts w:ascii="Bookman Old Style" w:hAnsi="Bookman Old Style" w:cs="Arial"/>
          <w:sz w:val="24"/>
          <w:szCs w:val="24"/>
        </w:rPr>
        <w:t xml:space="preserve">, se </w:t>
      </w:r>
      <w:r w:rsidR="00B0589E" w:rsidRPr="00B0589E">
        <w:rPr>
          <w:rFonts w:ascii="Bookman Old Style" w:hAnsi="Bookman Old Style" w:cs="Arial"/>
          <w:sz w:val="24"/>
          <w:szCs w:val="24"/>
        </w:rPr>
        <w:t>indicó lo siguiente</w:t>
      </w:r>
      <w:r w:rsidR="009144F9">
        <w:rPr>
          <w:rFonts w:ascii="Bookman Old Style" w:hAnsi="Bookman Old Style" w:cs="Arial"/>
          <w:sz w:val="24"/>
          <w:szCs w:val="24"/>
        </w:rPr>
        <w:t>:</w:t>
      </w:r>
    </w:p>
    <w:p w14:paraId="481D1098" w14:textId="77777777" w:rsidR="00402D21" w:rsidRDefault="00402D21" w:rsidP="00B11EC0">
      <w:pPr>
        <w:pStyle w:val="Textoindependiente21"/>
        <w:ind w:left="284"/>
        <w:contextualSpacing/>
        <w:rPr>
          <w:rFonts w:ascii="Bookman Old Style" w:eastAsia="MS Mincho" w:hAnsi="Bookman Old Style"/>
          <w:sz w:val="24"/>
          <w:highlight w:val="yellow"/>
          <w:lang w:val="es-CO"/>
        </w:rPr>
      </w:pPr>
    </w:p>
    <w:p w14:paraId="5232B7DD" w14:textId="68869D25" w:rsidR="007E64FE" w:rsidRPr="0074338C" w:rsidRDefault="007E64FE" w:rsidP="001D3B27">
      <w:pPr>
        <w:ind w:left="567"/>
        <w:contextualSpacing/>
        <w:jc w:val="both"/>
        <w:rPr>
          <w:rFonts w:ascii="Bookman Old Style" w:hAnsi="Bookman Old Style" w:cs="Arial"/>
          <w:i/>
          <w:iCs/>
          <w:sz w:val="20"/>
          <w:szCs w:val="20"/>
        </w:rPr>
      </w:pPr>
      <w:r>
        <w:rPr>
          <w:rFonts w:ascii="Bookman Old Style" w:hAnsi="Bookman Old Style" w:cs="Arial"/>
          <w:i/>
          <w:iCs/>
          <w:sz w:val="20"/>
          <w:szCs w:val="20"/>
        </w:rPr>
        <w:t>“</w:t>
      </w:r>
      <w:r w:rsidR="00B917C7">
        <w:rPr>
          <w:rFonts w:ascii="Bookman Old Style" w:hAnsi="Bookman Old Style" w:cs="Arial"/>
          <w:i/>
          <w:iCs/>
          <w:sz w:val="20"/>
          <w:szCs w:val="20"/>
        </w:rPr>
        <w:t xml:space="preserve">(…) </w:t>
      </w:r>
      <w:r w:rsidRPr="0074338C">
        <w:rPr>
          <w:rFonts w:ascii="Bookman Old Style" w:hAnsi="Bookman Old Style" w:cs="Arial"/>
          <w:i/>
          <w:iCs/>
          <w:sz w:val="20"/>
          <w:szCs w:val="20"/>
        </w:rPr>
        <w:t>2.</w:t>
      </w:r>
      <w:r>
        <w:rPr>
          <w:rFonts w:ascii="Bookman Old Style" w:hAnsi="Bookman Old Style" w:cs="Arial"/>
          <w:i/>
          <w:iCs/>
          <w:sz w:val="20"/>
          <w:szCs w:val="20"/>
        </w:rPr>
        <w:t xml:space="preserve"> </w:t>
      </w:r>
      <w:r w:rsidRPr="00EC71D5">
        <w:rPr>
          <w:rFonts w:ascii="Bookman Old Style" w:hAnsi="Bookman Old Style" w:cs="Arial"/>
          <w:b/>
          <w:bCs/>
          <w:i/>
          <w:iCs/>
          <w:sz w:val="20"/>
          <w:szCs w:val="20"/>
          <w:u w:val="single"/>
        </w:rPr>
        <w:t>El uso y goce de dicha infraestructura, fue entregado a la empresa GENSA S.A. E,S,P. por medio del contrato GGC 209 - 2013</w:t>
      </w:r>
      <w:r w:rsidRPr="0074338C">
        <w:rPr>
          <w:rFonts w:ascii="Bookman Old Style" w:hAnsi="Bookman Old Style" w:cs="Arial"/>
          <w:i/>
          <w:iCs/>
          <w:sz w:val="20"/>
          <w:szCs w:val="20"/>
        </w:rPr>
        <w:t>, en el cual también se le asignaron a la mencionada empresa obligaciones en materia de administración, operación y mantenimiento.</w:t>
      </w:r>
    </w:p>
    <w:p w14:paraId="7EC475BE" w14:textId="77777777" w:rsidR="007E64FE" w:rsidRDefault="007E64FE" w:rsidP="001D3B27">
      <w:pPr>
        <w:ind w:left="567"/>
        <w:contextualSpacing/>
        <w:jc w:val="both"/>
        <w:rPr>
          <w:rFonts w:ascii="Bookman Old Style" w:hAnsi="Bookman Old Style" w:cs="Arial"/>
          <w:i/>
          <w:iCs/>
          <w:sz w:val="20"/>
          <w:szCs w:val="20"/>
        </w:rPr>
      </w:pPr>
    </w:p>
    <w:p w14:paraId="51E5FFC5" w14:textId="1505E304" w:rsidR="007E64FE" w:rsidRPr="001B35BF" w:rsidRDefault="007E64FE" w:rsidP="001D3B27">
      <w:pPr>
        <w:ind w:left="567"/>
        <w:contextualSpacing/>
        <w:jc w:val="both"/>
        <w:rPr>
          <w:rFonts w:ascii="Bookman Old Style" w:hAnsi="Bookman Old Style" w:cs="Arial"/>
          <w:sz w:val="20"/>
          <w:szCs w:val="20"/>
        </w:rPr>
      </w:pPr>
      <w:r w:rsidRPr="0074338C">
        <w:rPr>
          <w:rFonts w:ascii="Bookman Old Style" w:hAnsi="Bookman Old Style" w:cs="Arial"/>
          <w:i/>
          <w:iCs/>
          <w:sz w:val="20"/>
          <w:szCs w:val="20"/>
        </w:rPr>
        <w:t>3.</w:t>
      </w:r>
      <w:r>
        <w:rPr>
          <w:rFonts w:ascii="Bookman Old Style" w:hAnsi="Bookman Old Style" w:cs="Arial"/>
          <w:i/>
          <w:iCs/>
          <w:sz w:val="20"/>
          <w:szCs w:val="20"/>
        </w:rPr>
        <w:t xml:space="preserve"> E</w:t>
      </w:r>
      <w:r w:rsidRPr="0074338C">
        <w:rPr>
          <w:rFonts w:ascii="Bookman Old Style" w:hAnsi="Bookman Old Style" w:cs="Arial"/>
          <w:i/>
          <w:iCs/>
          <w:sz w:val="20"/>
          <w:szCs w:val="20"/>
        </w:rPr>
        <w:t xml:space="preserve">ste Ministerio como propietario no tendría aposición para la conexión del proyecto, sin embargo, </w:t>
      </w:r>
      <w:r w:rsidRPr="001B35BF">
        <w:rPr>
          <w:rFonts w:ascii="Bookman Old Style" w:hAnsi="Bookman Old Style" w:cs="Arial"/>
          <w:b/>
          <w:bCs/>
          <w:i/>
          <w:iCs/>
          <w:sz w:val="20"/>
          <w:szCs w:val="20"/>
          <w:u w:val="single"/>
        </w:rPr>
        <w:t>siendo GENSA quien dispone del uso y goce de la infraestructura, asumiendo obligaciones en materia de administración, operación y mantenimiento y además quien conoce plenamente el sistema, deberá analizar el estudio de conexión presentado por DUE Capital y emitir concepto técnico de conexión</w:t>
      </w:r>
      <w:r w:rsidRPr="002F0894">
        <w:rPr>
          <w:rFonts w:ascii="Bookman Old Style" w:hAnsi="Bookman Old Style" w:cs="Arial"/>
          <w:i/>
          <w:iCs/>
          <w:sz w:val="20"/>
          <w:szCs w:val="20"/>
        </w:rPr>
        <w:t xml:space="preserve"> bajo criterios de calidad, confiabilidad, seguridad, estabilidad y eficiencia</w:t>
      </w:r>
      <w:r>
        <w:rPr>
          <w:rFonts w:ascii="Bookman Old Style" w:hAnsi="Bookman Old Style" w:cs="Arial"/>
          <w:i/>
          <w:iCs/>
          <w:sz w:val="20"/>
          <w:szCs w:val="20"/>
        </w:rPr>
        <w:t>.</w:t>
      </w:r>
      <w:r w:rsidR="004F034B">
        <w:rPr>
          <w:rFonts w:ascii="Bookman Old Style" w:hAnsi="Bookman Old Style" w:cs="Arial"/>
          <w:i/>
          <w:iCs/>
          <w:sz w:val="20"/>
          <w:szCs w:val="20"/>
        </w:rPr>
        <w:t xml:space="preserve"> (…)</w:t>
      </w:r>
      <w:r>
        <w:rPr>
          <w:rFonts w:ascii="Bookman Old Style" w:hAnsi="Bookman Old Style" w:cs="Arial"/>
          <w:i/>
          <w:iCs/>
          <w:sz w:val="20"/>
          <w:szCs w:val="20"/>
        </w:rPr>
        <w:t>”</w:t>
      </w:r>
      <w:r w:rsidR="001B35BF">
        <w:rPr>
          <w:rFonts w:ascii="Bookman Old Style" w:hAnsi="Bookman Old Style" w:cs="Arial"/>
          <w:i/>
          <w:iCs/>
          <w:sz w:val="20"/>
          <w:szCs w:val="20"/>
        </w:rPr>
        <w:t xml:space="preserve"> </w:t>
      </w:r>
      <w:r w:rsidR="001B35BF">
        <w:rPr>
          <w:rFonts w:ascii="Bookman Old Style" w:hAnsi="Bookman Old Style" w:cs="Arial"/>
          <w:sz w:val="20"/>
          <w:szCs w:val="20"/>
        </w:rPr>
        <w:t>Resaltado y subrayado fuera de texto</w:t>
      </w:r>
    </w:p>
    <w:p w14:paraId="436E6ACC" w14:textId="77777777" w:rsidR="00402D21" w:rsidRDefault="00402D21" w:rsidP="00B11EC0">
      <w:pPr>
        <w:pStyle w:val="Textoindependiente21"/>
        <w:ind w:left="284"/>
        <w:contextualSpacing/>
        <w:rPr>
          <w:rFonts w:ascii="Bookman Old Style" w:eastAsia="MS Mincho" w:hAnsi="Bookman Old Style"/>
          <w:sz w:val="24"/>
          <w:highlight w:val="yellow"/>
          <w:lang w:val="es-CO"/>
        </w:rPr>
      </w:pPr>
    </w:p>
    <w:p w14:paraId="24903B9C" w14:textId="5D3730D4" w:rsidR="00D173A0" w:rsidRPr="00D7537D" w:rsidRDefault="00D173A0" w:rsidP="00D173A0">
      <w:pPr>
        <w:pStyle w:val="Textoindependiente21"/>
        <w:ind w:left="284"/>
        <w:contextualSpacing/>
        <w:rPr>
          <w:rFonts w:ascii="Bookman Old Style" w:eastAsia="MS Mincho" w:hAnsi="Bookman Old Style"/>
          <w:sz w:val="24"/>
          <w:szCs w:val="24"/>
          <w:lang w:val="es-CO"/>
        </w:rPr>
      </w:pPr>
      <w:r w:rsidRPr="00D7537D">
        <w:rPr>
          <w:rFonts w:ascii="Bookman Old Style" w:eastAsia="MS Mincho" w:hAnsi="Bookman Old Style"/>
          <w:sz w:val="24"/>
          <w:szCs w:val="24"/>
          <w:lang w:val="es-CO"/>
        </w:rPr>
        <w:t xml:space="preserve">Mediante </w:t>
      </w:r>
      <w:r>
        <w:rPr>
          <w:rFonts w:ascii="Bookman Old Style" w:eastAsia="MS Mincho" w:hAnsi="Bookman Old Style"/>
          <w:sz w:val="24"/>
          <w:szCs w:val="24"/>
          <w:lang w:val="es-CO"/>
        </w:rPr>
        <w:t xml:space="preserve">comunicación </w:t>
      </w:r>
      <w:r w:rsidRPr="00B0589E">
        <w:rPr>
          <w:rFonts w:ascii="Bookman Old Style" w:hAnsi="Bookman Old Style" w:cs="Arial"/>
          <w:sz w:val="24"/>
          <w:szCs w:val="24"/>
        </w:rPr>
        <w:t xml:space="preserve">con radicado </w:t>
      </w:r>
      <w:r w:rsidR="00E67CDD">
        <w:rPr>
          <w:rFonts w:ascii="Bookman Old Style" w:hAnsi="Bookman Old Style" w:cs="Arial"/>
          <w:sz w:val="24"/>
          <w:szCs w:val="24"/>
        </w:rPr>
        <w:t>CREG E-2020</w:t>
      </w:r>
      <w:r w:rsidR="007F309E">
        <w:rPr>
          <w:rFonts w:ascii="Bookman Old Style" w:hAnsi="Bookman Old Style" w:cs="Arial"/>
          <w:sz w:val="24"/>
          <w:szCs w:val="24"/>
        </w:rPr>
        <w:t>-01034</w:t>
      </w:r>
      <w:r w:rsidR="006C1662">
        <w:rPr>
          <w:rFonts w:ascii="Bookman Old Style" w:hAnsi="Bookman Old Style" w:cs="Arial"/>
          <w:sz w:val="24"/>
          <w:szCs w:val="24"/>
        </w:rPr>
        <w:t xml:space="preserve">1 </w:t>
      </w:r>
      <w:r w:rsidR="00C03656" w:rsidRPr="00C03656">
        <w:rPr>
          <w:rFonts w:ascii="Bookman Old Style" w:hAnsi="Bookman Old Style" w:cs="Arial"/>
          <w:sz w:val="24"/>
          <w:szCs w:val="24"/>
        </w:rPr>
        <w:t xml:space="preserve">del 27 de agosto de 2020, </w:t>
      </w:r>
      <w:r w:rsidR="006C1662">
        <w:rPr>
          <w:rFonts w:ascii="Bookman Old Style" w:hAnsi="Bookman Old Style" w:cs="Arial"/>
          <w:sz w:val="24"/>
          <w:szCs w:val="24"/>
        </w:rPr>
        <w:t>el</w:t>
      </w:r>
      <w:r w:rsidRPr="00B0589E">
        <w:rPr>
          <w:rFonts w:ascii="Bookman Old Style" w:hAnsi="Bookman Old Style" w:cs="Arial"/>
          <w:sz w:val="24"/>
          <w:szCs w:val="24"/>
        </w:rPr>
        <w:t xml:space="preserve"> MME</w:t>
      </w:r>
      <w:r w:rsidR="00364CD7">
        <w:rPr>
          <w:rFonts w:ascii="Bookman Old Style" w:hAnsi="Bookman Old Style" w:cs="Arial"/>
          <w:sz w:val="24"/>
          <w:szCs w:val="24"/>
        </w:rPr>
        <w:t>,</w:t>
      </w:r>
      <w:r w:rsidRPr="00B0589E">
        <w:rPr>
          <w:rFonts w:ascii="Bookman Old Style" w:hAnsi="Bookman Old Style" w:cs="Arial"/>
          <w:sz w:val="24"/>
          <w:szCs w:val="24"/>
        </w:rPr>
        <w:t xml:space="preserve"> </w:t>
      </w:r>
      <w:r w:rsidR="00D326F8">
        <w:rPr>
          <w:rFonts w:ascii="Bookman Old Style" w:hAnsi="Bookman Old Style" w:cs="Arial"/>
          <w:sz w:val="24"/>
          <w:szCs w:val="24"/>
        </w:rPr>
        <w:t xml:space="preserve">en respuesta al </w:t>
      </w:r>
      <w:r w:rsidR="00D326F8" w:rsidRPr="00C03656">
        <w:rPr>
          <w:rFonts w:ascii="Bookman Old Style" w:hAnsi="Bookman Old Style" w:cs="Arial"/>
          <w:sz w:val="24"/>
          <w:szCs w:val="24"/>
        </w:rPr>
        <w:t>Auto</w:t>
      </w:r>
      <w:r w:rsidR="004A5EBC" w:rsidRPr="00C03656">
        <w:rPr>
          <w:rFonts w:ascii="Bookman Old Style" w:hAnsi="Bookman Old Style" w:cs="Arial"/>
          <w:sz w:val="24"/>
          <w:szCs w:val="24"/>
        </w:rPr>
        <w:t xml:space="preserve"> de pruebas I-2020-003085</w:t>
      </w:r>
      <w:r w:rsidRPr="00C03656">
        <w:rPr>
          <w:rFonts w:ascii="Bookman Old Style" w:hAnsi="Bookman Old Style" w:cs="Arial"/>
          <w:sz w:val="24"/>
          <w:szCs w:val="24"/>
        </w:rPr>
        <w:t xml:space="preserve"> del </w:t>
      </w:r>
      <w:r w:rsidR="004A5EBC" w:rsidRPr="00C03656">
        <w:rPr>
          <w:rFonts w:ascii="Bookman Old Style" w:hAnsi="Bookman Old Style" w:cs="Arial"/>
          <w:sz w:val="24"/>
          <w:szCs w:val="24"/>
        </w:rPr>
        <w:t>05</w:t>
      </w:r>
      <w:r w:rsidRPr="00C03656">
        <w:rPr>
          <w:rFonts w:ascii="Bookman Old Style" w:hAnsi="Bookman Old Style" w:cs="Arial"/>
          <w:sz w:val="24"/>
          <w:szCs w:val="24"/>
        </w:rPr>
        <w:t xml:space="preserve"> de </w:t>
      </w:r>
      <w:r w:rsidR="004A5EBC" w:rsidRPr="00C03656">
        <w:rPr>
          <w:rFonts w:ascii="Bookman Old Style" w:hAnsi="Bookman Old Style" w:cs="Arial"/>
          <w:sz w:val="24"/>
          <w:szCs w:val="24"/>
        </w:rPr>
        <w:t>agosto</w:t>
      </w:r>
      <w:r w:rsidRPr="00C03656">
        <w:rPr>
          <w:rFonts w:ascii="Bookman Old Style" w:hAnsi="Bookman Old Style" w:cs="Arial"/>
          <w:sz w:val="24"/>
          <w:szCs w:val="24"/>
        </w:rPr>
        <w:t xml:space="preserve"> de </w:t>
      </w:r>
      <w:r w:rsidR="004A5EBC" w:rsidRPr="00C03656">
        <w:rPr>
          <w:rFonts w:ascii="Bookman Old Style" w:hAnsi="Bookman Old Style" w:cs="Arial"/>
          <w:sz w:val="24"/>
          <w:szCs w:val="24"/>
        </w:rPr>
        <w:t>2020</w:t>
      </w:r>
      <w:r>
        <w:rPr>
          <w:rFonts w:ascii="Bookman Old Style" w:hAnsi="Bookman Old Style" w:cs="Arial"/>
          <w:sz w:val="24"/>
          <w:szCs w:val="24"/>
        </w:rPr>
        <w:t xml:space="preserve">, </w:t>
      </w:r>
      <w:r w:rsidR="003853D6">
        <w:rPr>
          <w:rFonts w:ascii="Bookman Old Style" w:hAnsi="Bookman Old Style" w:cs="Arial"/>
          <w:sz w:val="24"/>
          <w:szCs w:val="24"/>
        </w:rPr>
        <w:t>señaló</w:t>
      </w:r>
      <w:r w:rsidRPr="00B0589E">
        <w:rPr>
          <w:rFonts w:ascii="Bookman Old Style" w:hAnsi="Bookman Old Style" w:cs="Arial"/>
          <w:sz w:val="24"/>
          <w:szCs w:val="24"/>
        </w:rPr>
        <w:t xml:space="preserve"> lo siguiente</w:t>
      </w:r>
      <w:r>
        <w:rPr>
          <w:rFonts w:ascii="Bookman Old Style" w:hAnsi="Bookman Old Style" w:cs="Arial"/>
          <w:sz w:val="24"/>
          <w:szCs w:val="24"/>
        </w:rPr>
        <w:t>:</w:t>
      </w:r>
    </w:p>
    <w:p w14:paraId="75037505" w14:textId="77777777" w:rsidR="00402D21" w:rsidRDefault="00402D21" w:rsidP="00B11EC0">
      <w:pPr>
        <w:pStyle w:val="Textoindependiente21"/>
        <w:ind w:left="284"/>
        <w:contextualSpacing/>
        <w:rPr>
          <w:rFonts w:ascii="Bookman Old Style" w:eastAsia="MS Mincho" w:hAnsi="Bookman Old Style"/>
          <w:sz w:val="24"/>
          <w:highlight w:val="yellow"/>
          <w:lang w:val="es-CO"/>
        </w:rPr>
      </w:pPr>
    </w:p>
    <w:p w14:paraId="61CCA3B7" w14:textId="4E3249CE" w:rsidR="00E67CDD" w:rsidRPr="00076F72" w:rsidRDefault="00E67CDD" w:rsidP="001D3B27">
      <w:pPr>
        <w:ind w:left="567"/>
        <w:contextualSpacing/>
        <w:jc w:val="both"/>
        <w:rPr>
          <w:rFonts w:ascii="Bookman Old Style" w:hAnsi="Bookman Old Style" w:cs="Arial"/>
          <w:sz w:val="20"/>
          <w:szCs w:val="20"/>
        </w:rPr>
      </w:pPr>
      <w:r>
        <w:rPr>
          <w:rFonts w:ascii="Bookman Old Style" w:hAnsi="Bookman Old Style" w:cs="Arial"/>
          <w:i/>
          <w:iCs/>
          <w:sz w:val="20"/>
          <w:szCs w:val="20"/>
        </w:rPr>
        <w:t>“</w:t>
      </w:r>
      <w:r w:rsidR="004F034B">
        <w:rPr>
          <w:rFonts w:ascii="Bookman Old Style" w:hAnsi="Bookman Old Style" w:cs="Arial"/>
          <w:i/>
          <w:iCs/>
          <w:sz w:val="20"/>
          <w:szCs w:val="20"/>
        </w:rPr>
        <w:t xml:space="preserve">(…) </w:t>
      </w:r>
      <w:r w:rsidRPr="00AB5740">
        <w:rPr>
          <w:rFonts w:ascii="Bookman Old Style" w:hAnsi="Bookman Old Style" w:cs="Arial"/>
          <w:i/>
          <w:iCs/>
          <w:sz w:val="20"/>
          <w:szCs w:val="20"/>
        </w:rPr>
        <w:t xml:space="preserve">No obstante, en el entender de esta dirección, </w:t>
      </w:r>
      <w:r w:rsidRPr="00076F72">
        <w:rPr>
          <w:rFonts w:ascii="Bookman Old Style" w:hAnsi="Bookman Old Style" w:cs="Arial"/>
          <w:b/>
          <w:bCs/>
          <w:i/>
          <w:iCs/>
          <w:sz w:val="20"/>
          <w:szCs w:val="20"/>
          <w:u w:val="single"/>
        </w:rPr>
        <w:t>al haberse entregado la infraestructura de generación a la empresa GENSA S.A. E.S.P para su uso y goce, y para su administración, operación y mantenimiento, recae sobre dicha empresa la responsabilidad de conceptuar técnicamente sobre el estudio de conexión presentado</w:t>
      </w:r>
      <w:r w:rsidRPr="00AB5740">
        <w:rPr>
          <w:rFonts w:ascii="Bookman Old Style" w:hAnsi="Bookman Old Style" w:cs="Arial"/>
          <w:i/>
          <w:iCs/>
          <w:sz w:val="20"/>
          <w:szCs w:val="20"/>
        </w:rPr>
        <w:t>.</w:t>
      </w:r>
      <w:r>
        <w:rPr>
          <w:rFonts w:ascii="Bookman Old Style" w:hAnsi="Bookman Old Style" w:cs="Arial"/>
          <w:i/>
          <w:iCs/>
          <w:sz w:val="20"/>
          <w:szCs w:val="20"/>
        </w:rPr>
        <w:t>”</w:t>
      </w:r>
      <w:r w:rsidR="00076F72">
        <w:rPr>
          <w:rFonts w:ascii="Bookman Old Style" w:hAnsi="Bookman Old Style" w:cs="Arial"/>
          <w:i/>
          <w:iCs/>
          <w:sz w:val="20"/>
          <w:szCs w:val="20"/>
        </w:rPr>
        <w:t xml:space="preserve"> </w:t>
      </w:r>
      <w:r w:rsidR="00076F72">
        <w:rPr>
          <w:rFonts w:ascii="Bookman Old Style" w:hAnsi="Bookman Old Style" w:cs="Arial"/>
          <w:sz w:val="20"/>
          <w:szCs w:val="20"/>
        </w:rPr>
        <w:t>Resaltado y subrayado fuera de texto</w:t>
      </w:r>
    </w:p>
    <w:p w14:paraId="73280820" w14:textId="77777777" w:rsidR="00E67CDD" w:rsidRDefault="00E67CDD" w:rsidP="00B11EC0">
      <w:pPr>
        <w:pStyle w:val="Textoindependiente21"/>
        <w:ind w:left="284"/>
        <w:contextualSpacing/>
        <w:rPr>
          <w:rFonts w:ascii="Bookman Old Style" w:eastAsia="MS Mincho" w:hAnsi="Bookman Old Style"/>
          <w:sz w:val="24"/>
          <w:highlight w:val="yellow"/>
          <w:lang w:val="es-CO"/>
        </w:rPr>
      </w:pPr>
    </w:p>
    <w:p w14:paraId="77F5DBB4" w14:textId="27CA1C43" w:rsidR="00657547" w:rsidRDefault="00657547" w:rsidP="00657547">
      <w:pPr>
        <w:ind w:left="284"/>
        <w:contextualSpacing/>
        <w:jc w:val="both"/>
        <w:rPr>
          <w:rFonts w:ascii="Bookman Old Style" w:eastAsia="MS Mincho" w:hAnsi="Bookman Old Style" w:cs="Arial"/>
        </w:rPr>
      </w:pPr>
      <w:r w:rsidRPr="0086458B">
        <w:rPr>
          <w:rFonts w:ascii="Bookman Old Style" w:eastAsia="MS Mincho" w:hAnsi="Bookman Old Style" w:cs="Arial"/>
        </w:rPr>
        <w:t>Mediante</w:t>
      </w:r>
      <w:r>
        <w:rPr>
          <w:rFonts w:ascii="Bookman Old Style" w:eastAsia="MS Mincho" w:hAnsi="Bookman Old Style" w:cs="Arial"/>
        </w:rPr>
        <w:t xml:space="preserve"> comunicaci</w:t>
      </w:r>
      <w:r w:rsidR="007659A3">
        <w:rPr>
          <w:rFonts w:ascii="Bookman Old Style" w:eastAsia="MS Mincho" w:hAnsi="Bookman Old Style" w:cs="Arial"/>
        </w:rPr>
        <w:t>ón</w:t>
      </w:r>
      <w:r>
        <w:rPr>
          <w:rFonts w:ascii="Bookman Old Style" w:eastAsia="MS Mincho" w:hAnsi="Bookman Old Style" w:cs="Arial"/>
        </w:rPr>
        <w:t xml:space="preserve"> con </w:t>
      </w:r>
      <w:r w:rsidRPr="0086458B">
        <w:rPr>
          <w:rFonts w:ascii="Bookman Old Style" w:eastAsia="MS Mincho" w:hAnsi="Bookman Old Style" w:cs="Arial"/>
        </w:rPr>
        <w:t>radicado CREG E-2021-007083</w:t>
      </w:r>
      <w:r w:rsidR="001D3B27">
        <w:rPr>
          <w:rFonts w:ascii="Bookman Old Style" w:eastAsia="MS Mincho" w:hAnsi="Bookman Old Style" w:cs="Arial"/>
        </w:rPr>
        <w:t>,</w:t>
      </w:r>
      <w:r w:rsidRPr="0086458B">
        <w:rPr>
          <w:rFonts w:ascii="Bookman Old Style" w:eastAsia="MS Mincho" w:hAnsi="Bookman Old Style" w:cs="Arial"/>
        </w:rPr>
        <w:t xml:space="preserve"> el </w:t>
      </w:r>
      <w:r>
        <w:rPr>
          <w:rFonts w:ascii="Bookman Old Style" w:eastAsia="MS Mincho" w:hAnsi="Bookman Old Style" w:cs="Arial"/>
        </w:rPr>
        <w:t xml:space="preserve">MME </w:t>
      </w:r>
      <w:r w:rsidRPr="0086458B">
        <w:rPr>
          <w:rFonts w:ascii="Bookman Old Style" w:eastAsia="MS Mincho" w:hAnsi="Bookman Old Style" w:cs="Arial"/>
        </w:rPr>
        <w:t xml:space="preserve">rindió el informe solicitado mediante Auto </w:t>
      </w:r>
      <w:r w:rsidR="007659A3">
        <w:rPr>
          <w:rFonts w:ascii="Bookman Old Style" w:eastAsia="MS Mincho" w:hAnsi="Bookman Old Style" w:cs="Arial"/>
        </w:rPr>
        <w:t xml:space="preserve">con radicado CREG </w:t>
      </w:r>
      <w:r w:rsidRPr="0086458B">
        <w:rPr>
          <w:rFonts w:ascii="Bookman Old Style" w:eastAsia="MS Mincho" w:hAnsi="Bookman Old Style" w:cs="Arial"/>
        </w:rPr>
        <w:t>I-2021-</w:t>
      </w:r>
      <w:r w:rsidR="00860AA3" w:rsidRPr="00860AA3">
        <w:rPr>
          <w:rFonts w:ascii="Bookman Old Style" w:eastAsia="MS Mincho" w:hAnsi="Bookman Old Style" w:cs="Arial"/>
        </w:rPr>
        <w:t>021958 del 09 de junio de</w:t>
      </w:r>
      <w:r w:rsidR="00860AA3">
        <w:rPr>
          <w:rFonts w:ascii="Bookman Old Style" w:eastAsia="MS Mincho" w:hAnsi="Bookman Old Style" w:cs="Arial"/>
        </w:rPr>
        <w:t xml:space="preserve"> 2021,</w:t>
      </w:r>
      <w:r w:rsidRPr="0086458B">
        <w:rPr>
          <w:rFonts w:ascii="Bookman Old Style" w:eastAsia="MS Mincho" w:hAnsi="Bookman Old Style" w:cs="Arial"/>
        </w:rPr>
        <w:t xml:space="preserve"> señalando lo siguiente:</w:t>
      </w:r>
    </w:p>
    <w:p w14:paraId="43ECB26F" w14:textId="77777777" w:rsidR="007659A3" w:rsidRDefault="007659A3" w:rsidP="00657547">
      <w:pPr>
        <w:ind w:left="284"/>
        <w:contextualSpacing/>
        <w:jc w:val="both"/>
        <w:rPr>
          <w:rFonts w:ascii="Bookman Old Style" w:eastAsia="MS Mincho" w:hAnsi="Bookman Old Style" w:cs="Arial"/>
        </w:rPr>
      </w:pPr>
    </w:p>
    <w:p w14:paraId="7E6C5D51" w14:textId="2806FCDD" w:rsidR="00300836" w:rsidRPr="00EE41FE" w:rsidRDefault="00300836" w:rsidP="001D3B27">
      <w:pPr>
        <w:ind w:left="567"/>
        <w:contextualSpacing/>
        <w:jc w:val="both"/>
        <w:rPr>
          <w:rFonts w:ascii="Bookman Old Style" w:eastAsia="MS Mincho" w:hAnsi="Bookman Old Style" w:cs="Arial"/>
          <w:sz w:val="20"/>
          <w:szCs w:val="20"/>
        </w:rPr>
      </w:pPr>
      <w:r w:rsidRPr="00045391">
        <w:rPr>
          <w:rFonts w:ascii="Bookman Old Style" w:eastAsia="MS Mincho" w:hAnsi="Bookman Old Style" w:cs="Arial"/>
          <w:i/>
          <w:iCs/>
          <w:sz w:val="20"/>
          <w:szCs w:val="20"/>
        </w:rPr>
        <w:t xml:space="preserve">“(…) Tal como lo indica el contrato en mención, en la consideración sexta tanto la MCH Mitú, como la subestación Mitú y </w:t>
      </w:r>
      <w:r w:rsidRPr="00043865">
        <w:rPr>
          <w:rFonts w:ascii="Bookman Old Style" w:eastAsia="MS Mincho" w:hAnsi="Bookman Old Style" w:cs="Arial"/>
          <w:b/>
          <w:bCs/>
          <w:i/>
          <w:iCs/>
          <w:sz w:val="20"/>
          <w:szCs w:val="20"/>
          <w:u w:val="single"/>
        </w:rPr>
        <w:t>su línea de transmisión</w:t>
      </w:r>
      <w:r w:rsidRPr="00045391">
        <w:rPr>
          <w:rFonts w:ascii="Bookman Old Style" w:eastAsia="MS Mincho" w:hAnsi="Bookman Old Style" w:cs="Arial"/>
          <w:i/>
          <w:iCs/>
          <w:sz w:val="20"/>
          <w:szCs w:val="20"/>
        </w:rPr>
        <w:t xml:space="preserve">, así como la central de generación térmica de Mitú, conforman el SISTEMA DE GENERACIÓN ELÉCTRICA DE MITÚ que </w:t>
      </w:r>
      <w:r w:rsidRPr="00043865">
        <w:rPr>
          <w:rFonts w:ascii="Bookman Old Style" w:eastAsia="MS Mincho" w:hAnsi="Bookman Old Style" w:cs="Arial"/>
          <w:b/>
          <w:bCs/>
          <w:i/>
          <w:iCs/>
          <w:sz w:val="20"/>
          <w:szCs w:val="20"/>
          <w:u w:val="single"/>
        </w:rPr>
        <w:t>son propiedad del Ministerio de Minas y Energía</w:t>
      </w:r>
      <w:r w:rsidRPr="00045391">
        <w:rPr>
          <w:rFonts w:ascii="Bookman Old Style" w:eastAsia="MS Mincho" w:hAnsi="Bookman Old Style" w:cs="Arial"/>
          <w:i/>
          <w:iCs/>
          <w:sz w:val="20"/>
          <w:szCs w:val="20"/>
        </w:rPr>
        <w:t xml:space="preserve">, como lo establece la cláusula cuarta numeral primero al indicar que el Ministerio conserva sobre los bienes objeto del contrato su disposición, </w:t>
      </w:r>
      <w:r w:rsidRPr="00EE41FE">
        <w:rPr>
          <w:rFonts w:ascii="Bookman Old Style" w:eastAsia="MS Mincho" w:hAnsi="Bookman Old Style" w:cs="Arial"/>
          <w:b/>
          <w:bCs/>
          <w:i/>
          <w:iCs/>
          <w:sz w:val="20"/>
          <w:szCs w:val="20"/>
          <w:u w:val="single"/>
        </w:rPr>
        <w:t>pero no el uso y goce de los mismos</w:t>
      </w:r>
      <w:r w:rsidRPr="00045391">
        <w:rPr>
          <w:rFonts w:ascii="Bookman Old Style" w:eastAsia="MS Mincho" w:hAnsi="Bookman Old Style" w:cs="Arial"/>
          <w:i/>
          <w:iCs/>
          <w:sz w:val="20"/>
          <w:szCs w:val="20"/>
        </w:rPr>
        <w:t>. (…)</w:t>
      </w:r>
      <w:r w:rsidR="00EE41FE">
        <w:rPr>
          <w:rFonts w:ascii="Bookman Old Style" w:eastAsia="MS Mincho" w:hAnsi="Bookman Old Style" w:cs="Arial"/>
          <w:i/>
          <w:iCs/>
          <w:sz w:val="20"/>
          <w:szCs w:val="20"/>
        </w:rPr>
        <w:t xml:space="preserve">” </w:t>
      </w:r>
      <w:r w:rsidR="00EE41FE">
        <w:rPr>
          <w:rFonts w:ascii="Bookman Old Style" w:eastAsia="MS Mincho" w:hAnsi="Bookman Old Style" w:cs="Arial"/>
          <w:sz w:val="20"/>
          <w:szCs w:val="20"/>
        </w:rPr>
        <w:t>Resaltado y subrayado fuera de texto</w:t>
      </w:r>
    </w:p>
    <w:p w14:paraId="34E0A88C" w14:textId="77777777" w:rsidR="007659A3" w:rsidRDefault="007659A3" w:rsidP="00657547">
      <w:pPr>
        <w:ind w:left="284"/>
        <w:contextualSpacing/>
        <w:jc w:val="both"/>
        <w:rPr>
          <w:rFonts w:ascii="Bookman Old Style" w:eastAsia="MS Mincho" w:hAnsi="Bookman Old Style" w:cs="Arial"/>
        </w:rPr>
      </w:pPr>
    </w:p>
    <w:p w14:paraId="31F70BFD" w14:textId="582F912E" w:rsidR="007659A3" w:rsidRDefault="00BB6086" w:rsidP="00657547">
      <w:pPr>
        <w:ind w:left="284"/>
        <w:contextualSpacing/>
        <w:jc w:val="both"/>
        <w:rPr>
          <w:rFonts w:ascii="Bookman Old Style" w:eastAsia="MS Mincho" w:hAnsi="Bookman Old Style" w:cs="Arial"/>
        </w:rPr>
      </w:pPr>
      <w:r>
        <w:rPr>
          <w:rFonts w:ascii="Bookman Old Style" w:eastAsia="MS Mincho" w:hAnsi="Bookman Old Style" w:cs="Arial"/>
        </w:rPr>
        <w:t xml:space="preserve">Así mismo, </w:t>
      </w:r>
      <w:r w:rsidR="00C90484">
        <w:rPr>
          <w:rFonts w:ascii="Bookman Old Style" w:eastAsia="MS Mincho" w:hAnsi="Bookman Old Style" w:cs="Arial"/>
        </w:rPr>
        <w:t xml:space="preserve">el contrato especial </w:t>
      </w:r>
      <w:r w:rsidR="009B4628">
        <w:rPr>
          <w:rFonts w:ascii="Bookman Old Style" w:eastAsia="MS Mincho" w:hAnsi="Bookman Old Style" w:cs="Arial"/>
        </w:rPr>
        <w:t>GGC-</w:t>
      </w:r>
      <w:r w:rsidR="00C90484">
        <w:rPr>
          <w:rFonts w:ascii="Bookman Old Style" w:eastAsia="MS Mincho" w:hAnsi="Bookman Old Style" w:cs="Arial"/>
        </w:rPr>
        <w:t>209 de 2013</w:t>
      </w:r>
      <w:r w:rsidR="00CC640D">
        <w:rPr>
          <w:rFonts w:ascii="Bookman Old Style" w:eastAsia="MS Mincho" w:hAnsi="Bookman Old Style" w:cs="Arial"/>
        </w:rPr>
        <w:t>,</w:t>
      </w:r>
      <w:r w:rsidR="00314AAA">
        <w:rPr>
          <w:rFonts w:ascii="Bookman Old Style" w:eastAsia="MS Mincho" w:hAnsi="Bookman Old Style" w:cs="Arial"/>
        </w:rPr>
        <w:t xml:space="preserve"> </w:t>
      </w:r>
      <w:r w:rsidR="009973DD">
        <w:rPr>
          <w:rFonts w:ascii="Bookman Old Style" w:eastAsia="MS Mincho" w:hAnsi="Bookman Old Style" w:cs="Arial"/>
        </w:rPr>
        <w:t>celebrado entre la Nación</w:t>
      </w:r>
      <w:r w:rsidR="00AA214E">
        <w:rPr>
          <w:rFonts w:ascii="Bookman Old Style" w:eastAsia="MS Mincho" w:hAnsi="Bookman Old Style" w:cs="Arial"/>
        </w:rPr>
        <w:t xml:space="preserve"> -</w:t>
      </w:r>
      <w:r w:rsidR="009973DD">
        <w:rPr>
          <w:rFonts w:ascii="Bookman Old Style" w:eastAsia="MS Mincho" w:hAnsi="Bookman Old Style" w:cs="Arial"/>
        </w:rPr>
        <w:t xml:space="preserve"> MME y </w:t>
      </w:r>
      <w:r w:rsidR="009973DD" w:rsidRPr="009973DD">
        <w:rPr>
          <w:rFonts w:ascii="Bookman Old Style" w:eastAsia="MS Mincho" w:hAnsi="Bookman Old Style" w:cs="Arial"/>
        </w:rPr>
        <w:t>GENSA</w:t>
      </w:r>
      <w:r w:rsidR="00AA214E">
        <w:rPr>
          <w:rFonts w:ascii="Bookman Old Style" w:eastAsia="MS Mincho" w:hAnsi="Bookman Old Style" w:cs="Arial"/>
        </w:rPr>
        <w:t>,</w:t>
      </w:r>
      <w:r w:rsidR="009973DD" w:rsidRPr="009973DD">
        <w:rPr>
          <w:rFonts w:ascii="Bookman Old Style" w:eastAsia="MS Mincho" w:hAnsi="Bookman Old Style" w:cs="Arial"/>
        </w:rPr>
        <w:t xml:space="preserve"> </w:t>
      </w:r>
      <w:r w:rsidR="00C90484">
        <w:rPr>
          <w:rFonts w:ascii="Bookman Old Style" w:eastAsia="MS Mincho" w:hAnsi="Bookman Old Style" w:cs="Arial"/>
        </w:rPr>
        <w:t xml:space="preserve">establece </w:t>
      </w:r>
      <w:r w:rsidR="009973DD">
        <w:rPr>
          <w:rFonts w:ascii="Bookman Old Style" w:eastAsia="MS Mincho" w:hAnsi="Bookman Old Style" w:cs="Arial"/>
        </w:rPr>
        <w:t xml:space="preserve">expresamente </w:t>
      </w:r>
      <w:r w:rsidR="00C90484">
        <w:rPr>
          <w:rFonts w:ascii="Bookman Old Style" w:eastAsia="MS Mincho" w:hAnsi="Bookman Old Style" w:cs="Arial"/>
        </w:rPr>
        <w:t>como parte del objeto</w:t>
      </w:r>
      <w:r w:rsidR="009973DD">
        <w:rPr>
          <w:rFonts w:ascii="Bookman Old Style" w:eastAsia="MS Mincho" w:hAnsi="Bookman Old Style" w:cs="Arial"/>
        </w:rPr>
        <w:t>,</w:t>
      </w:r>
      <w:r w:rsidR="00C90484">
        <w:rPr>
          <w:rFonts w:ascii="Bookman Old Style" w:eastAsia="MS Mincho" w:hAnsi="Bookman Old Style" w:cs="Arial"/>
        </w:rPr>
        <w:t xml:space="preserve"> </w:t>
      </w:r>
      <w:r w:rsidR="00052370">
        <w:rPr>
          <w:rFonts w:ascii="Bookman Old Style" w:eastAsia="MS Mincho" w:hAnsi="Bookman Old Style" w:cs="Arial"/>
        </w:rPr>
        <w:t>lo siguiente:</w:t>
      </w:r>
    </w:p>
    <w:p w14:paraId="654EEA39" w14:textId="77777777" w:rsidR="00052370" w:rsidRDefault="00052370" w:rsidP="00657547">
      <w:pPr>
        <w:ind w:left="284"/>
        <w:contextualSpacing/>
        <w:jc w:val="both"/>
        <w:rPr>
          <w:rFonts w:ascii="Bookman Old Style" w:eastAsia="MS Mincho" w:hAnsi="Bookman Old Style" w:cs="Arial"/>
        </w:rPr>
      </w:pPr>
    </w:p>
    <w:p w14:paraId="0822793A" w14:textId="07DC1489" w:rsidR="00052370" w:rsidRPr="00957808" w:rsidRDefault="009D3B9E" w:rsidP="001D3B27">
      <w:pPr>
        <w:autoSpaceDE w:val="0"/>
        <w:autoSpaceDN w:val="0"/>
        <w:adjustRightInd w:val="0"/>
        <w:ind w:left="567"/>
        <w:jc w:val="both"/>
        <w:rPr>
          <w:rFonts w:ascii="Bookman Old Style" w:eastAsia="MS Mincho" w:hAnsi="Bookman Old Style" w:cs="Arial"/>
          <w:sz w:val="20"/>
          <w:szCs w:val="20"/>
        </w:rPr>
      </w:pPr>
      <w:r>
        <w:rPr>
          <w:rFonts w:ascii="Bookman Old Style" w:hAnsi="Bookman Old Style" w:cs="Arial"/>
          <w:i/>
          <w:iCs/>
          <w:sz w:val="20"/>
          <w:szCs w:val="20"/>
          <w:lang w:val="es-CO" w:eastAsia="es-CO"/>
        </w:rPr>
        <w:t>“</w:t>
      </w:r>
      <w:r w:rsidRPr="009D3B9E">
        <w:rPr>
          <w:rFonts w:ascii="Bookman Old Style" w:hAnsi="Bookman Old Style" w:cs="Arial"/>
          <w:i/>
          <w:iCs/>
          <w:sz w:val="20"/>
          <w:szCs w:val="20"/>
          <w:lang w:val="es-CO" w:eastAsia="es-CO"/>
        </w:rPr>
        <w:t xml:space="preserve">OBJETO: </w:t>
      </w:r>
      <w:r w:rsidRPr="00624BF6">
        <w:rPr>
          <w:rFonts w:ascii="Bookman Old Style" w:hAnsi="Bookman Old Style" w:cs="Arial"/>
          <w:b/>
          <w:bCs/>
          <w:i/>
          <w:iCs/>
          <w:sz w:val="20"/>
          <w:szCs w:val="20"/>
          <w:u w:val="single"/>
          <w:lang w:val="es-CO" w:eastAsia="es-CO"/>
        </w:rPr>
        <w:t>Transferir</w:t>
      </w:r>
      <w:r w:rsidRPr="009D3B9E">
        <w:rPr>
          <w:rFonts w:ascii="Bookman Old Style" w:hAnsi="Bookman Old Style" w:cs="Arial"/>
          <w:i/>
          <w:iCs/>
          <w:sz w:val="20"/>
          <w:szCs w:val="20"/>
          <w:lang w:val="es-CO" w:eastAsia="es-CO"/>
        </w:rPr>
        <w:t xml:space="preserve"> por parte de la Nación - Ministerio de Minas </w:t>
      </w:r>
      <w:r w:rsidRPr="009D3B9E">
        <w:rPr>
          <w:rFonts w:ascii="Bookman Old Style" w:hAnsi="Bookman Old Style"/>
          <w:i/>
          <w:iCs/>
          <w:sz w:val="20"/>
          <w:szCs w:val="20"/>
          <w:lang w:val="es-CO" w:eastAsia="es-CO"/>
        </w:rPr>
        <w:t xml:space="preserve">y </w:t>
      </w:r>
      <w:r w:rsidRPr="009D3B9E">
        <w:rPr>
          <w:rFonts w:ascii="Bookman Old Style" w:hAnsi="Bookman Old Style" w:cs="Arial"/>
          <w:i/>
          <w:iCs/>
          <w:sz w:val="20"/>
          <w:szCs w:val="20"/>
          <w:lang w:val="es-CO" w:eastAsia="es-CO"/>
        </w:rPr>
        <w:t xml:space="preserve">Energía </w:t>
      </w:r>
      <w:r w:rsidRPr="00957808">
        <w:rPr>
          <w:rFonts w:ascii="Bookman Old Style" w:hAnsi="Bookman Old Style" w:cs="Arial"/>
          <w:b/>
          <w:bCs/>
          <w:i/>
          <w:iCs/>
          <w:sz w:val="20"/>
          <w:szCs w:val="20"/>
          <w:u w:val="single"/>
          <w:lang w:val="es-CO" w:eastAsia="es-CO"/>
        </w:rPr>
        <w:t xml:space="preserve">a Gestión Energética S.A. ESP, el uso </w:t>
      </w:r>
      <w:r w:rsidRPr="00957808">
        <w:rPr>
          <w:rFonts w:ascii="Bookman Old Style" w:hAnsi="Bookman Old Style"/>
          <w:b/>
          <w:bCs/>
          <w:i/>
          <w:iCs/>
          <w:sz w:val="20"/>
          <w:szCs w:val="20"/>
          <w:u w:val="single"/>
          <w:lang w:val="es-CO" w:eastAsia="es-CO"/>
        </w:rPr>
        <w:t xml:space="preserve">y </w:t>
      </w:r>
      <w:r w:rsidRPr="00957808">
        <w:rPr>
          <w:rFonts w:ascii="Bookman Old Style" w:hAnsi="Bookman Old Style" w:cs="Arial"/>
          <w:b/>
          <w:bCs/>
          <w:i/>
          <w:iCs/>
          <w:sz w:val="20"/>
          <w:szCs w:val="20"/>
          <w:u w:val="single"/>
          <w:lang w:val="es-CO" w:eastAsia="es-CO"/>
        </w:rPr>
        <w:t>goce de los bienes constitutivos del Sistema de Generación Eléctrica de Mitú</w:t>
      </w:r>
      <w:r w:rsidRPr="009D3B9E">
        <w:rPr>
          <w:rFonts w:ascii="Bookman Old Style" w:hAnsi="Bookman Old Style" w:cs="Arial"/>
          <w:i/>
          <w:iCs/>
          <w:sz w:val="20"/>
          <w:szCs w:val="20"/>
          <w:lang w:val="es-CO" w:eastAsia="es-CO"/>
        </w:rPr>
        <w:t xml:space="preserve"> (Vaupés), para la prestación del servicio público de energía eléctrica en dicha zona del País.</w:t>
      </w:r>
      <w:r>
        <w:rPr>
          <w:rFonts w:ascii="Bookman Old Style" w:hAnsi="Bookman Old Style" w:cs="Arial"/>
          <w:i/>
          <w:iCs/>
          <w:sz w:val="20"/>
          <w:szCs w:val="20"/>
          <w:lang w:val="es-CO" w:eastAsia="es-CO"/>
        </w:rPr>
        <w:t>”</w:t>
      </w:r>
      <w:r w:rsidR="00957808">
        <w:rPr>
          <w:rFonts w:ascii="Bookman Old Style" w:hAnsi="Bookman Old Style" w:cs="Arial"/>
          <w:sz w:val="20"/>
          <w:szCs w:val="20"/>
          <w:lang w:val="es-CO" w:eastAsia="es-CO"/>
        </w:rPr>
        <w:t xml:space="preserve"> Resaltado y subrayado fuera de texto</w:t>
      </w:r>
    </w:p>
    <w:p w14:paraId="0B8DF5E5" w14:textId="77777777" w:rsidR="00D173A0" w:rsidRPr="006A5609" w:rsidRDefault="00D173A0" w:rsidP="00B11EC0">
      <w:pPr>
        <w:pStyle w:val="Textoindependiente21"/>
        <w:ind w:left="284"/>
        <w:contextualSpacing/>
        <w:rPr>
          <w:rFonts w:ascii="Bookman Old Style" w:eastAsia="MS Mincho" w:hAnsi="Bookman Old Style"/>
          <w:sz w:val="24"/>
          <w:lang w:val="es-CO"/>
        </w:rPr>
      </w:pPr>
    </w:p>
    <w:p w14:paraId="4322B7B3" w14:textId="5AA1A8CE" w:rsidR="00D050A7" w:rsidRPr="006A5609" w:rsidRDefault="00CB101C" w:rsidP="00B11EC0">
      <w:pPr>
        <w:pStyle w:val="Textoindependiente21"/>
        <w:ind w:left="284"/>
        <w:contextualSpacing/>
        <w:rPr>
          <w:rFonts w:ascii="Bookman Old Style" w:eastAsia="MS Mincho" w:hAnsi="Bookman Old Style"/>
          <w:sz w:val="24"/>
          <w:szCs w:val="24"/>
          <w:lang w:val="es-CO"/>
        </w:rPr>
      </w:pPr>
      <w:r w:rsidRPr="006A5609">
        <w:rPr>
          <w:rFonts w:ascii="Bookman Old Style" w:eastAsia="MS Mincho" w:hAnsi="Bookman Old Style"/>
          <w:sz w:val="24"/>
          <w:szCs w:val="24"/>
          <w:lang w:val="es-CO"/>
        </w:rPr>
        <w:t>De acuerdo con los ap</w:t>
      </w:r>
      <w:r w:rsidR="00DE0A8B" w:rsidRPr="006A5609">
        <w:rPr>
          <w:rFonts w:ascii="Bookman Old Style" w:eastAsia="MS Mincho" w:hAnsi="Bookman Old Style"/>
          <w:sz w:val="24"/>
          <w:szCs w:val="24"/>
          <w:lang w:val="es-CO"/>
        </w:rPr>
        <w:t>ar</w:t>
      </w:r>
      <w:r w:rsidRPr="006A5609">
        <w:rPr>
          <w:rFonts w:ascii="Bookman Old Style" w:eastAsia="MS Mincho" w:hAnsi="Bookman Old Style"/>
          <w:sz w:val="24"/>
          <w:szCs w:val="24"/>
          <w:lang w:val="es-CO"/>
        </w:rPr>
        <w:t xml:space="preserve">tes transcritos, </w:t>
      </w:r>
      <w:r w:rsidR="00AF18D5">
        <w:rPr>
          <w:rFonts w:ascii="Bookman Old Style" w:eastAsia="MS Mincho" w:hAnsi="Bookman Old Style"/>
          <w:sz w:val="24"/>
          <w:szCs w:val="24"/>
          <w:lang w:val="es-CO"/>
        </w:rPr>
        <w:t xml:space="preserve">queda probado </w:t>
      </w:r>
      <w:r w:rsidR="006C6D04" w:rsidRPr="006A5609">
        <w:rPr>
          <w:rFonts w:ascii="Bookman Old Style" w:eastAsia="MS Mincho" w:hAnsi="Bookman Old Style"/>
          <w:sz w:val="24"/>
          <w:szCs w:val="24"/>
          <w:lang w:val="es-CO"/>
        </w:rPr>
        <w:t xml:space="preserve">que GENSA </w:t>
      </w:r>
      <w:r w:rsidR="00CD18AE" w:rsidRPr="006A5609">
        <w:rPr>
          <w:rFonts w:ascii="Bookman Old Style" w:eastAsia="MS Mincho" w:hAnsi="Bookman Old Style"/>
          <w:sz w:val="24"/>
          <w:szCs w:val="24"/>
          <w:lang w:val="es-CO"/>
        </w:rPr>
        <w:t xml:space="preserve">tiene el uso y goce de </w:t>
      </w:r>
      <w:r w:rsidR="001643B9">
        <w:rPr>
          <w:rFonts w:ascii="Bookman Old Style" w:eastAsia="MS Mincho" w:hAnsi="Bookman Old Style"/>
          <w:sz w:val="24"/>
          <w:szCs w:val="24"/>
          <w:lang w:val="es-CO"/>
        </w:rPr>
        <w:t>la infraestructura sobre la que se solicita la imposición de servidumbre</w:t>
      </w:r>
      <w:r w:rsidR="009B417F">
        <w:rPr>
          <w:rFonts w:ascii="Bookman Old Style" w:eastAsia="MS Mincho" w:hAnsi="Bookman Old Style"/>
          <w:sz w:val="24"/>
          <w:szCs w:val="24"/>
          <w:lang w:val="es-CO"/>
        </w:rPr>
        <w:t xml:space="preserve">, así como el hecho de </w:t>
      </w:r>
      <w:r w:rsidR="00EE327C">
        <w:rPr>
          <w:rFonts w:ascii="Bookman Old Style" w:eastAsia="MS Mincho" w:hAnsi="Bookman Old Style"/>
          <w:sz w:val="24"/>
          <w:szCs w:val="24"/>
          <w:lang w:val="es-CO"/>
        </w:rPr>
        <w:t xml:space="preserve">la imposibilidad para llegar a </w:t>
      </w:r>
      <w:r w:rsidR="00967BBD">
        <w:rPr>
          <w:rFonts w:ascii="Bookman Old Style" w:eastAsia="MS Mincho" w:hAnsi="Bookman Old Style"/>
          <w:sz w:val="24"/>
          <w:szCs w:val="24"/>
          <w:lang w:val="es-CO"/>
        </w:rPr>
        <w:t xml:space="preserve">un acuerdo </w:t>
      </w:r>
      <w:r w:rsidR="00380210">
        <w:rPr>
          <w:rFonts w:ascii="Bookman Old Style" w:eastAsia="MS Mincho" w:hAnsi="Bookman Old Style"/>
          <w:sz w:val="24"/>
          <w:szCs w:val="24"/>
          <w:lang w:val="es-CO"/>
        </w:rPr>
        <w:t xml:space="preserve">mediante el que se </w:t>
      </w:r>
      <w:r w:rsidR="00967BBD">
        <w:rPr>
          <w:rFonts w:ascii="Bookman Old Style" w:eastAsia="MS Mincho" w:hAnsi="Bookman Old Style"/>
          <w:sz w:val="24"/>
          <w:szCs w:val="24"/>
          <w:lang w:val="es-CO"/>
        </w:rPr>
        <w:t>regular</w:t>
      </w:r>
      <w:r w:rsidR="00380210">
        <w:rPr>
          <w:rFonts w:ascii="Bookman Old Style" w:eastAsia="MS Mincho" w:hAnsi="Bookman Old Style"/>
          <w:sz w:val="24"/>
          <w:szCs w:val="24"/>
          <w:lang w:val="es-CO"/>
        </w:rPr>
        <w:t>a</w:t>
      </w:r>
      <w:r w:rsidR="00967BBD">
        <w:rPr>
          <w:rFonts w:ascii="Bookman Old Style" w:eastAsia="MS Mincho" w:hAnsi="Bookman Old Style"/>
          <w:sz w:val="24"/>
          <w:szCs w:val="24"/>
          <w:lang w:val="es-CO"/>
        </w:rPr>
        <w:t xml:space="preserve"> </w:t>
      </w:r>
      <w:r w:rsidR="0069701B" w:rsidRPr="0069701B">
        <w:rPr>
          <w:rFonts w:ascii="Bookman Old Style" w:eastAsia="MS Mincho" w:hAnsi="Bookman Old Style"/>
          <w:sz w:val="24"/>
          <w:szCs w:val="24"/>
          <w:lang w:val="es-CO"/>
        </w:rPr>
        <w:t>el acceso compartido o de interconexión</w:t>
      </w:r>
      <w:r w:rsidR="00380210">
        <w:rPr>
          <w:rFonts w:ascii="Bookman Old Style" w:eastAsia="MS Mincho" w:hAnsi="Bookman Old Style"/>
          <w:sz w:val="24"/>
          <w:szCs w:val="24"/>
          <w:lang w:val="es-CO"/>
        </w:rPr>
        <w:t xml:space="preserve"> a </w:t>
      </w:r>
      <w:r w:rsidR="00E43D52">
        <w:rPr>
          <w:rFonts w:ascii="Bookman Old Style" w:eastAsia="MS Mincho" w:hAnsi="Bookman Old Style"/>
          <w:sz w:val="24"/>
          <w:szCs w:val="24"/>
          <w:lang w:val="es-CO"/>
        </w:rPr>
        <w:t>dicha infraestructura, entre DUE y GENSA</w:t>
      </w:r>
      <w:r w:rsidR="008C5C70">
        <w:rPr>
          <w:rFonts w:ascii="Bookman Old Style" w:eastAsia="MS Mincho" w:hAnsi="Bookman Old Style"/>
          <w:sz w:val="24"/>
          <w:szCs w:val="24"/>
          <w:lang w:val="es-CO"/>
        </w:rPr>
        <w:t>. De esta manera,</w:t>
      </w:r>
      <w:r w:rsidR="00E43D52">
        <w:rPr>
          <w:rFonts w:ascii="Bookman Old Style" w:eastAsia="MS Mincho" w:hAnsi="Bookman Old Style"/>
          <w:sz w:val="24"/>
          <w:szCs w:val="24"/>
          <w:lang w:val="es-CO"/>
        </w:rPr>
        <w:t xml:space="preserve"> </w:t>
      </w:r>
      <w:r w:rsidR="00581C42">
        <w:rPr>
          <w:rFonts w:ascii="Bookman Old Style" w:eastAsia="MS Mincho" w:hAnsi="Bookman Old Style"/>
          <w:sz w:val="24"/>
          <w:szCs w:val="24"/>
          <w:lang w:val="es-CO"/>
        </w:rPr>
        <w:t>s</w:t>
      </w:r>
      <w:r w:rsidR="00E43D52">
        <w:rPr>
          <w:rFonts w:ascii="Bookman Old Style" w:eastAsia="MS Mincho" w:hAnsi="Bookman Old Style"/>
          <w:sz w:val="24"/>
          <w:szCs w:val="24"/>
          <w:lang w:val="es-CO"/>
        </w:rPr>
        <w:t>ería</w:t>
      </w:r>
      <w:r w:rsidR="00581C42">
        <w:rPr>
          <w:rFonts w:ascii="Bookman Old Style" w:eastAsia="MS Mincho" w:hAnsi="Bookman Old Style"/>
          <w:sz w:val="24"/>
          <w:szCs w:val="24"/>
          <w:lang w:val="es-CO"/>
        </w:rPr>
        <w:t xml:space="preserve"> procedente que la imposición de servidumbre</w:t>
      </w:r>
      <w:r w:rsidR="009374C1">
        <w:rPr>
          <w:rFonts w:ascii="Bookman Old Style" w:eastAsia="MS Mincho" w:hAnsi="Bookman Old Style"/>
          <w:sz w:val="24"/>
          <w:szCs w:val="24"/>
          <w:lang w:val="es-CO"/>
        </w:rPr>
        <w:t xml:space="preserve">, de conformidad </w:t>
      </w:r>
      <w:r w:rsidR="00C65995">
        <w:rPr>
          <w:rFonts w:ascii="Bookman Old Style" w:hAnsi="Bookman Old Style" w:cs="Arial"/>
          <w:sz w:val="24"/>
          <w:szCs w:val="24"/>
          <w:lang w:val="es-CO" w:eastAsia="es-CO"/>
        </w:rPr>
        <w:t xml:space="preserve">con </w:t>
      </w:r>
      <w:r w:rsidR="006A5609" w:rsidRPr="006A5609">
        <w:rPr>
          <w:rFonts w:ascii="Bookman Old Style" w:hAnsi="Bookman Old Style" w:cs="Arial"/>
          <w:sz w:val="24"/>
          <w:szCs w:val="24"/>
          <w:lang w:val="es-CO" w:eastAsia="es-CO"/>
        </w:rPr>
        <w:t>el numeral 39.4 de la Ley 142 de 1994</w:t>
      </w:r>
      <w:r w:rsidR="004D544C">
        <w:rPr>
          <w:rFonts w:ascii="Bookman Old Style" w:hAnsi="Bookman Old Style" w:cs="Arial"/>
          <w:sz w:val="24"/>
          <w:szCs w:val="24"/>
          <w:lang w:val="es-CO" w:eastAsia="es-CO"/>
        </w:rPr>
        <w:t xml:space="preserve">, se impusiera a quien </w:t>
      </w:r>
      <w:r w:rsidR="00467F3A">
        <w:rPr>
          <w:rFonts w:ascii="Bookman Old Style" w:hAnsi="Bookman Old Style" w:cs="Arial"/>
          <w:sz w:val="24"/>
          <w:szCs w:val="24"/>
          <w:lang w:val="es-CO" w:eastAsia="es-CO"/>
        </w:rPr>
        <w:t xml:space="preserve">tiene </w:t>
      </w:r>
      <w:r w:rsidR="004D544C">
        <w:rPr>
          <w:rFonts w:ascii="Bookman Old Style" w:hAnsi="Bookman Old Style" w:cs="Arial"/>
          <w:sz w:val="24"/>
          <w:szCs w:val="24"/>
          <w:lang w:val="es-CO" w:eastAsia="es-CO"/>
        </w:rPr>
        <w:t>e</w:t>
      </w:r>
      <w:r w:rsidR="00467F3A">
        <w:rPr>
          <w:rFonts w:ascii="Bookman Old Style" w:hAnsi="Bookman Old Style" w:cs="Arial"/>
          <w:sz w:val="24"/>
          <w:szCs w:val="24"/>
          <w:lang w:val="es-CO" w:eastAsia="es-CO"/>
        </w:rPr>
        <w:t>l uso del bien</w:t>
      </w:r>
      <w:r w:rsidR="004754EB">
        <w:rPr>
          <w:rFonts w:ascii="Bookman Old Style" w:hAnsi="Bookman Old Style" w:cs="Arial"/>
          <w:sz w:val="24"/>
          <w:szCs w:val="24"/>
          <w:lang w:val="es-CO" w:eastAsia="es-CO"/>
        </w:rPr>
        <w:t>, en este caso GENSA</w:t>
      </w:r>
      <w:r w:rsidR="006A5609" w:rsidRPr="006A5609">
        <w:rPr>
          <w:rFonts w:ascii="Bookman Old Style" w:hAnsi="Bookman Old Style" w:cs="Arial"/>
          <w:sz w:val="24"/>
          <w:szCs w:val="24"/>
          <w:lang w:val="es-CO" w:eastAsia="es-CO"/>
        </w:rPr>
        <w:t>.</w:t>
      </w:r>
    </w:p>
    <w:p w14:paraId="77DEB916" w14:textId="77777777" w:rsidR="00AF3B83" w:rsidRPr="008F4BD9" w:rsidRDefault="00AF3B83" w:rsidP="00AF3B83">
      <w:pPr>
        <w:pStyle w:val="Textoindependiente21"/>
        <w:ind w:left="284"/>
        <w:contextualSpacing/>
        <w:rPr>
          <w:rFonts w:ascii="Bookman Old Style" w:eastAsia="MS Mincho" w:hAnsi="Bookman Old Style"/>
          <w:sz w:val="24"/>
          <w:lang w:val="es-CO"/>
        </w:rPr>
      </w:pPr>
    </w:p>
    <w:p w14:paraId="74AE7F99" w14:textId="0974A40D" w:rsidR="00253F7F" w:rsidRPr="008F4BD9" w:rsidRDefault="00253F7F" w:rsidP="00AF3B83">
      <w:pPr>
        <w:pStyle w:val="Textoindependiente21"/>
        <w:ind w:left="284"/>
        <w:contextualSpacing/>
        <w:rPr>
          <w:rFonts w:ascii="Bookman Old Style" w:eastAsia="MS Mincho" w:hAnsi="Bookman Old Style"/>
          <w:sz w:val="24"/>
          <w:lang w:val="es-CO"/>
        </w:rPr>
      </w:pPr>
      <w:r>
        <w:rPr>
          <w:rFonts w:ascii="Bookman Old Style" w:eastAsia="MS Mincho" w:hAnsi="Bookman Old Style"/>
          <w:sz w:val="24"/>
          <w:lang w:val="es-CO"/>
        </w:rPr>
        <w:t xml:space="preserve">De acuerdo con lo expuesto, </w:t>
      </w:r>
      <w:r w:rsidR="008F1A08">
        <w:rPr>
          <w:rFonts w:ascii="Bookman Old Style" w:eastAsia="MS Mincho" w:hAnsi="Bookman Old Style"/>
          <w:sz w:val="24"/>
          <w:lang w:val="es-CO"/>
        </w:rPr>
        <w:t xml:space="preserve">no </w:t>
      </w:r>
      <w:r w:rsidR="00E44D4E">
        <w:rPr>
          <w:rFonts w:ascii="Bookman Old Style" w:eastAsia="MS Mincho" w:hAnsi="Bookman Old Style"/>
          <w:sz w:val="24"/>
          <w:lang w:val="es-CO"/>
        </w:rPr>
        <w:t xml:space="preserve">se </w:t>
      </w:r>
      <w:r w:rsidR="0009383C">
        <w:rPr>
          <w:rFonts w:ascii="Bookman Old Style" w:eastAsia="MS Mincho" w:hAnsi="Bookman Old Style"/>
          <w:sz w:val="24"/>
          <w:lang w:val="es-CO"/>
        </w:rPr>
        <w:t>encuentra</w:t>
      </w:r>
      <w:r>
        <w:rPr>
          <w:rFonts w:ascii="Bookman Old Style" w:eastAsia="MS Mincho" w:hAnsi="Bookman Old Style"/>
          <w:sz w:val="24"/>
          <w:lang w:val="es-CO"/>
        </w:rPr>
        <w:t xml:space="preserve"> que </w:t>
      </w:r>
      <w:r w:rsidR="007F62C9">
        <w:rPr>
          <w:rFonts w:ascii="Bookman Old Style" w:eastAsia="MS Mincho" w:hAnsi="Bookman Old Style"/>
          <w:sz w:val="24"/>
          <w:lang w:val="es-CO"/>
        </w:rPr>
        <w:t xml:space="preserve">la negativa </w:t>
      </w:r>
      <w:r w:rsidR="008C3C59">
        <w:rPr>
          <w:rFonts w:ascii="Bookman Old Style" w:eastAsia="MS Mincho" w:hAnsi="Bookman Old Style"/>
          <w:sz w:val="24"/>
          <w:lang w:val="es-CO"/>
        </w:rPr>
        <w:t>de GENSA</w:t>
      </w:r>
      <w:r w:rsidR="00D65CCB">
        <w:rPr>
          <w:rFonts w:ascii="Bookman Old Style" w:eastAsia="MS Mincho" w:hAnsi="Bookman Old Style"/>
          <w:sz w:val="24"/>
          <w:lang w:val="es-CO"/>
        </w:rPr>
        <w:t xml:space="preserve"> en impo</w:t>
      </w:r>
      <w:r w:rsidR="00890EB1">
        <w:rPr>
          <w:rFonts w:ascii="Bookman Old Style" w:eastAsia="MS Mincho" w:hAnsi="Bookman Old Style"/>
          <w:sz w:val="24"/>
          <w:lang w:val="es-CO"/>
        </w:rPr>
        <w:t>ne</w:t>
      </w:r>
      <w:r w:rsidR="00D65CCB">
        <w:rPr>
          <w:rFonts w:ascii="Bookman Old Style" w:eastAsia="MS Mincho" w:hAnsi="Bookman Old Style"/>
          <w:sz w:val="24"/>
          <w:lang w:val="es-CO"/>
        </w:rPr>
        <w:t>r</w:t>
      </w:r>
      <w:r w:rsidR="006255C2">
        <w:rPr>
          <w:rFonts w:ascii="Bookman Old Style" w:eastAsia="MS Mincho" w:hAnsi="Bookman Old Style"/>
          <w:sz w:val="24"/>
          <w:lang w:val="es-CO"/>
        </w:rPr>
        <w:t xml:space="preserve"> </w:t>
      </w:r>
      <w:r w:rsidR="00D65CCB">
        <w:rPr>
          <w:rFonts w:ascii="Bookman Old Style" w:eastAsia="MS Mincho" w:hAnsi="Bookman Old Style"/>
          <w:sz w:val="24"/>
          <w:lang w:val="es-CO"/>
        </w:rPr>
        <w:t>la servidumbre</w:t>
      </w:r>
      <w:r w:rsidR="00890EB1">
        <w:rPr>
          <w:rFonts w:ascii="Bookman Old Style" w:eastAsia="MS Mincho" w:hAnsi="Bookman Old Style"/>
          <w:sz w:val="24"/>
          <w:lang w:val="es-CO"/>
        </w:rPr>
        <w:t xml:space="preserve"> tenga sustento en las obligaciones de Ley citadas en </w:t>
      </w:r>
      <w:r w:rsidR="00424EF6">
        <w:rPr>
          <w:rFonts w:ascii="Bookman Old Style" w:eastAsia="MS Mincho" w:hAnsi="Bookman Old Style"/>
          <w:sz w:val="24"/>
          <w:lang w:val="es-CO"/>
        </w:rPr>
        <w:t>esta resolución</w:t>
      </w:r>
      <w:r w:rsidR="00544D78">
        <w:rPr>
          <w:rFonts w:ascii="Bookman Old Style" w:eastAsia="MS Mincho" w:hAnsi="Bookman Old Style"/>
          <w:sz w:val="24"/>
          <w:lang w:val="es-CO"/>
        </w:rPr>
        <w:t>. En este sentido</w:t>
      </w:r>
      <w:r w:rsidR="00D71D6E">
        <w:rPr>
          <w:rFonts w:ascii="Bookman Old Style" w:eastAsia="MS Mincho" w:hAnsi="Bookman Old Style"/>
          <w:sz w:val="24"/>
          <w:lang w:val="es-CO"/>
        </w:rPr>
        <w:t>,</w:t>
      </w:r>
      <w:r w:rsidR="00544D78">
        <w:rPr>
          <w:rFonts w:ascii="Bookman Old Style" w:eastAsia="MS Mincho" w:hAnsi="Bookman Old Style"/>
          <w:sz w:val="24"/>
          <w:lang w:val="es-CO"/>
        </w:rPr>
        <w:t xml:space="preserve"> se </w:t>
      </w:r>
      <w:r w:rsidR="00781F54">
        <w:rPr>
          <w:rFonts w:ascii="Bookman Old Style" w:eastAsia="MS Mincho" w:hAnsi="Bookman Old Style"/>
          <w:sz w:val="24"/>
          <w:lang w:val="es-CO"/>
        </w:rPr>
        <w:t xml:space="preserve">adelanta </w:t>
      </w:r>
      <w:r w:rsidR="00F46FD1">
        <w:rPr>
          <w:rFonts w:ascii="Bookman Old Style" w:eastAsia="MS Mincho" w:hAnsi="Bookman Old Style"/>
          <w:sz w:val="24"/>
          <w:lang w:val="es-CO"/>
        </w:rPr>
        <w:t xml:space="preserve">el </w:t>
      </w:r>
      <w:r w:rsidR="001F31E6">
        <w:rPr>
          <w:rFonts w:ascii="Bookman Old Style" w:eastAsia="MS Mincho" w:hAnsi="Bookman Old Style"/>
          <w:sz w:val="24"/>
          <w:lang w:val="es-CO"/>
        </w:rPr>
        <w:t xml:space="preserve">análisis </w:t>
      </w:r>
      <w:r w:rsidR="00F46FD1">
        <w:rPr>
          <w:rFonts w:ascii="Bookman Old Style" w:eastAsia="MS Mincho" w:hAnsi="Bookman Old Style"/>
          <w:sz w:val="24"/>
          <w:lang w:val="es-CO"/>
        </w:rPr>
        <w:t xml:space="preserve">técnico </w:t>
      </w:r>
      <w:r w:rsidR="00605E4F">
        <w:rPr>
          <w:rFonts w:ascii="Bookman Old Style" w:eastAsia="MS Mincho" w:hAnsi="Bookman Old Style"/>
          <w:sz w:val="24"/>
          <w:lang w:val="es-CO"/>
        </w:rPr>
        <w:t xml:space="preserve">para </w:t>
      </w:r>
      <w:r w:rsidR="00C8389C">
        <w:rPr>
          <w:rFonts w:ascii="Bookman Old Style" w:eastAsia="MS Mincho" w:hAnsi="Bookman Old Style"/>
          <w:sz w:val="24"/>
          <w:lang w:val="es-CO"/>
        </w:rPr>
        <w:t xml:space="preserve">establecer </w:t>
      </w:r>
      <w:r w:rsidR="001F31E6">
        <w:rPr>
          <w:rFonts w:ascii="Bookman Old Style" w:eastAsia="MS Mincho" w:hAnsi="Bookman Old Style"/>
          <w:sz w:val="24"/>
          <w:lang w:val="es-CO"/>
        </w:rPr>
        <w:t xml:space="preserve">la </w:t>
      </w:r>
      <w:r w:rsidR="00605E4F">
        <w:rPr>
          <w:rFonts w:ascii="Bookman Old Style" w:eastAsia="MS Mincho" w:hAnsi="Bookman Old Style"/>
          <w:sz w:val="24"/>
          <w:lang w:val="es-CO"/>
        </w:rPr>
        <w:t xml:space="preserve">procedencia de la </w:t>
      </w:r>
      <w:r w:rsidR="001F31E6">
        <w:rPr>
          <w:rFonts w:ascii="Bookman Old Style" w:eastAsia="MS Mincho" w:hAnsi="Bookman Old Style"/>
          <w:sz w:val="24"/>
          <w:lang w:val="es-CO"/>
        </w:rPr>
        <w:t xml:space="preserve">imposición </w:t>
      </w:r>
      <w:r w:rsidR="00493139">
        <w:rPr>
          <w:rFonts w:ascii="Bookman Old Style" w:eastAsia="MS Mincho" w:hAnsi="Bookman Old Style"/>
          <w:sz w:val="24"/>
          <w:lang w:val="es-CO"/>
        </w:rPr>
        <w:t xml:space="preserve">de servidumbre, </w:t>
      </w:r>
      <w:r w:rsidR="00DD6F15">
        <w:rPr>
          <w:rFonts w:ascii="Bookman Old Style" w:eastAsia="MS Mincho" w:hAnsi="Bookman Old Style"/>
          <w:sz w:val="24"/>
          <w:lang w:val="es-CO"/>
        </w:rPr>
        <w:t xml:space="preserve">en </w:t>
      </w:r>
      <w:r w:rsidR="00484D6E">
        <w:rPr>
          <w:rFonts w:ascii="Bookman Old Style" w:eastAsia="MS Mincho" w:hAnsi="Bookman Old Style"/>
          <w:sz w:val="24"/>
          <w:lang w:val="es-CO"/>
        </w:rPr>
        <w:t xml:space="preserve">los términos solicitados por DUE y </w:t>
      </w:r>
      <w:r w:rsidR="003D04A0">
        <w:rPr>
          <w:rFonts w:ascii="Bookman Old Style" w:eastAsia="MS Mincho" w:hAnsi="Bookman Old Style"/>
          <w:sz w:val="24"/>
          <w:lang w:val="es-CO"/>
        </w:rPr>
        <w:t xml:space="preserve">en cumplimiento de </w:t>
      </w:r>
      <w:r w:rsidR="001F31E6">
        <w:rPr>
          <w:rFonts w:ascii="Bookman Old Style" w:eastAsia="MS Mincho" w:hAnsi="Bookman Old Style"/>
          <w:sz w:val="24"/>
          <w:lang w:val="es-CO"/>
        </w:rPr>
        <w:t xml:space="preserve">las competencias </w:t>
      </w:r>
      <w:r w:rsidR="009A1333">
        <w:rPr>
          <w:rFonts w:ascii="Bookman Old Style" w:eastAsia="MS Mincho" w:hAnsi="Bookman Old Style"/>
          <w:sz w:val="24"/>
          <w:lang w:val="es-CO"/>
        </w:rPr>
        <w:t xml:space="preserve">de </w:t>
      </w:r>
      <w:r w:rsidR="0063157D">
        <w:rPr>
          <w:rFonts w:ascii="Bookman Old Style" w:eastAsia="MS Mincho" w:hAnsi="Bookman Old Style"/>
          <w:sz w:val="24"/>
          <w:lang w:val="es-CO"/>
        </w:rPr>
        <w:t xml:space="preserve">esta </w:t>
      </w:r>
      <w:r w:rsidR="009A1333">
        <w:rPr>
          <w:rFonts w:ascii="Bookman Old Style" w:eastAsia="MS Mincho" w:hAnsi="Bookman Old Style"/>
          <w:sz w:val="24"/>
          <w:lang w:val="es-CO"/>
        </w:rPr>
        <w:t>Comisión.</w:t>
      </w:r>
    </w:p>
    <w:p w14:paraId="6396AE8C" w14:textId="77777777" w:rsidR="003D04A0" w:rsidRDefault="003D04A0" w:rsidP="00AF3B83">
      <w:pPr>
        <w:pStyle w:val="Textoindependiente21"/>
        <w:ind w:left="284"/>
        <w:contextualSpacing/>
        <w:rPr>
          <w:rFonts w:ascii="Bookman Old Style" w:eastAsia="MS Mincho" w:hAnsi="Bookman Old Style"/>
          <w:sz w:val="24"/>
          <w:lang w:val="es-CO"/>
        </w:rPr>
      </w:pPr>
    </w:p>
    <w:p w14:paraId="0552A7C7" w14:textId="46C332D3" w:rsidR="430FB6F6" w:rsidRPr="0086458B" w:rsidRDefault="009F4F4F" w:rsidP="00F14CDA">
      <w:pPr>
        <w:pStyle w:val="Ttulo2"/>
        <w:ind w:left="284"/>
        <w:rPr>
          <w:rFonts w:eastAsia="Bookman Old Style" w:cs="Bookman Old Style"/>
        </w:rPr>
      </w:pPr>
      <w:r>
        <w:t xml:space="preserve">7.2. </w:t>
      </w:r>
      <w:r w:rsidR="430FB6F6" w:rsidRPr="0086458B">
        <w:t>ANÁLISIS TÉCNICO</w:t>
      </w:r>
    </w:p>
    <w:p w14:paraId="53644838" w14:textId="77777777" w:rsidR="00FB03C6" w:rsidRDefault="00FB03C6" w:rsidP="00B264DC">
      <w:pPr>
        <w:ind w:left="284"/>
        <w:contextualSpacing/>
        <w:jc w:val="both"/>
        <w:rPr>
          <w:rFonts w:ascii="Bookman Old Style" w:eastAsia="MS Mincho" w:hAnsi="Bookman Old Style" w:cs="Arial"/>
          <w:lang w:val="es-CO"/>
        </w:rPr>
      </w:pPr>
    </w:p>
    <w:p w14:paraId="442755CE" w14:textId="7C832970" w:rsidR="00BF7E4B" w:rsidRDefault="00160A4B"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Teniendo en cuenta lo </w:t>
      </w:r>
      <w:r w:rsidR="005E2B4C">
        <w:rPr>
          <w:rFonts w:ascii="Bookman Old Style" w:eastAsia="MS Mincho" w:hAnsi="Bookman Old Style" w:cs="Arial"/>
          <w:lang w:val="es-CO"/>
        </w:rPr>
        <w:t>indicado en el título 7.1. Análisis</w:t>
      </w:r>
      <w:r w:rsidR="00385C7B">
        <w:rPr>
          <w:rFonts w:ascii="Bookman Old Style" w:eastAsia="MS Mincho" w:hAnsi="Bookman Old Style" w:cs="Arial"/>
          <w:lang w:val="es-CO"/>
        </w:rPr>
        <w:t xml:space="preserve"> Jurídico, sobre la ausencia de procedimientos de solicitud de conexión regulados para</w:t>
      </w:r>
      <w:r w:rsidR="000E49DA">
        <w:rPr>
          <w:rFonts w:ascii="Bookman Old Style" w:eastAsia="MS Mincho" w:hAnsi="Bookman Old Style" w:cs="Arial"/>
          <w:lang w:val="es-CO"/>
        </w:rPr>
        <w:t xml:space="preserve"> generadores en ZNI, d</w:t>
      </w:r>
      <w:r w:rsidR="00770177">
        <w:rPr>
          <w:rFonts w:ascii="Bookman Old Style" w:eastAsia="MS Mincho" w:hAnsi="Bookman Old Style" w:cs="Arial"/>
          <w:lang w:val="es-CO"/>
        </w:rPr>
        <w:t>esde el punto de vista técnico</w:t>
      </w:r>
      <w:r w:rsidR="000E49DA">
        <w:rPr>
          <w:rFonts w:ascii="Bookman Old Style" w:eastAsia="MS Mincho" w:hAnsi="Bookman Old Style" w:cs="Arial"/>
          <w:lang w:val="es-CO"/>
        </w:rPr>
        <w:t xml:space="preserve"> y</w:t>
      </w:r>
      <w:r w:rsidR="00770177">
        <w:rPr>
          <w:rFonts w:ascii="Bookman Old Style" w:eastAsia="MS Mincho" w:hAnsi="Bookman Old Style" w:cs="Arial"/>
          <w:lang w:val="es-CO"/>
        </w:rPr>
        <w:t xml:space="preserve"> para analizar la procedencia de la imposición de servidumbre y</w:t>
      </w:r>
      <w:r w:rsidR="00C64733">
        <w:rPr>
          <w:rFonts w:ascii="Bookman Old Style" w:eastAsia="MS Mincho" w:hAnsi="Bookman Old Style" w:cs="Arial"/>
          <w:lang w:val="es-CO"/>
        </w:rPr>
        <w:t xml:space="preserve"> la conexión del proyecto, </w:t>
      </w:r>
      <w:r w:rsidR="00605780">
        <w:rPr>
          <w:rFonts w:ascii="Bookman Old Style" w:eastAsia="MS Mincho" w:hAnsi="Bookman Old Style" w:cs="Arial"/>
          <w:lang w:val="es-CO"/>
        </w:rPr>
        <w:t xml:space="preserve">se reiteran los objetivos específicos sobre los cuales se </w:t>
      </w:r>
      <w:r w:rsidR="00BE4E2D">
        <w:rPr>
          <w:rFonts w:ascii="Bookman Old Style" w:eastAsia="MS Mincho" w:hAnsi="Bookman Old Style" w:cs="Arial"/>
          <w:lang w:val="es-CO"/>
        </w:rPr>
        <w:t xml:space="preserve">desarrolló </w:t>
      </w:r>
      <w:r w:rsidR="001463B0">
        <w:rPr>
          <w:rFonts w:ascii="Bookman Old Style" w:eastAsia="MS Mincho" w:hAnsi="Bookman Old Style" w:cs="Arial"/>
          <w:lang w:val="es-CO"/>
        </w:rPr>
        <w:t xml:space="preserve">la Resolución CREG 038 de 2018 y que fueron expuestos por esta Comisión en </w:t>
      </w:r>
      <w:r w:rsidR="00582CE8">
        <w:rPr>
          <w:rFonts w:ascii="Bookman Old Style" w:eastAsia="MS Mincho" w:hAnsi="Bookman Old Style" w:cs="Arial"/>
          <w:lang w:val="es-CO"/>
        </w:rPr>
        <w:t>Documento CREG 001 de 2018:</w:t>
      </w:r>
    </w:p>
    <w:p w14:paraId="4E5A449D" w14:textId="77777777" w:rsidR="00582CE8" w:rsidRDefault="00582CE8" w:rsidP="00B264DC">
      <w:pPr>
        <w:ind w:left="284"/>
        <w:contextualSpacing/>
        <w:jc w:val="both"/>
        <w:rPr>
          <w:rFonts w:ascii="Bookman Old Style" w:eastAsia="MS Mincho" w:hAnsi="Bookman Old Style" w:cs="Arial"/>
          <w:lang w:val="es-CO"/>
        </w:rPr>
      </w:pPr>
    </w:p>
    <w:p w14:paraId="78C090A3" w14:textId="6BA5FA23" w:rsidR="006C1868" w:rsidRDefault="006C1868" w:rsidP="006C1868">
      <w:pPr>
        <w:ind w:left="709"/>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3.2. Específicos</w:t>
      </w:r>
      <w:r w:rsidR="00D167F2">
        <w:rPr>
          <w:rFonts w:ascii="Bookman Old Style" w:eastAsia="MS Mincho" w:hAnsi="Bookman Old Style" w:cs="Arial"/>
          <w:i/>
          <w:iCs/>
          <w:sz w:val="20"/>
          <w:szCs w:val="20"/>
          <w:lang w:val="es-CO"/>
        </w:rPr>
        <w:t xml:space="preserve"> (…)</w:t>
      </w:r>
    </w:p>
    <w:p w14:paraId="6E1432D2" w14:textId="77777777" w:rsidR="006C1868" w:rsidRDefault="006C1868" w:rsidP="006C1868">
      <w:pPr>
        <w:ind w:left="709"/>
        <w:contextualSpacing/>
        <w:jc w:val="both"/>
        <w:rPr>
          <w:rFonts w:ascii="Bookman Old Style" w:eastAsia="MS Mincho" w:hAnsi="Bookman Old Style" w:cs="Arial"/>
          <w:i/>
          <w:iCs/>
          <w:sz w:val="20"/>
          <w:szCs w:val="20"/>
          <w:lang w:val="es-CO"/>
        </w:rPr>
      </w:pPr>
    </w:p>
    <w:p w14:paraId="3866B2E6" w14:textId="50D390F7" w:rsidR="006C1868" w:rsidRDefault="0096713E" w:rsidP="0031124A">
      <w:pPr>
        <w:pStyle w:val="Prrafodelista"/>
        <w:numPr>
          <w:ilvl w:val="0"/>
          <w:numId w:val="37"/>
        </w:numPr>
        <w:ind w:left="993" w:hanging="284"/>
        <w:contextualSpacing/>
        <w:jc w:val="both"/>
        <w:rPr>
          <w:rFonts w:ascii="Bookman Old Style" w:eastAsia="MS Mincho" w:hAnsi="Bookman Old Style" w:cs="Arial"/>
          <w:i/>
          <w:iCs/>
        </w:rPr>
      </w:pPr>
      <w:r>
        <w:rPr>
          <w:rFonts w:ascii="Bookman Old Style" w:eastAsia="MS Mincho" w:hAnsi="Bookman Old Style" w:cs="Arial"/>
          <w:i/>
          <w:iCs/>
        </w:rPr>
        <w:t xml:space="preserve">Establecer los </w:t>
      </w:r>
      <w:r w:rsidRPr="00885CDE">
        <w:rPr>
          <w:rFonts w:ascii="Bookman Old Style" w:eastAsia="MS Mincho" w:hAnsi="Bookman Old Style" w:cs="Arial"/>
          <w:b/>
          <w:bCs/>
          <w:i/>
          <w:iCs/>
          <w:u w:val="single"/>
        </w:rPr>
        <w:t>lineamientos para que las conexiones de generadores distribuidos</w:t>
      </w:r>
      <w:r>
        <w:rPr>
          <w:rFonts w:ascii="Bookman Old Style" w:eastAsia="MS Mincho" w:hAnsi="Bookman Old Style" w:cs="Arial"/>
          <w:i/>
          <w:iCs/>
        </w:rPr>
        <w:t xml:space="preserve"> y autogeneradores </w:t>
      </w:r>
      <w:r w:rsidR="00D167F2">
        <w:rPr>
          <w:rFonts w:ascii="Bookman Old Style" w:eastAsia="MS Mincho" w:hAnsi="Bookman Old Style" w:cs="Arial"/>
          <w:i/>
          <w:iCs/>
        </w:rPr>
        <w:t xml:space="preserve">presentes en las zonas no interconectadas, </w:t>
      </w:r>
      <w:r w:rsidR="00D167F2" w:rsidRPr="00885CDE">
        <w:rPr>
          <w:rFonts w:ascii="Bookman Old Style" w:eastAsia="MS Mincho" w:hAnsi="Bookman Old Style" w:cs="Arial"/>
          <w:b/>
          <w:bCs/>
          <w:i/>
          <w:iCs/>
          <w:u w:val="single"/>
        </w:rPr>
        <w:t xml:space="preserve">cumplan con lo </w:t>
      </w:r>
      <w:r w:rsidR="000F5538" w:rsidRPr="00885CDE">
        <w:rPr>
          <w:rFonts w:ascii="Bookman Old Style" w:eastAsia="MS Mincho" w:hAnsi="Bookman Old Style" w:cs="Arial"/>
          <w:b/>
          <w:bCs/>
          <w:i/>
          <w:iCs/>
          <w:u w:val="single"/>
        </w:rPr>
        <w:t>previsto en los códigos y reglamentos técnicos vigentes</w:t>
      </w:r>
      <w:r w:rsidR="000F5538">
        <w:rPr>
          <w:rFonts w:ascii="Bookman Old Style" w:eastAsia="MS Mincho" w:hAnsi="Bookman Old Style" w:cs="Arial"/>
          <w:i/>
          <w:iCs/>
        </w:rPr>
        <w:t>.</w:t>
      </w:r>
    </w:p>
    <w:p w14:paraId="3883A09A" w14:textId="77777777" w:rsidR="0006211C" w:rsidRDefault="0006211C" w:rsidP="0006211C">
      <w:pPr>
        <w:pStyle w:val="Prrafodelista"/>
        <w:ind w:left="993"/>
        <w:contextualSpacing/>
        <w:jc w:val="both"/>
        <w:rPr>
          <w:rFonts w:ascii="Bookman Old Style" w:eastAsia="MS Mincho" w:hAnsi="Bookman Old Style" w:cs="Arial"/>
          <w:i/>
          <w:iCs/>
        </w:rPr>
      </w:pPr>
    </w:p>
    <w:p w14:paraId="2F6259BA" w14:textId="1BA1B1C1" w:rsidR="006C1868" w:rsidRPr="00E31211" w:rsidRDefault="0006211C" w:rsidP="00E31211">
      <w:pPr>
        <w:pStyle w:val="Prrafodelista"/>
        <w:numPr>
          <w:ilvl w:val="0"/>
          <w:numId w:val="37"/>
        </w:numPr>
        <w:ind w:left="993" w:hanging="284"/>
        <w:contextualSpacing/>
        <w:jc w:val="both"/>
        <w:rPr>
          <w:rFonts w:ascii="Bookman Old Style" w:eastAsia="MS Mincho" w:hAnsi="Bookman Old Style" w:cs="Arial"/>
        </w:rPr>
      </w:pPr>
      <w:r w:rsidRPr="00885CDE">
        <w:rPr>
          <w:rFonts w:ascii="Bookman Old Style" w:eastAsia="MS Mincho" w:hAnsi="Bookman Old Style" w:cs="Arial"/>
          <w:b/>
          <w:bCs/>
          <w:i/>
          <w:iCs/>
          <w:u w:val="single"/>
        </w:rPr>
        <w:t>Preservar la integridad de los sistemas de distribución, prevenir incidentes durante la operación de dichos sistemas</w:t>
      </w:r>
      <w:r w:rsidR="00370F1A" w:rsidRPr="00885CDE">
        <w:rPr>
          <w:rFonts w:ascii="Bookman Old Style" w:eastAsia="MS Mincho" w:hAnsi="Bookman Old Style" w:cs="Arial"/>
          <w:b/>
          <w:bCs/>
          <w:i/>
          <w:iCs/>
          <w:u w:val="single"/>
        </w:rPr>
        <w:t xml:space="preserve"> y minim</w:t>
      </w:r>
      <w:r w:rsidR="002163DF" w:rsidRPr="00885CDE">
        <w:rPr>
          <w:rFonts w:ascii="Bookman Old Style" w:eastAsia="MS Mincho" w:hAnsi="Bookman Old Style" w:cs="Arial"/>
          <w:b/>
          <w:bCs/>
          <w:i/>
          <w:iCs/>
          <w:u w:val="single"/>
        </w:rPr>
        <w:t xml:space="preserve">izar la probabilidad de reversión de flujos </w:t>
      </w:r>
      <w:r w:rsidR="00E31211" w:rsidRPr="00885CDE">
        <w:rPr>
          <w:rFonts w:ascii="Bookman Old Style" w:eastAsia="MS Mincho" w:hAnsi="Bookman Old Style" w:cs="Arial"/>
          <w:b/>
          <w:bCs/>
          <w:i/>
          <w:iCs/>
          <w:u w:val="single"/>
        </w:rPr>
        <w:t>en un circuito determinado</w:t>
      </w:r>
      <w:r w:rsidR="00E31211">
        <w:rPr>
          <w:rFonts w:ascii="Bookman Old Style" w:eastAsia="MS Mincho" w:hAnsi="Bookman Old Style" w:cs="Arial"/>
          <w:i/>
          <w:iCs/>
        </w:rPr>
        <w:t xml:space="preserve">. </w:t>
      </w:r>
      <w:r w:rsidR="006C1868" w:rsidRPr="00E31211">
        <w:rPr>
          <w:rFonts w:ascii="Bookman Old Style" w:eastAsia="MS Mincho" w:hAnsi="Bookman Old Style" w:cs="Arial"/>
          <w:i/>
          <w:iCs/>
        </w:rPr>
        <w:t>(…)”</w:t>
      </w:r>
      <w:r w:rsidR="006C1868" w:rsidRPr="00E31211">
        <w:rPr>
          <w:rFonts w:ascii="Bookman Old Style" w:eastAsia="MS Mincho" w:hAnsi="Bookman Old Style" w:cs="Arial"/>
        </w:rPr>
        <w:t xml:space="preserve"> Resaltado y subrayado fuera de texto</w:t>
      </w:r>
    </w:p>
    <w:p w14:paraId="420C2ECE" w14:textId="77777777" w:rsidR="00582CE8" w:rsidRDefault="00582CE8" w:rsidP="00B264DC">
      <w:pPr>
        <w:ind w:left="284"/>
        <w:contextualSpacing/>
        <w:jc w:val="both"/>
        <w:rPr>
          <w:rFonts w:ascii="Bookman Old Style" w:eastAsia="MS Mincho" w:hAnsi="Bookman Old Style" w:cs="Arial"/>
          <w:lang w:val="es-CO"/>
        </w:rPr>
      </w:pPr>
    </w:p>
    <w:p w14:paraId="3E0F1034" w14:textId="3AE2F686" w:rsidR="004B455D" w:rsidRDefault="003043C6"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Atendiendo</w:t>
      </w:r>
      <w:r w:rsidR="00E273FF">
        <w:rPr>
          <w:rFonts w:ascii="Bookman Old Style" w:eastAsia="MS Mincho" w:hAnsi="Bookman Old Style" w:cs="Arial"/>
          <w:lang w:val="es-CO"/>
        </w:rPr>
        <w:t xml:space="preserve"> entre otros </w:t>
      </w:r>
      <w:r>
        <w:rPr>
          <w:rFonts w:ascii="Bookman Old Style" w:eastAsia="MS Mincho" w:hAnsi="Bookman Old Style" w:cs="Arial"/>
          <w:lang w:val="es-CO"/>
        </w:rPr>
        <w:t xml:space="preserve">a </w:t>
      </w:r>
      <w:r w:rsidR="00DB64FE">
        <w:rPr>
          <w:rFonts w:ascii="Bookman Old Style" w:eastAsia="MS Mincho" w:hAnsi="Bookman Old Style" w:cs="Arial"/>
          <w:lang w:val="es-CO"/>
        </w:rPr>
        <w:t xml:space="preserve">los anteriores objetivos, dentro de los procesos de conexión que fueron reglamentados mediante </w:t>
      </w:r>
      <w:r w:rsidR="008063BF">
        <w:rPr>
          <w:rFonts w:ascii="Bookman Old Style" w:eastAsia="MS Mincho" w:hAnsi="Bookman Old Style" w:cs="Arial"/>
          <w:lang w:val="es-CO"/>
        </w:rPr>
        <w:t xml:space="preserve">la </w:t>
      </w:r>
      <w:r w:rsidR="00DB64FE">
        <w:rPr>
          <w:rFonts w:ascii="Bookman Old Style" w:eastAsia="MS Mincho" w:hAnsi="Bookman Old Style" w:cs="Arial"/>
          <w:lang w:val="es-CO"/>
        </w:rPr>
        <w:t xml:space="preserve">Resolución CREG 038 de 2018 </w:t>
      </w:r>
      <w:r w:rsidR="00EF4229">
        <w:rPr>
          <w:rFonts w:ascii="Bookman Old Style" w:eastAsia="MS Mincho" w:hAnsi="Bookman Old Style" w:cs="Arial"/>
          <w:lang w:val="es-CO"/>
        </w:rPr>
        <w:t xml:space="preserve">para </w:t>
      </w:r>
      <w:r w:rsidR="00170A57">
        <w:rPr>
          <w:rFonts w:ascii="Bookman Old Style" w:eastAsia="MS Mincho" w:hAnsi="Bookman Old Style" w:cs="Arial"/>
          <w:lang w:val="es-CO"/>
        </w:rPr>
        <w:t xml:space="preserve">la conexión de </w:t>
      </w:r>
      <w:r w:rsidR="00545FDC">
        <w:rPr>
          <w:rFonts w:ascii="Bookman Old Style" w:eastAsia="MS Mincho" w:hAnsi="Bookman Old Style" w:cs="Arial"/>
          <w:lang w:val="es-CO"/>
        </w:rPr>
        <w:t>potencia</w:t>
      </w:r>
      <w:r w:rsidR="009D775C">
        <w:rPr>
          <w:rFonts w:ascii="Bookman Old Style" w:eastAsia="MS Mincho" w:hAnsi="Bookman Old Style" w:cs="Arial"/>
          <w:lang w:val="es-CO"/>
        </w:rPr>
        <w:t>s instaladas superiores a 100 kW</w:t>
      </w:r>
      <w:r w:rsidR="00357A6F">
        <w:rPr>
          <w:rFonts w:ascii="Bookman Old Style" w:eastAsia="MS Mincho" w:hAnsi="Bookman Old Style" w:cs="Arial"/>
          <w:lang w:val="es-CO"/>
        </w:rPr>
        <w:t xml:space="preserve">, </w:t>
      </w:r>
      <w:r w:rsidR="00BB50B9">
        <w:rPr>
          <w:rFonts w:ascii="Bookman Old Style" w:eastAsia="MS Mincho" w:hAnsi="Bookman Old Style" w:cs="Arial"/>
          <w:lang w:val="es-CO"/>
        </w:rPr>
        <w:t xml:space="preserve">se definió </w:t>
      </w:r>
      <w:r w:rsidR="007D5CA2">
        <w:rPr>
          <w:rFonts w:ascii="Bookman Old Style" w:eastAsia="MS Mincho" w:hAnsi="Bookman Old Style" w:cs="Arial"/>
          <w:lang w:val="es-CO"/>
        </w:rPr>
        <w:t xml:space="preserve">como requisito </w:t>
      </w:r>
      <w:r w:rsidR="00BB50B9">
        <w:rPr>
          <w:rFonts w:ascii="Bookman Old Style" w:eastAsia="MS Mincho" w:hAnsi="Bookman Old Style" w:cs="Arial"/>
          <w:lang w:val="es-CO"/>
        </w:rPr>
        <w:t>p</w:t>
      </w:r>
      <w:r w:rsidR="007D5CA2">
        <w:rPr>
          <w:rFonts w:ascii="Bookman Old Style" w:eastAsia="MS Mincho" w:hAnsi="Bookman Old Style" w:cs="Arial"/>
          <w:lang w:val="es-CO"/>
        </w:rPr>
        <w:t>a</w:t>
      </w:r>
      <w:r w:rsidR="00BB50B9">
        <w:rPr>
          <w:rFonts w:ascii="Bookman Old Style" w:eastAsia="MS Mincho" w:hAnsi="Bookman Old Style" w:cs="Arial"/>
          <w:lang w:val="es-CO"/>
        </w:rPr>
        <w:t>ra</w:t>
      </w:r>
      <w:r w:rsidR="007D5CA2">
        <w:rPr>
          <w:rFonts w:ascii="Bookman Old Style" w:eastAsia="MS Mincho" w:hAnsi="Bookman Old Style" w:cs="Arial"/>
          <w:lang w:val="es-CO"/>
        </w:rPr>
        <w:t xml:space="preserve"> quien </w:t>
      </w:r>
      <w:r w:rsidR="00BB50B9">
        <w:rPr>
          <w:rFonts w:ascii="Bookman Old Style" w:eastAsia="MS Mincho" w:hAnsi="Bookman Old Style" w:cs="Arial"/>
          <w:lang w:val="es-CO"/>
        </w:rPr>
        <w:t xml:space="preserve">presenta la </w:t>
      </w:r>
      <w:r w:rsidR="007D5CA2">
        <w:rPr>
          <w:rFonts w:ascii="Bookman Old Style" w:eastAsia="MS Mincho" w:hAnsi="Bookman Old Style" w:cs="Arial"/>
          <w:lang w:val="es-CO"/>
        </w:rPr>
        <w:t>solicit</w:t>
      </w:r>
      <w:r w:rsidR="00BB50B9">
        <w:rPr>
          <w:rFonts w:ascii="Bookman Old Style" w:eastAsia="MS Mincho" w:hAnsi="Bookman Old Style" w:cs="Arial"/>
          <w:lang w:val="es-CO"/>
        </w:rPr>
        <w:t>ud de</w:t>
      </w:r>
      <w:r w:rsidR="007D5CA2">
        <w:rPr>
          <w:rFonts w:ascii="Bookman Old Style" w:eastAsia="MS Mincho" w:hAnsi="Bookman Old Style" w:cs="Arial"/>
          <w:lang w:val="es-CO"/>
        </w:rPr>
        <w:t xml:space="preserve"> conexión </w:t>
      </w:r>
      <w:r w:rsidR="00BB50B9">
        <w:rPr>
          <w:rFonts w:ascii="Bookman Old Style" w:eastAsia="MS Mincho" w:hAnsi="Bookman Old Style" w:cs="Arial"/>
          <w:lang w:val="es-CO"/>
        </w:rPr>
        <w:t xml:space="preserve">la elaboración de un </w:t>
      </w:r>
      <w:r w:rsidR="0032287F">
        <w:rPr>
          <w:rFonts w:ascii="Bookman Old Style" w:eastAsia="MS Mincho" w:hAnsi="Bookman Old Style" w:cs="Arial"/>
          <w:lang w:val="es-CO"/>
        </w:rPr>
        <w:t>estudio de conexión</w:t>
      </w:r>
      <w:r w:rsidR="00BB50B9">
        <w:rPr>
          <w:rFonts w:ascii="Bookman Old Style" w:eastAsia="MS Mincho" w:hAnsi="Bookman Old Style" w:cs="Arial"/>
          <w:lang w:val="es-CO"/>
        </w:rPr>
        <w:t xml:space="preserve"> en los siguientes términos:</w:t>
      </w:r>
    </w:p>
    <w:p w14:paraId="48C11155" w14:textId="1C96E2C8" w:rsidR="004B455D" w:rsidRDefault="004B455D" w:rsidP="00B264DC">
      <w:pPr>
        <w:ind w:left="284"/>
        <w:contextualSpacing/>
        <w:jc w:val="both"/>
        <w:rPr>
          <w:rFonts w:ascii="Bookman Old Style" w:eastAsia="MS Mincho" w:hAnsi="Bookman Old Style" w:cs="Arial"/>
          <w:lang w:val="es-CO"/>
        </w:rPr>
      </w:pPr>
    </w:p>
    <w:p w14:paraId="6B3ECD19" w14:textId="7676ADB8" w:rsidR="00EF4229" w:rsidRPr="00406D59" w:rsidRDefault="00406D59" w:rsidP="008063BF">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EF4229" w:rsidRPr="00406D59">
        <w:rPr>
          <w:rFonts w:ascii="Bookman Old Style" w:eastAsia="MS Mincho" w:hAnsi="Bookman Old Style" w:cs="Arial"/>
          <w:i/>
          <w:iCs/>
          <w:sz w:val="20"/>
          <w:szCs w:val="20"/>
          <w:lang w:val="es-CO"/>
        </w:rPr>
        <w:t xml:space="preserve">El solicitante deberá elaborar un estudio de conexión que cumpla con el contenido mínimo publicado por la CREG. </w:t>
      </w:r>
      <w:r w:rsidR="00EF4229" w:rsidRPr="00107D20">
        <w:rPr>
          <w:rFonts w:ascii="Bookman Old Style" w:eastAsia="MS Mincho" w:hAnsi="Bookman Old Style" w:cs="Arial"/>
          <w:b/>
          <w:bCs/>
          <w:i/>
          <w:iCs/>
          <w:sz w:val="20"/>
          <w:szCs w:val="20"/>
          <w:u w:val="single"/>
          <w:lang w:val="es-CO"/>
        </w:rPr>
        <w:t>Mientras el contenido mínimo del estudio de conexión no sea definido por la CREG, el distribuidor determinará cuál deberá ser el contenido de dicho estudio de conexión, sin que en ningún caso se excedan los requisitos previstos en el procedimiento para la conexión de generación del que trata la Resolución CREG 070 de 1998 y demás normas que la modifiquen o sustituyan.</w:t>
      </w:r>
    </w:p>
    <w:p w14:paraId="634F32F6" w14:textId="77777777" w:rsidR="00EF4229" w:rsidRPr="00406D59" w:rsidRDefault="00EF4229" w:rsidP="00406D59">
      <w:pPr>
        <w:ind w:left="709"/>
        <w:contextualSpacing/>
        <w:jc w:val="both"/>
        <w:rPr>
          <w:rFonts w:ascii="Bookman Old Style" w:eastAsia="MS Mincho" w:hAnsi="Bookman Old Style" w:cs="Arial"/>
          <w:i/>
          <w:iCs/>
          <w:sz w:val="20"/>
          <w:szCs w:val="20"/>
          <w:lang w:val="es-CO"/>
        </w:rPr>
      </w:pPr>
    </w:p>
    <w:p w14:paraId="180EF931" w14:textId="2F316E80" w:rsidR="004B455D" w:rsidRPr="00107D20" w:rsidRDefault="00EF4229" w:rsidP="008063BF">
      <w:pPr>
        <w:ind w:left="567"/>
        <w:contextualSpacing/>
        <w:jc w:val="both"/>
        <w:rPr>
          <w:rFonts w:ascii="Bookman Old Style" w:eastAsia="MS Mincho" w:hAnsi="Bookman Old Style" w:cs="Arial"/>
          <w:sz w:val="20"/>
          <w:szCs w:val="20"/>
          <w:lang w:val="es-CO"/>
        </w:rPr>
      </w:pPr>
      <w:r w:rsidRPr="00406D59">
        <w:rPr>
          <w:rFonts w:ascii="Bookman Old Style" w:eastAsia="MS Mincho" w:hAnsi="Bookman Old Style" w:cs="Arial"/>
          <w:i/>
          <w:iCs/>
          <w:sz w:val="20"/>
          <w:szCs w:val="20"/>
          <w:lang w:val="es-CO"/>
        </w:rPr>
        <w:t xml:space="preserve">El estudio podrá ser elaborado por el interesado o por el distribuidor a solicitud de aquél. </w:t>
      </w:r>
      <w:r w:rsidRPr="00A1128F">
        <w:rPr>
          <w:rFonts w:ascii="Bookman Old Style" w:eastAsia="MS Mincho" w:hAnsi="Bookman Old Style" w:cs="Arial"/>
          <w:b/>
          <w:bCs/>
          <w:i/>
          <w:iCs/>
          <w:sz w:val="20"/>
          <w:szCs w:val="20"/>
          <w:u w:val="single"/>
          <w:lang w:val="es-CO"/>
        </w:rPr>
        <w:t>En el caso de que el interesado haya realizado por su cuenta el estudio de conexión, el distribuidor revisará dicho estudio indicando si el mismo cumple con los criterios establecidos en la normatividad aplicable o en caso contrario indicando de forma expresa los aspectos que deben ajustarse.</w:t>
      </w:r>
      <w:r w:rsidRPr="00406D59">
        <w:rPr>
          <w:rFonts w:ascii="Bookman Old Style" w:eastAsia="MS Mincho" w:hAnsi="Bookman Old Style" w:cs="Arial"/>
          <w:i/>
          <w:iCs/>
          <w:sz w:val="20"/>
          <w:szCs w:val="20"/>
          <w:lang w:val="es-CO"/>
        </w:rPr>
        <w:t xml:space="preserve"> De cualquier forma, los estudios de conexión y la coordinación de protecciones eléctricas son responsabilidad del autogenerador que se conecta.</w:t>
      </w:r>
      <w:r w:rsidR="00406D59">
        <w:rPr>
          <w:rFonts w:ascii="Bookman Old Style" w:eastAsia="MS Mincho" w:hAnsi="Bookman Old Style" w:cs="Arial"/>
          <w:i/>
          <w:iCs/>
          <w:sz w:val="20"/>
          <w:szCs w:val="20"/>
          <w:lang w:val="es-CO"/>
        </w:rPr>
        <w:t xml:space="preserve"> (…)”</w:t>
      </w:r>
      <w:r w:rsidR="00107D20">
        <w:rPr>
          <w:rFonts w:ascii="Bookman Old Style" w:eastAsia="MS Mincho" w:hAnsi="Bookman Old Style" w:cs="Arial"/>
          <w:sz w:val="20"/>
          <w:szCs w:val="20"/>
          <w:lang w:val="es-CO"/>
        </w:rPr>
        <w:t xml:space="preserve"> Resaltado y subrayado fuera de texto</w:t>
      </w:r>
    </w:p>
    <w:p w14:paraId="4695C14F" w14:textId="77777777" w:rsidR="00BF7E4B" w:rsidRDefault="00BF7E4B" w:rsidP="00B264DC">
      <w:pPr>
        <w:ind w:left="284"/>
        <w:contextualSpacing/>
        <w:jc w:val="both"/>
        <w:rPr>
          <w:rFonts w:ascii="Bookman Old Style" w:eastAsia="MS Mincho" w:hAnsi="Bookman Old Style" w:cs="Arial"/>
          <w:lang w:val="es-CO"/>
        </w:rPr>
      </w:pPr>
    </w:p>
    <w:p w14:paraId="18F8E3E7" w14:textId="7A7A615F" w:rsidR="00E93439" w:rsidRDefault="003E05BC"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Así mismo, </w:t>
      </w:r>
      <w:r w:rsidR="0081304D">
        <w:rPr>
          <w:rFonts w:ascii="Bookman Old Style" w:eastAsia="MS Mincho" w:hAnsi="Bookman Old Style" w:cs="Arial"/>
          <w:lang w:val="es-CO"/>
        </w:rPr>
        <w:t xml:space="preserve">la CREG </w:t>
      </w:r>
      <w:r w:rsidR="00973204">
        <w:rPr>
          <w:rFonts w:ascii="Bookman Old Style" w:eastAsia="MS Mincho" w:hAnsi="Bookman Old Style" w:cs="Arial"/>
          <w:lang w:val="es-CO"/>
        </w:rPr>
        <w:t xml:space="preserve">estableció </w:t>
      </w:r>
      <w:r w:rsidR="0048600E">
        <w:rPr>
          <w:rFonts w:ascii="Bookman Old Style" w:eastAsia="MS Mincho" w:hAnsi="Bookman Old Style" w:cs="Arial"/>
          <w:lang w:val="es-CO"/>
        </w:rPr>
        <w:t xml:space="preserve">como hito de la aprobación de la solicitud de conexión </w:t>
      </w:r>
      <w:r w:rsidR="002153D4">
        <w:rPr>
          <w:rFonts w:ascii="Bookman Old Style" w:eastAsia="MS Mincho" w:hAnsi="Bookman Old Style" w:cs="Arial"/>
          <w:lang w:val="es-CO"/>
        </w:rPr>
        <w:t xml:space="preserve">el concepto sobre factibilidad técnica que debe emitir </w:t>
      </w:r>
      <w:r w:rsidR="00FF0206">
        <w:rPr>
          <w:rFonts w:ascii="Bookman Old Style" w:eastAsia="MS Mincho" w:hAnsi="Bookman Old Style" w:cs="Arial"/>
          <w:lang w:val="es-CO"/>
        </w:rPr>
        <w:t xml:space="preserve">la empresa a la que se le </w:t>
      </w:r>
      <w:r w:rsidR="00B16010">
        <w:rPr>
          <w:rFonts w:ascii="Bookman Old Style" w:eastAsia="MS Mincho" w:hAnsi="Bookman Old Style" w:cs="Arial"/>
          <w:lang w:val="es-CO"/>
        </w:rPr>
        <w:t>hace la respectiva solicitud</w:t>
      </w:r>
      <w:r w:rsidR="00FE1A0C">
        <w:rPr>
          <w:rFonts w:ascii="Bookman Old Style" w:eastAsia="MS Mincho" w:hAnsi="Bookman Old Style" w:cs="Arial"/>
          <w:lang w:val="es-CO"/>
        </w:rPr>
        <w:t>, en los siguientes términos</w:t>
      </w:r>
      <w:r w:rsidR="00B16010">
        <w:rPr>
          <w:rFonts w:ascii="Bookman Old Style" w:eastAsia="MS Mincho" w:hAnsi="Bookman Old Style" w:cs="Arial"/>
          <w:lang w:val="es-CO"/>
        </w:rPr>
        <w:t>:</w:t>
      </w:r>
    </w:p>
    <w:p w14:paraId="4F55960C" w14:textId="77777777" w:rsidR="00E93439" w:rsidRDefault="00E93439" w:rsidP="00B264DC">
      <w:pPr>
        <w:ind w:left="284"/>
        <w:contextualSpacing/>
        <w:jc w:val="both"/>
        <w:rPr>
          <w:rFonts w:ascii="Bookman Old Style" w:eastAsia="MS Mincho" w:hAnsi="Bookman Old Style" w:cs="Arial"/>
          <w:lang w:val="es-CO"/>
        </w:rPr>
      </w:pPr>
    </w:p>
    <w:p w14:paraId="7B4AB6FD" w14:textId="54EA4E1B" w:rsidR="002B6BF9" w:rsidRPr="00B16010" w:rsidRDefault="00B16010" w:rsidP="008063BF">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2B6BF9" w:rsidRPr="00C72F28">
        <w:rPr>
          <w:rFonts w:ascii="Bookman Old Style" w:eastAsia="MS Mincho" w:hAnsi="Bookman Old Style" w:cs="Arial"/>
          <w:b/>
          <w:bCs/>
          <w:i/>
          <w:iCs/>
          <w:sz w:val="20"/>
          <w:szCs w:val="20"/>
          <w:u w:val="single"/>
          <w:lang w:val="es-CO"/>
        </w:rPr>
        <w:t>El distribuidor tendrá treinta (30) días hábiles contados a partir del día siguiente al de recibo de la solicitud de conexión para dar respuesta y emitir concepto sobre la factibilidad técnica de la conexión.</w:t>
      </w:r>
      <w:r w:rsidR="002B6BF9" w:rsidRPr="00B16010">
        <w:rPr>
          <w:rFonts w:ascii="Bookman Old Style" w:eastAsia="MS Mincho" w:hAnsi="Bookman Old Style" w:cs="Arial"/>
          <w:i/>
          <w:iCs/>
          <w:sz w:val="20"/>
          <w:szCs w:val="20"/>
          <w:lang w:val="es-CO"/>
        </w:rPr>
        <w:t xml:space="preserve"> </w:t>
      </w:r>
    </w:p>
    <w:p w14:paraId="7C5AFE72" w14:textId="77777777" w:rsidR="002B6BF9" w:rsidRPr="00B16010" w:rsidRDefault="002B6BF9" w:rsidP="008063BF">
      <w:pPr>
        <w:ind w:left="567"/>
        <w:contextualSpacing/>
        <w:jc w:val="both"/>
        <w:rPr>
          <w:rFonts w:ascii="Bookman Old Style" w:eastAsia="MS Mincho" w:hAnsi="Bookman Old Style" w:cs="Arial"/>
          <w:i/>
          <w:iCs/>
          <w:sz w:val="20"/>
          <w:szCs w:val="20"/>
          <w:lang w:val="es-CO"/>
        </w:rPr>
      </w:pPr>
    </w:p>
    <w:p w14:paraId="3C6A18CD" w14:textId="51F111F3" w:rsidR="00E93439" w:rsidRPr="00BA635D" w:rsidRDefault="002B6BF9" w:rsidP="008063BF">
      <w:pPr>
        <w:ind w:left="567"/>
        <w:contextualSpacing/>
        <w:jc w:val="both"/>
        <w:rPr>
          <w:rFonts w:ascii="Bookman Old Style" w:eastAsia="MS Mincho" w:hAnsi="Bookman Old Style" w:cs="Arial"/>
          <w:sz w:val="20"/>
          <w:szCs w:val="20"/>
          <w:lang w:val="es-CO"/>
        </w:rPr>
      </w:pPr>
      <w:r w:rsidRPr="00BA635D">
        <w:rPr>
          <w:rFonts w:ascii="Bookman Old Style" w:eastAsia="MS Mincho" w:hAnsi="Bookman Old Style" w:cs="Arial"/>
          <w:b/>
          <w:bCs/>
          <w:i/>
          <w:iCs/>
          <w:sz w:val="20"/>
          <w:szCs w:val="20"/>
          <w:u w:val="single"/>
          <w:lang w:val="es-CO"/>
        </w:rPr>
        <w:t>En caso de que la solicitud sea rechazada, el distribuidor deberá justificar técnicamente por escrito la causa de la negación de la conexión, especificando el fundamento normativo o técnico que lo soporte, los parámetros verificables de indisponibilidad de red o de los requisitos incumplidos, indicando con precisión los requisitos que deben ser cumplidos para poder aprobar la conexión o detallar las obras requeridas para hacer posible la conexión</w:t>
      </w:r>
      <w:r w:rsidRPr="00B16010">
        <w:rPr>
          <w:rFonts w:ascii="Bookman Old Style" w:eastAsia="MS Mincho" w:hAnsi="Bookman Old Style" w:cs="Arial"/>
          <w:i/>
          <w:iCs/>
          <w:sz w:val="20"/>
          <w:szCs w:val="20"/>
          <w:lang w:val="es-CO"/>
        </w:rPr>
        <w:t>.</w:t>
      </w:r>
      <w:r w:rsidR="00B16010">
        <w:rPr>
          <w:rFonts w:ascii="Bookman Old Style" w:eastAsia="MS Mincho" w:hAnsi="Bookman Old Style" w:cs="Arial"/>
          <w:i/>
          <w:iCs/>
          <w:sz w:val="20"/>
          <w:szCs w:val="20"/>
          <w:lang w:val="es-CO"/>
        </w:rPr>
        <w:t xml:space="preserve"> (…)”</w:t>
      </w:r>
      <w:r w:rsidR="00BA635D">
        <w:rPr>
          <w:rFonts w:ascii="Bookman Old Style" w:eastAsia="MS Mincho" w:hAnsi="Bookman Old Style" w:cs="Arial"/>
          <w:sz w:val="20"/>
          <w:szCs w:val="20"/>
          <w:lang w:val="es-CO"/>
        </w:rPr>
        <w:t xml:space="preserve"> Resaltado </w:t>
      </w:r>
    </w:p>
    <w:p w14:paraId="1D2E85C8" w14:textId="77777777" w:rsidR="00E93439" w:rsidRDefault="00E93439" w:rsidP="00B264DC">
      <w:pPr>
        <w:ind w:left="284"/>
        <w:contextualSpacing/>
        <w:jc w:val="both"/>
        <w:rPr>
          <w:rFonts w:ascii="Bookman Old Style" w:eastAsia="MS Mincho" w:hAnsi="Bookman Old Style" w:cs="Arial"/>
          <w:lang w:val="es-CO"/>
        </w:rPr>
      </w:pPr>
    </w:p>
    <w:p w14:paraId="177616DE" w14:textId="32B98719" w:rsidR="00BF7E4B" w:rsidRDefault="0042133C"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Partiendo de los mismos</w:t>
      </w:r>
      <w:r w:rsidR="00D5277E">
        <w:rPr>
          <w:rFonts w:ascii="Bookman Old Style" w:eastAsia="MS Mincho" w:hAnsi="Bookman Old Style" w:cs="Arial"/>
          <w:lang w:val="es-CO"/>
        </w:rPr>
        <w:t xml:space="preserve"> principios, en lo ya regulado por la CREG, </w:t>
      </w:r>
      <w:r w:rsidR="003B3FC2">
        <w:rPr>
          <w:rFonts w:ascii="Bookman Old Style" w:eastAsia="MS Mincho" w:hAnsi="Bookman Old Style" w:cs="Arial"/>
          <w:lang w:val="es-CO"/>
        </w:rPr>
        <w:t>en desarrollo de la actuació</w:t>
      </w:r>
      <w:r w:rsidR="007D2E06">
        <w:rPr>
          <w:rFonts w:ascii="Bookman Old Style" w:eastAsia="MS Mincho" w:hAnsi="Bookman Old Style" w:cs="Arial"/>
          <w:lang w:val="es-CO"/>
        </w:rPr>
        <w:t xml:space="preserve">n </w:t>
      </w:r>
      <w:r w:rsidR="00586515">
        <w:rPr>
          <w:rFonts w:ascii="Bookman Old Style" w:eastAsia="MS Mincho" w:hAnsi="Bookman Old Style" w:cs="Arial"/>
          <w:lang w:val="es-CO"/>
        </w:rPr>
        <w:t>se avanzó en terminar el estudio de conexión inicialmente presentado por DUE</w:t>
      </w:r>
      <w:r w:rsidR="0032565A">
        <w:rPr>
          <w:rFonts w:ascii="Bookman Old Style" w:eastAsia="MS Mincho" w:hAnsi="Bookman Old Style" w:cs="Arial"/>
          <w:lang w:val="es-CO"/>
        </w:rPr>
        <w:t>,</w:t>
      </w:r>
      <w:r w:rsidR="00262BD2">
        <w:rPr>
          <w:rFonts w:ascii="Bookman Old Style" w:eastAsia="MS Mincho" w:hAnsi="Bookman Old Style" w:cs="Arial"/>
          <w:lang w:val="es-CO"/>
        </w:rPr>
        <w:t xml:space="preserve"> </w:t>
      </w:r>
      <w:r w:rsidR="008C3B9C">
        <w:rPr>
          <w:rFonts w:ascii="Bookman Old Style" w:eastAsia="MS Mincho" w:hAnsi="Bookman Old Style" w:cs="Arial"/>
          <w:lang w:val="es-CO"/>
        </w:rPr>
        <w:t xml:space="preserve">de tal forma que </w:t>
      </w:r>
      <w:r w:rsidR="008C3B9C" w:rsidRPr="008C3B9C">
        <w:rPr>
          <w:rFonts w:ascii="Bookman Old Style" w:eastAsia="MS Mincho" w:hAnsi="Bookman Old Style" w:cs="Arial"/>
          <w:lang w:val="es-CO"/>
        </w:rPr>
        <w:t>cumpl</w:t>
      </w:r>
      <w:r w:rsidR="008C3B9C">
        <w:rPr>
          <w:rFonts w:ascii="Bookman Old Style" w:eastAsia="MS Mincho" w:hAnsi="Bookman Old Style" w:cs="Arial"/>
          <w:lang w:val="es-CO"/>
        </w:rPr>
        <w:t>iera</w:t>
      </w:r>
      <w:r w:rsidR="008C3B9C" w:rsidRPr="008C3B9C">
        <w:rPr>
          <w:rFonts w:ascii="Bookman Old Style" w:eastAsia="MS Mincho" w:hAnsi="Bookman Old Style" w:cs="Arial"/>
          <w:lang w:val="es-CO"/>
        </w:rPr>
        <w:t xml:space="preserve"> con los criterios establecidos en la normatividad aplicable</w:t>
      </w:r>
      <w:r w:rsidR="00EA25DB">
        <w:rPr>
          <w:rFonts w:ascii="Bookman Old Style" w:eastAsia="MS Mincho" w:hAnsi="Bookman Old Style" w:cs="Arial"/>
          <w:lang w:val="es-CO"/>
        </w:rPr>
        <w:t xml:space="preserve"> y sobre el cual</w:t>
      </w:r>
      <w:r w:rsidR="007573FD">
        <w:rPr>
          <w:rFonts w:ascii="Bookman Old Style" w:eastAsia="MS Mincho" w:hAnsi="Bookman Old Style" w:cs="Arial"/>
          <w:lang w:val="es-CO"/>
        </w:rPr>
        <w:t xml:space="preserve">, el operador de la infraestructura objeto </w:t>
      </w:r>
      <w:r w:rsidR="00F768E7">
        <w:rPr>
          <w:rFonts w:ascii="Bookman Old Style" w:eastAsia="MS Mincho" w:hAnsi="Bookman Old Style" w:cs="Arial"/>
          <w:lang w:val="es-CO"/>
        </w:rPr>
        <w:t>de conexión</w:t>
      </w:r>
      <w:r w:rsidR="0068103A">
        <w:rPr>
          <w:rFonts w:ascii="Bookman Old Style" w:eastAsia="MS Mincho" w:hAnsi="Bookman Old Style" w:cs="Arial"/>
          <w:lang w:val="es-CO"/>
        </w:rPr>
        <w:t>, pudiera</w:t>
      </w:r>
      <w:r w:rsidR="00BF6FF1">
        <w:rPr>
          <w:rFonts w:ascii="Bookman Old Style" w:eastAsia="MS Mincho" w:hAnsi="Bookman Old Style" w:cs="Arial"/>
          <w:lang w:val="es-CO"/>
        </w:rPr>
        <w:t xml:space="preserve"> emitir el concepto</w:t>
      </w:r>
      <w:r w:rsidR="009A07A6">
        <w:rPr>
          <w:rFonts w:ascii="Bookman Old Style" w:eastAsia="MS Mincho" w:hAnsi="Bookman Old Style" w:cs="Arial"/>
          <w:lang w:val="es-CO"/>
        </w:rPr>
        <w:t xml:space="preserve"> </w:t>
      </w:r>
      <w:r w:rsidR="00EC3853" w:rsidRPr="00EC3853">
        <w:rPr>
          <w:rFonts w:ascii="Bookman Old Style" w:eastAsia="MS Mincho" w:hAnsi="Bookman Old Style" w:cs="Arial"/>
          <w:lang w:val="es-CO"/>
        </w:rPr>
        <w:t>sobre la factibilidad técnica de la conexión</w:t>
      </w:r>
      <w:r w:rsidR="009A07A6">
        <w:rPr>
          <w:rFonts w:ascii="Bookman Old Style" w:eastAsia="MS Mincho" w:hAnsi="Bookman Old Style" w:cs="Arial"/>
          <w:lang w:val="es-CO"/>
        </w:rPr>
        <w:t>, también en los mismos términos de lo ya previsto.</w:t>
      </w:r>
    </w:p>
    <w:p w14:paraId="1F5227DB" w14:textId="77777777" w:rsidR="004E635F" w:rsidRDefault="004E635F" w:rsidP="00B264DC">
      <w:pPr>
        <w:ind w:left="284"/>
        <w:contextualSpacing/>
        <w:jc w:val="both"/>
        <w:rPr>
          <w:rFonts w:ascii="Bookman Old Style" w:eastAsia="MS Mincho" w:hAnsi="Bookman Old Style" w:cs="Arial"/>
          <w:lang w:val="es-CO"/>
        </w:rPr>
      </w:pPr>
    </w:p>
    <w:p w14:paraId="08C4A7D1" w14:textId="47B0880C" w:rsidR="00AC384D" w:rsidRDefault="001F3E8B"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E</w:t>
      </w:r>
      <w:r w:rsidR="007531AF">
        <w:rPr>
          <w:rFonts w:ascii="Bookman Old Style" w:eastAsia="MS Mincho" w:hAnsi="Bookman Old Style" w:cs="Arial"/>
          <w:lang w:val="es-CO"/>
        </w:rPr>
        <w:t>l análisis</w:t>
      </w:r>
      <w:r w:rsidR="00A23703">
        <w:rPr>
          <w:rFonts w:ascii="Bookman Old Style" w:eastAsia="MS Mincho" w:hAnsi="Bookman Old Style" w:cs="Arial"/>
          <w:lang w:val="es-CO"/>
        </w:rPr>
        <w:t xml:space="preserve"> que se presenta a continuación</w:t>
      </w:r>
      <w:r w:rsidR="007531AF">
        <w:rPr>
          <w:rFonts w:ascii="Bookman Old Style" w:eastAsia="MS Mincho" w:hAnsi="Bookman Old Style" w:cs="Arial"/>
          <w:lang w:val="es-CO"/>
        </w:rPr>
        <w:t xml:space="preserve"> </w:t>
      </w:r>
      <w:r w:rsidR="004629E7">
        <w:rPr>
          <w:rFonts w:ascii="Bookman Old Style" w:eastAsia="MS Mincho" w:hAnsi="Bookman Old Style" w:cs="Arial"/>
          <w:lang w:val="es-CO"/>
        </w:rPr>
        <w:t xml:space="preserve">está orientado </w:t>
      </w:r>
      <w:r w:rsidR="004146D4">
        <w:rPr>
          <w:rFonts w:ascii="Bookman Old Style" w:eastAsia="MS Mincho" w:hAnsi="Bookman Old Style" w:cs="Arial"/>
          <w:lang w:val="es-CO"/>
        </w:rPr>
        <w:t xml:space="preserve">a </w:t>
      </w:r>
      <w:r w:rsidR="00AB7950">
        <w:rPr>
          <w:rFonts w:ascii="Bookman Old Style" w:eastAsia="MS Mincho" w:hAnsi="Bookman Old Style" w:cs="Arial"/>
          <w:lang w:val="es-CO"/>
        </w:rPr>
        <w:t xml:space="preserve">determinar </w:t>
      </w:r>
      <w:r w:rsidR="00CF180B">
        <w:rPr>
          <w:rFonts w:ascii="Bookman Old Style" w:eastAsia="MS Mincho" w:hAnsi="Bookman Old Style" w:cs="Arial"/>
          <w:lang w:val="es-CO"/>
        </w:rPr>
        <w:t xml:space="preserve">la </w:t>
      </w:r>
      <w:r w:rsidR="00AB7950">
        <w:rPr>
          <w:rFonts w:ascii="Bookman Old Style" w:eastAsia="MS Mincho" w:hAnsi="Bookman Old Style" w:cs="Arial"/>
          <w:lang w:val="es-CO"/>
        </w:rPr>
        <w:t>proceden</w:t>
      </w:r>
      <w:r w:rsidR="00CF180B">
        <w:rPr>
          <w:rFonts w:ascii="Bookman Old Style" w:eastAsia="MS Mincho" w:hAnsi="Bookman Old Style" w:cs="Arial"/>
          <w:lang w:val="es-CO"/>
        </w:rPr>
        <w:t>cia</w:t>
      </w:r>
      <w:r w:rsidR="00AB7950">
        <w:rPr>
          <w:rFonts w:ascii="Bookman Old Style" w:eastAsia="MS Mincho" w:hAnsi="Bookman Old Style" w:cs="Arial"/>
          <w:lang w:val="es-CO"/>
        </w:rPr>
        <w:t xml:space="preserve"> </w:t>
      </w:r>
      <w:r w:rsidR="00CF180B">
        <w:rPr>
          <w:rFonts w:ascii="Bookman Old Style" w:eastAsia="MS Mincho" w:hAnsi="Bookman Old Style" w:cs="Arial"/>
          <w:lang w:val="es-CO"/>
        </w:rPr>
        <w:t xml:space="preserve">y </w:t>
      </w:r>
      <w:r w:rsidR="00AB7950">
        <w:rPr>
          <w:rFonts w:ascii="Bookman Old Style" w:eastAsia="MS Mincho" w:hAnsi="Bookman Old Style" w:cs="Arial"/>
          <w:lang w:val="es-CO"/>
        </w:rPr>
        <w:t xml:space="preserve">condiciones </w:t>
      </w:r>
      <w:r w:rsidR="00CF180B">
        <w:rPr>
          <w:rFonts w:ascii="Bookman Old Style" w:eastAsia="MS Mincho" w:hAnsi="Bookman Old Style" w:cs="Arial"/>
          <w:lang w:val="es-CO"/>
        </w:rPr>
        <w:t>de la impo</w:t>
      </w:r>
      <w:r w:rsidR="00453E77">
        <w:rPr>
          <w:rFonts w:ascii="Bookman Old Style" w:eastAsia="MS Mincho" w:hAnsi="Bookman Old Style" w:cs="Arial"/>
          <w:lang w:val="es-CO"/>
        </w:rPr>
        <w:t xml:space="preserve">sición de </w:t>
      </w:r>
      <w:r w:rsidR="00223DFD">
        <w:rPr>
          <w:rFonts w:ascii="Bookman Old Style" w:eastAsia="MS Mincho" w:hAnsi="Bookman Old Style" w:cs="Arial"/>
          <w:lang w:val="es-CO"/>
        </w:rPr>
        <w:t xml:space="preserve">la </w:t>
      </w:r>
      <w:r w:rsidR="00E077B9">
        <w:rPr>
          <w:rFonts w:ascii="Bookman Old Style" w:eastAsia="MS Mincho" w:hAnsi="Bookman Old Style" w:cs="Arial"/>
          <w:lang w:val="es-CO"/>
        </w:rPr>
        <w:t>servidumbre de conexión solicitada por DUE</w:t>
      </w:r>
      <w:r w:rsidR="00FA3B54">
        <w:rPr>
          <w:rFonts w:ascii="Bookman Old Style" w:eastAsia="MS Mincho" w:hAnsi="Bookman Old Style" w:cs="Arial"/>
          <w:lang w:val="es-CO"/>
        </w:rPr>
        <w:t xml:space="preserve">, </w:t>
      </w:r>
      <w:r w:rsidR="00153856">
        <w:rPr>
          <w:rFonts w:ascii="Bookman Old Style" w:eastAsia="MS Mincho" w:hAnsi="Bookman Old Style" w:cs="Arial"/>
          <w:lang w:val="es-CO"/>
        </w:rPr>
        <w:t>haciendo una revisión sobre los siguientes aspectos</w:t>
      </w:r>
      <w:r w:rsidR="00106A9D">
        <w:rPr>
          <w:rFonts w:ascii="Bookman Old Style" w:eastAsia="MS Mincho" w:hAnsi="Bookman Old Style" w:cs="Arial"/>
          <w:lang w:val="es-CO"/>
        </w:rPr>
        <w:t xml:space="preserve">: </w:t>
      </w:r>
      <w:r w:rsidR="00195EAA">
        <w:rPr>
          <w:rFonts w:ascii="Bookman Old Style" w:eastAsia="MS Mincho" w:hAnsi="Bookman Old Style" w:cs="Arial"/>
          <w:lang w:val="es-CO"/>
        </w:rPr>
        <w:t xml:space="preserve">i) </w:t>
      </w:r>
      <w:r w:rsidR="008C715A">
        <w:rPr>
          <w:rFonts w:ascii="Bookman Old Style" w:eastAsia="MS Mincho" w:hAnsi="Bookman Old Style" w:cs="Arial"/>
          <w:lang w:val="es-CO"/>
        </w:rPr>
        <w:t>v</w:t>
      </w:r>
      <w:r w:rsidR="00AB427C">
        <w:rPr>
          <w:rFonts w:ascii="Bookman Old Style" w:eastAsia="MS Mincho" w:hAnsi="Bookman Old Style" w:cs="Arial"/>
          <w:lang w:val="es-CO"/>
        </w:rPr>
        <w:t>ia</w:t>
      </w:r>
      <w:r w:rsidR="00AA4A11">
        <w:rPr>
          <w:rFonts w:ascii="Bookman Old Style" w:eastAsia="MS Mincho" w:hAnsi="Bookman Old Style" w:cs="Arial"/>
          <w:lang w:val="es-CO"/>
        </w:rPr>
        <w:t>bilidad técnica de la conexión; ii) c</w:t>
      </w:r>
      <w:r w:rsidR="00195EAA">
        <w:rPr>
          <w:rFonts w:ascii="Bookman Old Style" w:eastAsia="MS Mincho" w:hAnsi="Bookman Old Style" w:cs="Arial"/>
          <w:lang w:val="es-CO"/>
        </w:rPr>
        <w:t xml:space="preserve">alidad del activo al que </w:t>
      </w:r>
      <w:r w:rsidR="008E1B55">
        <w:rPr>
          <w:rFonts w:ascii="Bookman Old Style" w:eastAsia="MS Mincho" w:hAnsi="Bookman Old Style" w:cs="Arial"/>
          <w:lang w:val="es-CO"/>
        </w:rPr>
        <w:t>se pretende la conexión</w:t>
      </w:r>
      <w:r w:rsidR="00AA4A11">
        <w:rPr>
          <w:rFonts w:ascii="Bookman Old Style" w:eastAsia="MS Mincho" w:hAnsi="Bookman Old Style" w:cs="Arial"/>
          <w:lang w:val="es-CO"/>
        </w:rPr>
        <w:t xml:space="preserve">; iii) cargo o remuneración </w:t>
      </w:r>
      <w:r w:rsidR="00BC6970">
        <w:rPr>
          <w:rFonts w:ascii="Bookman Old Style" w:eastAsia="MS Mincho" w:hAnsi="Bookman Old Style" w:cs="Arial"/>
          <w:lang w:val="es-CO"/>
        </w:rPr>
        <w:t xml:space="preserve">aplicable </w:t>
      </w:r>
      <w:r w:rsidR="00771073">
        <w:rPr>
          <w:rFonts w:ascii="Bookman Old Style" w:eastAsia="MS Mincho" w:hAnsi="Bookman Old Style" w:cs="Arial"/>
          <w:lang w:val="es-CO"/>
        </w:rPr>
        <w:t xml:space="preserve">para </w:t>
      </w:r>
      <w:r w:rsidR="00447B2C">
        <w:rPr>
          <w:rFonts w:ascii="Bookman Old Style" w:eastAsia="MS Mincho" w:hAnsi="Bookman Old Style" w:cs="Arial"/>
          <w:lang w:val="es-CO"/>
        </w:rPr>
        <w:t xml:space="preserve">el derecho de servidumbre e inversiones </w:t>
      </w:r>
      <w:r w:rsidR="00D67370">
        <w:rPr>
          <w:rFonts w:ascii="Bookman Old Style" w:eastAsia="MS Mincho" w:hAnsi="Bookman Old Style" w:cs="Arial"/>
          <w:lang w:val="es-CO"/>
        </w:rPr>
        <w:t>que</w:t>
      </w:r>
      <w:r w:rsidR="00171568">
        <w:rPr>
          <w:rFonts w:ascii="Bookman Old Style" w:eastAsia="MS Mincho" w:hAnsi="Bookman Old Style" w:cs="Arial"/>
          <w:lang w:val="es-CO"/>
        </w:rPr>
        <w:t xml:space="preserve"> sean requeridas.</w:t>
      </w:r>
    </w:p>
    <w:p w14:paraId="276A303E" w14:textId="77777777" w:rsidR="00A9129A" w:rsidRDefault="00A9129A" w:rsidP="00B264DC">
      <w:pPr>
        <w:ind w:left="284"/>
        <w:contextualSpacing/>
        <w:jc w:val="both"/>
        <w:rPr>
          <w:rFonts w:ascii="Bookman Old Style" w:eastAsia="MS Mincho" w:hAnsi="Bookman Old Style" w:cs="Arial"/>
          <w:lang w:val="es-CO"/>
        </w:rPr>
      </w:pPr>
    </w:p>
    <w:p w14:paraId="0DA904C4" w14:textId="0019C7CC" w:rsidR="00FE5CBD" w:rsidRDefault="00077926" w:rsidP="00B264DC">
      <w:pPr>
        <w:ind w:left="284"/>
        <w:contextualSpacing/>
        <w:jc w:val="both"/>
        <w:rPr>
          <w:rFonts w:ascii="Bookman Old Style" w:eastAsia="MS Mincho" w:hAnsi="Bookman Old Style" w:cs="Arial"/>
          <w:lang w:val="es-CO"/>
        </w:rPr>
      </w:pPr>
      <w:r w:rsidRPr="007E0588">
        <w:rPr>
          <w:rFonts w:ascii="Bookman Old Style" w:eastAsia="MS Mincho" w:hAnsi="Bookman Old Style" w:cs="Arial"/>
          <w:lang w:val="es-CO"/>
        </w:rPr>
        <w:t xml:space="preserve">En ese sentido, </w:t>
      </w:r>
      <w:r w:rsidR="00FE5CBD" w:rsidRPr="007E0588">
        <w:rPr>
          <w:rFonts w:ascii="Bookman Old Style" w:eastAsia="MS Mincho" w:hAnsi="Bookman Old Style" w:cs="Arial"/>
          <w:lang w:val="es-CO"/>
        </w:rPr>
        <w:t xml:space="preserve">de un lado </w:t>
      </w:r>
      <w:r w:rsidR="007E0588" w:rsidRPr="007E0588">
        <w:rPr>
          <w:rFonts w:ascii="Bookman Old Style" w:eastAsia="MS Mincho" w:hAnsi="Bookman Old Style" w:cs="Arial"/>
          <w:lang w:val="es-CO"/>
        </w:rPr>
        <w:t xml:space="preserve">se consideró el concepto técnico emitido por quien tiene a cargo la operación del activo al que se pretende la conexión y, de otro, </w:t>
      </w:r>
      <w:r w:rsidRPr="007E0588">
        <w:rPr>
          <w:rFonts w:ascii="Bookman Old Style" w:eastAsia="MS Mincho" w:hAnsi="Bookman Old Style" w:cs="Arial"/>
          <w:lang w:val="es-CO"/>
        </w:rPr>
        <w:t xml:space="preserve">se </w:t>
      </w:r>
      <w:r w:rsidR="00687D16" w:rsidRPr="007E0588">
        <w:rPr>
          <w:rFonts w:ascii="Bookman Old Style" w:eastAsia="MS Mincho" w:hAnsi="Bookman Old Style" w:cs="Arial"/>
          <w:lang w:val="es-CO"/>
        </w:rPr>
        <w:t>adelantó</w:t>
      </w:r>
      <w:r w:rsidRPr="007E0588">
        <w:rPr>
          <w:rFonts w:ascii="Bookman Old Style" w:eastAsia="MS Mincho" w:hAnsi="Bookman Old Style" w:cs="Arial"/>
          <w:lang w:val="es-CO"/>
        </w:rPr>
        <w:t xml:space="preserve"> </w:t>
      </w:r>
      <w:r w:rsidR="00807D54" w:rsidRPr="007E0588">
        <w:rPr>
          <w:rFonts w:ascii="Bookman Old Style" w:eastAsia="MS Mincho" w:hAnsi="Bookman Old Style" w:cs="Arial"/>
          <w:lang w:val="es-CO"/>
        </w:rPr>
        <w:t xml:space="preserve">la </w:t>
      </w:r>
      <w:r w:rsidR="00FD6A80" w:rsidRPr="007E0588">
        <w:rPr>
          <w:rFonts w:ascii="Bookman Old Style" w:eastAsia="MS Mincho" w:hAnsi="Bookman Old Style" w:cs="Arial"/>
          <w:lang w:val="es-CO"/>
        </w:rPr>
        <w:t xml:space="preserve">revisión </w:t>
      </w:r>
      <w:r w:rsidR="006B2F85" w:rsidRPr="007E0588">
        <w:rPr>
          <w:rFonts w:ascii="Bookman Old Style" w:eastAsia="MS Mincho" w:hAnsi="Bookman Old Style" w:cs="Arial"/>
          <w:lang w:val="es-CO"/>
        </w:rPr>
        <w:t xml:space="preserve">de </w:t>
      </w:r>
      <w:r w:rsidR="00FD6A80" w:rsidRPr="007E0588">
        <w:rPr>
          <w:rFonts w:ascii="Bookman Old Style" w:eastAsia="MS Mincho" w:hAnsi="Bookman Old Style" w:cs="Arial"/>
          <w:lang w:val="es-CO"/>
        </w:rPr>
        <w:t xml:space="preserve">la </w:t>
      </w:r>
      <w:r w:rsidR="00807D54" w:rsidRPr="007E0588">
        <w:rPr>
          <w:rFonts w:ascii="Bookman Old Style" w:eastAsia="MS Mincho" w:hAnsi="Bookman Old Style" w:cs="Arial"/>
          <w:lang w:val="es-CO"/>
        </w:rPr>
        <w:t xml:space="preserve">configuración del </w:t>
      </w:r>
      <w:r w:rsidRPr="007E0588">
        <w:rPr>
          <w:rFonts w:ascii="Bookman Old Style" w:eastAsia="MS Mincho" w:hAnsi="Bookman Old Style" w:cs="Arial"/>
          <w:lang w:val="es-CO"/>
        </w:rPr>
        <w:t>sistema energético de</w:t>
      </w:r>
      <w:r w:rsidR="00BD16E8" w:rsidRPr="007E0588">
        <w:rPr>
          <w:rFonts w:ascii="Bookman Old Style" w:eastAsia="MS Mincho" w:hAnsi="Bookman Old Style" w:cs="Arial"/>
          <w:lang w:val="es-CO"/>
        </w:rPr>
        <w:t>l mercado relevante de comercialización de</w:t>
      </w:r>
      <w:r w:rsidRPr="007E0588">
        <w:rPr>
          <w:rFonts w:ascii="Bookman Old Style" w:eastAsia="MS Mincho" w:hAnsi="Bookman Old Style" w:cs="Arial"/>
          <w:lang w:val="es-CO"/>
        </w:rPr>
        <w:t xml:space="preserve"> Mitú</w:t>
      </w:r>
      <w:r w:rsidR="00AA3E86" w:rsidRPr="007E0588">
        <w:rPr>
          <w:rFonts w:ascii="Bookman Old Style" w:eastAsia="MS Mincho" w:hAnsi="Bookman Old Style" w:cs="Arial"/>
          <w:lang w:val="es-CO"/>
        </w:rPr>
        <w:t>.</w:t>
      </w:r>
    </w:p>
    <w:p w14:paraId="539D5F0F" w14:textId="77777777" w:rsidR="00392346" w:rsidRDefault="00392346" w:rsidP="00B264DC">
      <w:pPr>
        <w:ind w:left="284"/>
        <w:contextualSpacing/>
        <w:jc w:val="both"/>
        <w:rPr>
          <w:rFonts w:ascii="Bookman Old Style" w:eastAsia="MS Mincho" w:hAnsi="Bookman Old Style" w:cs="Arial"/>
          <w:lang w:val="es-CO"/>
        </w:rPr>
      </w:pPr>
    </w:p>
    <w:p w14:paraId="4474A8C6" w14:textId="4CAD213E" w:rsidR="00A43D26" w:rsidRPr="00F74FAC" w:rsidRDefault="00A43D26" w:rsidP="00AF1F58">
      <w:pPr>
        <w:pStyle w:val="Ttulo3"/>
        <w:ind w:left="284"/>
        <w:jc w:val="both"/>
        <w:rPr>
          <w:rFonts w:eastAsia="Bookman Old Style" w:cs="Arial"/>
          <w:szCs w:val="24"/>
        </w:rPr>
      </w:pPr>
      <w:r w:rsidRPr="00F74FAC">
        <w:rPr>
          <w:rFonts w:cs="Arial"/>
          <w:szCs w:val="24"/>
        </w:rPr>
        <w:t>7.2.</w:t>
      </w:r>
      <w:r w:rsidR="00692AAE">
        <w:rPr>
          <w:rFonts w:cs="Arial"/>
          <w:szCs w:val="24"/>
        </w:rPr>
        <w:t>1</w:t>
      </w:r>
      <w:r w:rsidRPr="00F74FAC">
        <w:rPr>
          <w:rFonts w:cs="Arial"/>
          <w:szCs w:val="24"/>
        </w:rPr>
        <w:t>.</w:t>
      </w:r>
      <w:r w:rsidR="00AF1F58">
        <w:rPr>
          <w:rFonts w:cs="Arial"/>
          <w:szCs w:val="24"/>
        </w:rPr>
        <w:t xml:space="preserve"> CON</w:t>
      </w:r>
      <w:r w:rsidR="00DE609B">
        <w:rPr>
          <w:rFonts w:cs="Arial"/>
          <w:szCs w:val="24"/>
        </w:rPr>
        <w:t>C</w:t>
      </w:r>
      <w:r w:rsidR="00AF1F58">
        <w:rPr>
          <w:rFonts w:cs="Arial"/>
          <w:szCs w:val="24"/>
        </w:rPr>
        <w:t>EPTO DEL ESTUDIO DE CONEXIÓN</w:t>
      </w:r>
    </w:p>
    <w:p w14:paraId="4A7B914A" w14:textId="77777777" w:rsidR="00AF1F58" w:rsidRPr="00A43D26" w:rsidRDefault="00AF1F58" w:rsidP="00AF1F58">
      <w:pPr>
        <w:ind w:left="284"/>
        <w:contextualSpacing/>
        <w:jc w:val="both"/>
        <w:rPr>
          <w:rFonts w:ascii="Bookman Old Style" w:hAnsi="Bookman Old Style" w:cs="Arial"/>
          <w:lang w:val="es-ES_tradnl"/>
        </w:rPr>
      </w:pPr>
    </w:p>
    <w:p w14:paraId="59C4E2F7" w14:textId="225A4B38" w:rsidR="00012A94" w:rsidRDefault="007C13EE" w:rsidP="00AF1F58">
      <w:pPr>
        <w:ind w:left="284"/>
        <w:contextualSpacing/>
        <w:jc w:val="both"/>
        <w:rPr>
          <w:rFonts w:ascii="Bookman Old Style" w:hAnsi="Bookman Old Style" w:cs="Arial"/>
        </w:rPr>
      </w:pPr>
      <w:r>
        <w:rPr>
          <w:rFonts w:ascii="Bookman Old Style" w:hAnsi="Bookman Old Style" w:cs="Arial"/>
        </w:rPr>
        <w:t>En desarrollo de la actuación, la CREG</w:t>
      </w:r>
      <w:r w:rsidR="008063BF">
        <w:rPr>
          <w:rFonts w:ascii="Bookman Old Style" w:hAnsi="Bookman Old Style" w:cs="Arial"/>
        </w:rPr>
        <w:t>,</w:t>
      </w:r>
      <w:r>
        <w:rPr>
          <w:rFonts w:ascii="Bookman Old Style" w:hAnsi="Bookman Old Style" w:cs="Arial"/>
        </w:rPr>
        <w:t xml:space="preserve"> mediante Auto de prueba I-2020-</w:t>
      </w:r>
      <w:r w:rsidR="007C3C5C">
        <w:rPr>
          <w:rFonts w:ascii="Bookman Old Style" w:hAnsi="Bookman Old Style" w:cs="Arial"/>
        </w:rPr>
        <w:t xml:space="preserve">005282, solicitó a GENSA </w:t>
      </w:r>
      <w:r w:rsidR="0086059F" w:rsidRPr="0086059F">
        <w:rPr>
          <w:rFonts w:ascii="Bookman Old Style" w:hAnsi="Bookman Old Style" w:cs="Arial"/>
        </w:rPr>
        <w:t>emitir concepto sobre la factibilidad técnica de la conexión</w:t>
      </w:r>
      <w:r w:rsidR="0086059F">
        <w:rPr>
          <w:rFonts w:ascii="Bookman Old Style" w:hAnsi="Bookman Old Style" w:cs="Arial"/>
        </w:rPr>
        <w:t>, en los siguientes términos:</w:t>
      </w:r>
    </w:p>
    <w:p w14:paraId="010F1956" w14:textId="77777777" w:rsidR="0086059F" w:rsidRDefault="0086059F" w:rsidP="00AF1F58">
      <w:pPr>
        <w:ind w:left="284"/>
        <w:contextualSpacing/>
        <w:jc w:val="both"/>
        <w:rPr>
          <w:rFonts w:ascii="Bookman Old Style" w:hAnsi="Bookman Old Style" w:cs="Arial"/>
        </w:rPr>
      </w:pPr>
    </w:p>
    <w:p w14:paraId="236F3F5F" w14:textId="4CDBDD5E" w:rsidR="0086059F" w:rsidRDefault="0086059F" w:rsidP="008063BF">
      <w:pPr>
        <w:ind w:left="567"/>
        <w:contextualSpacing/>
        <w:jc w:val="both"/>
        <w:rPr>
          <w:rFonts w:ascii="Bookman Old Style" w:hAnsi="Bookman Old Style" w:cs="Arial"/>
          <w:i/>
          <w:iCs/>
          <w:sz w:val="20"/>
          <w:szCs w:val="20"/>
        </w:rPr>
      </w:pPr>
      <w:r w:rsidRPr="00182580">
        <w:rPr>
          <w:rFonts w:ascii="Bookman Old Style" w:hAnsi="Bookman Old Style" w:cs="Arial"/>
          <w:i/>
          <w:iCs/>
          <w:sz w:val="20"/>
          <w:szCs w:val="20"/>
        </w:rPr>
        <w:t xml:space="preserve">“(…) Solicitar a GENSA S.A. E.S.P. que, </w:t>
      </w:r>
      <w:r w:rsidRPr="00283ACA">
        <w:rPr>
          <w:rFonts w:ascii="Bookman Old Style" w:hAnsi="Bookman Old Style" w:cs="Arial"/>
          <w:b/>
          <w:bCs/>
          <w:i/>
          <w:iCs/>
          <w:sz w:val="20"/>
          <w:szCs w:val="20"/>
          <w:u w:val="single"/>
        </w:rPr>
        <w:t>dentro de los treinta (30) días hábiles</w:t>
      </w:r>
      <w:r w:rsidR="00182580" w:rsidRPr="00283ACA">
        <w:rPr>
          <w:rFonts w:ascii="Bookman Old Style" w:hAnsi="Bookman Old Style" w:cs="Arial"/>
          <w:b/>
          <w:bCs/>
          <w:i/>
          <w:iCs/>
          <w:sz w:val="20"/>
          <w:szCs w:val="20"/>
          <w:u w:val="single"/>
        </w:rPr>
        <w:t xml:space="preserve"> </w:t>
      </w:r>
      <w:r w:rsidRPr="00283ACA">
        <w:rPr>
          <w:rFonts w:ascii="Bookman Old Style" w:hAnsi="Bookman Old Style" w:cs="Arial"/>
          <w:b/>
          <w:bCs/>
          <w:i/>
          <w:iCs/>
          <w:sz w:val="20"/>
          <w:szCs w:val="20"/>
          <w:u w:val="single"/>
        </w:rPr>
        <w:t>siguientes al recibo de la información</w:t>
      </w:r>
      <w:r w:rsidRPr="00182580">
        <w:rPr>
          <w:rFonts w:ascii="Bookman Old Style" w:hAnsi="Bookman Old Style" w:cs="Arial"/>
          <w:i/>
          <w:iCs/>
          <w:sz w:val="20"/>
          <w:szCs w:val="20"/>
        </w:rPr>
        <w:t xml:space="preserve"> enviada por Due Capital &amp; Services S.A.S. indicada en</w:t>
      </w:r>
      <w:r w:rsidR="00182580">
        <w:rPr>
          <w:rFonts w:ascii="Bookman Old Style" w:hAnsi="Bookman Old Style" w:cs="Arial"/>
          <w:i/>
          <w:iCs/>
          <w:sz w:val="20"/>
          <w:szCs w:val="20"/>
        </w:rPr>
        <w:t xml:space="preserve"> </w:t>
      </w:r>
      <w:r w:rsidRPr="00182580">
        <w:rPr>
          <w:rFonts w:ascii="Bookman Old Style" w:hAnsi="Bookman Old Style" w:cs="Arial"/>
          <w:i/>
          <w:iCs/>
          <w:sz w:val="20"/>
          <w:szCs w:val="20"/>
        </w:rPr>
        <w:t xml:space="preserve">artículo segundo del presente auto, realice el análisis de los estudios y que </w:t>
      </w:r>
      <w:r w:rsidRPr="00283ACA">
        <w:rPr>
          <w:rFonts w:ascii="Bookman Old Style" w:hAnsi="Bookman Old Style" w:cs="Arial"/>
          <w:b/>
          <w:bCs/>
          <w:i/>
          <w:iCs/>
          <w:sz w:val="20"/>
          <w:szCs w:val="20"/>
          <w:u w:val="single"/>
        </w:rPr>
        <w:t>emita concepto</w:t>
      </w:r>
      <w:r w:rsidR="00182580" w:rsidRPr="00283ACA">
        <w:rPr>
          <w:rFonts w:ascii="Bookman Old Style" w:hAnsi="Bookman Old Style" w:cs="Arial"/>
          <w:b/>
          <w:bCs/>
          <w:i/>
          <w:iCs/>
          <w:sz w:val="20"/>
          <w:szCs w:val="20"/>
          <w:u w:val="single"/>
        </w:rPr>
        <w:t xml:space="preserve"> </w:t>
      </w:r>
      <w:r w:rsidRPr="00283ACA">
        <w:rPr>
          <w:rFonts w:ascii="Bookman Old Style" w:hAnsi="Bookman Old Style" w:cs="Arial"/>
          <w:b/>
          <w:bCs/>
          <w:i/>
          <w:iCs/>
          <w:sz w:val="20"/>
          <w:szCs w:val="20"/>
          <w:u w:val="single"/>
        </w:rPr>
        <w:t>sobre la factibilidad técnica de la conexión</w:t>
      </w:r>
      <w:r w:rsidRPr="00182580">
        <w:rPr>
          <w:rFonts w:ascii="Bookman Old Style" w:hAnsi="Bookman Old Style" w:cs="Arial"/>
          <w:i/>
          <w:iCs/>
          <w:sz w:val="20"/>
          <w:szCs w:val="20"/>
        </w:rPr>
        <w:t>, informándolo a esta Comisión y a Due Capital &amp;</w:t>
      </w:r>
      <w:r w:rsidR="00182580">
        <w:rPr>
          <w:rFonts w:ascii="Bookman Old Style" w:hAnsi="Bookman Old Style" w:cs="Arial"/>
          <w:i/>
          <w:iCs/>
          <w:sz w:val="20"/>
          <w:szCs w:val="20"/>
        </w:rPr>
        <w:t xml:space="preserve"> </w:t>
      </w:r>
      <w:r w:rsidRPr="00182580">
        <w:rPr>
          <w:rFonts w:ascii="Bookman Old Style" w:hAnsi="Bookman Old Style" w:cs="Arial"/>
          <w:i/>
          <w:iCs/>
          <w:sz w:val="20"/>
          <w:szCs w:val="20"/>
        </w:rPr>
        <w:t>Services S.A.S.</w:t>
      </w:r>
    </w:p>
    <w:p w14:paraId="040DB341" w14:textId="77777777" w:rsidR="00182580" w:rsidRPr="00182580" w:rsidRDefault="00182580" w:rsidP="00182580">
      <w:pPr>
        <w:ind w:left="709"/>
        <w:contextualSpacing/>
        <w:jc w:val="both"/>
        <w:rPr>
          <w:rFonts w:ascii="Bookman Old Style" w:hAnsi="Bookman Old Style" w:cs="Arial"/>
          <w:i/>
          <w:iCs/>
          <w:sz w:val="20"/>
          <w:szCs w:val="20"/>
        </w:rPr>
      </w:pPr>
    </w:p>
    <w:p w14:paraId="62FE8CE2" w14:textId="6B00373E" w:rsidR="0086059F" w:rsidRPr="00283ACA" w:rsidRDefault="0086059F" w:rsidP="008063BF">
      <w:pPr>
        <w:ind w:left="567"/>
        <w:contextualSpacing/>
        <w:jc w:val="both"/>
        <w:rPr>
          <w:rFonts w:ascii="Bookman Old Style" w:hAnsi="Bookman Old Style" w:cs="Arial"/>
          <w:sz w:val="20"/>
          <w:szCs w:val="20"/>
        </w:rPr>
      </w:pPr>
      <w:r w:rsidRPr="00283ACA">
        <w:rPr>
          <w:rFonts w:ascii="Bookman Old Style" w:hAnsi="Bookman Old Style" w:cs="Arial"/>
          <w:b/>
          <w:bCs/>
          <w:i/>
          <w:iCs/>
          <w:sz w:val="20"/>
          <w:szCs w:val="20"/>
          <w:u w:val="single"/>
        </w:rPr>
        <w:t>En caso de que la conexión no fuera factible, GENSA S.A. E.S.P., en su comunicación, deberá</w:t>
      </w:r>
      <w:r w:rsidR="00182580" w:rsidRPr="00283ACA">
        <w:rPr>
          <w:rFonts w:ascii="Bookman Old Style" w:hAnsi="Bookman Old Style" w:cs="Arial"/>
          <w:b/>
          <w:bCs/>
          <w:i/>
          <w:iCs/>
          <w:sz w:val="20"/>
          <w:szCs w:val="20"/>
          <w:u w:val="single"/>
        </w:rPr>
        <w:t xml:space="preserve"> </w:t>
      </w:r>
      <w:r w:rsidRPr="00283ACA">
        <w:rPr>
          <w:rFonts w:ascii="Bookman Old Style" w:hAnsi="Bookman Old Style" w:cs="Arial"/>
          <w:b/>
          <w:bCs/>
          <w:i/>
          <w:iCs/>
          <w:sz w:val="20"/>
          <w:szCs w:val="20"/>
          <w:u w:val="single"/>
        </w:rPr>
        <w:t>justificar técnicamente las causas, especificando el fundamento normativo o técnico que lo</w:t>
      </w:r>
      <w:r w:rsidR="00535F29" w:rsidRPr="00283ACA">
        <w:rPr>
          <w:rFonts w:ascii="Bookman Old Style" w:hAnsi="Bookman Old Style" w:cs="Arial"/>
          <w:b/>
          <w:bCs/>
          <w:i/>
          <w:iCs/>
          <w:sz w:val="20"/>
          <w:szCs w:val="20"/>
          <w:u w:val="single"/>
        </w:rPr>
        <w:t xml:space="preserve"> </w:t>
      </w:r>
      <w:r w:rsidRPr="00283ACA">
        <w:rPr>
          <w:rFonts w:ascii="Bookman Old Style" w:hAnsi="Bookman Old Style" w:cs="Arial"/>
          <w:b/>
          <w:bCs/>
          <w:i/>
          <w:iCs/>
          <w:sz w:val="20"/>
          <w:szCs w:val="20"/>
          <w:u w:val="single"/>
        </w:rPr>
        <w:t>soporte, indicando con precisión los requisitos que deben ser cumplidos para que la conexión</w:t>
      </w:r>
      <w:r w:rsidR="00535F29" w:rsidRPr="00283ACA">
        <w:rPr>
          <w:rFonts w:ascii="Bookman Old Style" w:hAnsi="Bookman Old Style" w:cs="Arial"/>
          <w:b/>
          <w:bCs/>
          <w:i/>
          <w:iCs/>
          <w:sz w:val="20"/>
          <w:szCs w:val="20"/>
          <w:u w:val="single"/>
        </w:rPr>
        <w:t xml:space="preserve"> </w:t>
      </w:r>
      <w:r w:rsidRPr="00283ACA">
        <w:rPr>
          <w:rFonts w:ascii="Bookman Old Style" w:hAnsi="Bookman Old Style" w:cs="Arial"/>
          <w:b/>
          <w:bCs/>
          <w:i/>
          <w:iCs/>
          <w:sz w:val="20"/>
          <w:szCs w:val="20"/>
          <w:u w:val="single"/>
        </w:rPr>
        <w:t>sea factible, o detallar las obras requeridas para hacerla posible.</w:t>
      </w:r>
      <w:r w:rsidR="00535F29">
        <w:rPr>
          <w:rFonts w:ascii="Bookman Old Style" w:hAnsi="Bookman Old Style" w:cs="Arial"/>
          <w:i/>
          <w:iCs/>
          <w:sz w:val="20"/>
          <w:szCs w:val="20"/>
        </w:rPr>
        <w:t xml:space="preserve"> (…)”</w:t>
      </w:r>
      <w:r w:rsidR="00283ACA">
        <w:rPr>
          <w:rFonts w:ascii="Bookman Old Style" w:hAnsi="Bookman Old Style" w:cs="Arial"/>
          <w:sz w:val="20"/>
          <w:szCs w:val="20"/>
        </w:rPr>
        <w:t xml:space="preserve"> Resaltado y subrayado fuera de texto</w:t>
      </w:r>
    </w:p>
    <w:p w14:paraId="4699EDA4" w14:textId="77777777" w:rsidR="002A362D" w:rsidRDefault="002A362D" w:rsidP="00AF1F58">
      <w:pPr>
        <w:ind w:left="284"/>
        <w:contextualSpacing/>
        <w:jc w:val="both"/>
        <w:rPr>
          <w:rFonts w:ascii="Bookman Old Style" w:hAnsi="Bookman Old Style" w:cs="Arial"/>
        </w:rPr>
      </w:pPr>
    </w:p>
    <w:p w14:paraId="6B0270B0" w14:textId="4BC8A161" w:rsidR="002A362D" w:rsidRDefault="00772896" w:rsidP="00AF1F58">
      <w:pPr>
        <w:ind w:left="284"/>
        <w:contextualSpacing/>
        <w:jc w:val="both"/>
        <w:rPr>
          <w:rFonts w:ascii="Bookman Old Style" w:hAnsi="Bookman Old Style" w:cs="Arial"/>
        </w:rPr>
      </w:pPr>
      <w:r>
        <w:rPr>
          <w:rFonts w:ascii="Bookman Old Style" w:hAnsi="Bookman Old Style" w:cs="Arial"/>
        </w:rPr>
        <w:t>Posteriormente</w:t>
      </w:r>
      <w:r w:rsidR="001A15E3">
        <w:rPr>
          <w:rFonts w:ascii="Bookman Old Style" w:hAnsi="Bookman Old Style" w:cs="Arial"/>
        </w:rPr>
        <w:t>,</w:t>
      </w:r>
      <w:r>
        <w:rPr>
          <w:rFonts w:ascii="Bookman Old Style" w:hAnsi="Bookman Old Style" w:cs="Arial"/>
        </w:rPr>
        <w:t xml:space="preserve"> </w:t>
      </w:r>
      <w:r w:rsidR="002A362D">
        <w:rPr>
          <w:rFonts w:ascii="Bookman Old Style" w:hAnsi="Bookman Old Style" w:cs="Arial"/>
        </w:rPr>
        <w:t>mediante Auto de prueba I-202</w:t>
      </w:r>
      <w:r w:rsidR="008B3A55">
        <w:rPr>
          <w:rFonts w:ascii="Bookman Old Style" w:hAnsi="Bookman Old Style" w:cs="Arial"/>
        </w:rPr>
        <w:t>1</w:t>
      </w:r>
      <w:r w:rsidR="002A362D">
        <w:rPr>
          <w:rFonts w:ascii="Bookman Old Style" w:hAnsi="Bookman Old Style" w:cs="Arial"/>
        </w:rPr>
        <w:t>-00</w:t>
      </w:r>
      <w:r w:rsidR="003D46DF">
        <w:rPr>
          <w:rFonts w:ascii="Bookman Old Style" w:hAnsi="Bookman Old Style" w:cs="Arial"/>
        </w:rPr>
        <w:t>2009</w:t>
      </w:r>
      <w:r w:rsidR="002A362D">
        <w:rPr>
          <w:rFonts w:ascii="Bookman Old Style" w:hAnsi="Bookman Old Style" w:cs="Arial"/>
        </w:rPr>
        <w:t xml:space="preserve">, </w:t>
      </w:r>
      <w:r w:rsidR="001A15E3">
        <w:rPr>
          <w:rFonts w:ascii="Bookman Old Style" w:hAnsi="Bookman Old Style" w:cs="Arial"/>
        </w:rPr>
        <w:t xml:space="preserve">la CREG reitera su solicitud </w:t>
      </w:r>
      <w:r w:rsidR="002A362D">
        <w:rPr>
          <w:rFonts w:ascii="Bookman Old Style" w:hAnsi="Bookman Old Style" w:cs="Arial"/>
        </w:rPr>
        <w:t>a GENSA</w:t>
      </w:r>
      <w:r w:rsidR="003B478F">
        <w:rPr>
          <w:rFonts w:ascii="Bookman Old Style" w:hAnsi="Bookman Old Style" w:cs="Arial"/>
        </w:rPr>
        <w:t xml:space="preserve"> en los siguientes términos:</w:t>
      </w:r>
    </w:p>
    <w:p w14:paraId="271156BE" w14:textId="77777777" w:rsidR="002A362D" w:rsidRDefault="002A362D" w:rsidP="00AF1F58">
      <w:pPr>
        <w:ind w:left="284"/>
        <w:contextualSpacing/>
        <w:jc w:val="both"/>
        <w:rPr>
          <w:rFonts w:ascii="Bookman Old Style" w:hAnsi="Bookman Old Style" w:cs="Arial"/>
        </w:rPr>
      </w:pPr>
    </w:p>
    <w:p w14:paraId="3B0923DE" w14:textId="2BDFD540" w:rsidR="00703752" w:rsidRDefault="00703752" w:rsidP="008063BF">
      <w:pPr>
        <w:ind w:left="567"/>
        <w:contextualSpacing/>
        <w:jc w:val="both"/>
        <w:rPr>
          <w:rFonts w:ascii="Bookman Old Style" w:hAnsi="Bookman Old Style" w:cs="Arial"/>
          <w:i/>
          <w:iCs/>
          <w:sz w:val="20"/>
          <w:szCs w:val="20"/>
        </w:rPr>
      </w:pPr>
      <w:r>
        <w:rPr>
          <w:rFonts w:ascii="Bookman Old Style" w:hAnsi="Bookman Old Style" w:cs="Arial"/>
          <w:i/>
          <w:iCs/>
          <w:sz w:val="20"/>
          <w:szCs w:val="20"/>
        </w:rPr>
        <w:t xml:space="preserve">“(…) </w:t>
      </w:r>
      <w:r w:rsidRPr="00703752">
        <w:rPr>
          <w:rFonts w:ascii="Bookman Old Style" w:hAnsi="Bookman Old Style" w:cs="Arial"/>
          <w:i/>
          <w:iCs/>
          <w:sz w:val="20"/>
          <w:szCs w:val="20"/>
        </w:rPr>
        <w:t>Teniendo en cuenta que GENSA S.A. E.S.P. tiene conocimiento del estudio</w:t>
      </w:r>
      <w:r>
        <w:rPr>
          <w:rFonts w:ascii="Bookman Old Style" w:hAnsi="Bookman Old Style" w:cs="Arial"/>
          <w:i/>
          <w:iCs/>
          <w:sz w:val="20"/>
          <w:szCs w:val="20"/>
        </w:rPr>
        <w:t xml:space="preserve"> </w:t>
      </w:r>
      <w:r w:rsidRPr="00703752">
        <w:rPr>
          <w:rFonts w:ascii="Bookman Old Style" w:hAnsi="Bookman Old Style" w:cs="Arial"/>
          <w:i/>
          <w:iCs/>
          <w:sz w:val="20"/>
          <w:szCs w:val="20"/>
        </w:rPr>
        <w:t xml:space="preserve">de conexión </w:t>
      </w:r>
      <w:r>
        <w:rPr>
          <w:rFonts w:ascii="Bookman Old Style" w:hAnsi="Bookman Old Style" w:cs="Arial"/>
          <w:i/>
          <w:iCs/>
          <w:sz w:val="20"/>
          <w:szCs w:val="20"/>
        </w:rPr>
        <w:t>‘</w:t>
      </w:r>
      <w:r w:rsidRPr="00703752">
        <w:rPr>
          <w:rFonts w:ascii="Bookman Old Style" w:hAnsi="Bookman Old Style" w:cs="Arial"/>
          <w:i/>
          <w:iCs/>
          <w:sz w:val="20"/>
          <w:szCs w:val="20"/>
        </w:rPr>
        <w:t>versión final</w:t>
      </w:r>
      <w:r>
        <w:rPr>
          <w:rFonts w:ascii="Bookman Old Style" w:hAnsi="Bookman Old Style" w:cs="Arial"/>
          <w:i/>
          <w:iCs/>
          <w:sz w:val="20"/>
          <w:szCs w:val="20"/>
        </w:rPr>
        <w:t>’</w:t>
      </w:r>
      <w:r w:rsidRPr="00703752">
        <w:rPr>
          <w:rFonts w:ascii="Bookman Old Style" w:hAnsi="Bookman Old Style" w:cs="Arial"/>
          <w:i/>
          <w:iCs/>
          <w:sz w:val="20"/>
          <w:szCs w:val="20"/>
        </w:rPr>
        <w:t>, remitido mediante correo electrónico por Due Capital &amp;</w:t>
      </w:r>
      <w:r>
        <w:rPr>
          <w:rFonts w:ascii="Bookman Old Style" w:hAnsi="Bookman Old Style" w:cs="Arial"/>
          <w:i/>
          <w:iCs/>
          <w:sz w:val="20"/>
          <w:szCs w:val="20"/>
        </w:rPr>
        <w:t xml:space="preserve"> </w:t>
      </w:r>
      <w:r w:rsidRPr="00703752">
        <w:rPr>
          <w:rFonts w:ascii="Bookman Old Style" w:hAnsi="Bookman Old Style" w:cs="Arial"/>
          <w:i/>
          <w:iCs/>
          <w:sz w:val="20"/>
          <w:szCs w:val="20"/>
        </w:rPr>
        <w:t>Services S.A.S., desde el 25 de junio del año en curso, dar a GENSA S.A E.S.P un</w:t>
      </w:r>
      <w:r>
        <w:rPr>
          <w:rFonts w:ascii="Bookman Old Style" w:hAnsi="Bookman Old Style" w:cs="Arial"/>
          <w:i/>
          <w:iCs/>
          <w:sz w:val="20"/>
          <w:szCs w:val="20"/>
        </w:rPr>
        <w:t xml:space="preserve"> </w:t>
      </w:r>
      <w:r w:rsidRPr="00703752">
        <w:rPr>
          <w:rFonts w:ascii="Bookman Old Style" w:hAnsi="Bookman Old Style" w:cs="Arial"/>
          <w:i/>
          <w:iCs/>
          <w:sz w:val="20"/>
          <w:szCs w:val="20"/>
        </w:rPr>
        <w:t>plazo de diez (10) días hábiles siguientes a la respuesta de la que trata el artículo</w:t>
      </w:r>
      <w:r>
        <w:rPr>
          <w:rFonts w:ascii="Bookman Old Style" w:hAnsi="Bookman Old Style" w:cs="Arial"/>
          <w:i/>
          <w:iCs/>
          <w:sz w:val="20"/>
          <w:szCs w:val="20"/>
        </w:rPr>
        <w:t xml:space="preserve"> </w:t>
      </w:r>
      <w:r w:rsidRPr="00703752">
        <w:rPr>
          <w:rFonts w:ascii="Bookman Old Style" w:hAnsi="Bookman Old Style" w:cs="Arial"/>
          <w:i/>
          <w:iCs/>
          <w:sz w:val="20"/>
          <w:szCs w:val="20"/>
        </w:rPr>
        <w:t>tercero del presente auto para que realice el análisis de los estudios y emita concepto</w:t>
      </w:r>
      <w:r>
        <w:rPr>
          <w:rFonts w:ascii="Bookman Old Style" w:hAnsi="Bookman Old Style" w:cs="Arial"/>
          <w:i/>
          <w:iCs/>
          <w:sz w:val="20"/>
          <w:szCs w:val="20"/>
        </w:rPr>
        <w:t xml:space="preserve"> </w:t>
      </w:r>
      <w:r w:rsidRPr="00703752">
        <w:rPr>
          <w:rFonts w:ascii="Bookman Old Style" w:hAnsi="Bookman Old Style" w:cs="Arial"/>
          <w:i/>
          <w:iCs/>
          <w:sz w:val="20"/>
          <w:szCs w:val="20"/>
        </w:rPr>
        <w:t>sobre la factibilidad técnica de la conexión, informándolo a esta Comisión y a Due</w:t>
      </w:r>
      <w:r>
        <w:rPr>
          <w:rFonts w:ascii="Bookman Old Style" w:hAnsi="Bookman Old Style" w:cs="Arial"/>
          <w:i/>
          <w:iCs/>
          <w:sz w:val="20"/>
          <w:szCs w:val="20"/>
        </w:rPr>
        <w:t xml:space="preserve"> </w:t>
      </w:r>
      <w:r w:rsidRPr="00703752">
        <w:rPr>
          <w:rFonts w:ascii="Bookman Old Style" w:hAnsi="Bookman Old Style" w:cs="Arial"/>
          <w:i/>
          <w:iCs/>
          <w:sz w:val="20"/>
          <w:szCs w:val="20"/>
        </w:rPr>
        <w:t>Capital &amp; Services S.A.S.</w:t>
      </w:r>
    </w:p>
    <w:p w14:paraId="61E8F176" w14:textId="77777777" w:rsidR="00703752" w:rsidRPr="00703752" w:rsidRDefault="00703752" w:rsidP="008063BF">
      <w:pPr>
        <w:ind w:left="567"/>
        <w:contextualSpacing/>
        <w:jc w:val="both"/>
        <w:rPr>
          <w:rFonts w:ascii="Bookman Old Style" w:hAnsi="Bookman Old Style" w:cs="Arial"/>
          <w:i/>
          <w:iCs/>
          <w:sz w:val="20"/>
          <w:szCs w:val="20"/>
        </w:rPr>
      </w:pPr>
    </w:p>
    <w:p w14:paraId="62B1F6CB" w14:textId="262E9148" w:rsidR="00703752" w:rsidRPr="00703752" w:rsidRDefault="00703752" w:rsidP="008063BF">
      <w:pPr>
        <w:ind w:left="567"/>
        <w:contextualSpacing/>
        <w:jc w:val="both"/>
        <w:rPr>
          <w:rFonts w:ascii="Bookman Old Style" w:hAnsi="Bookman Old Style" w:cs="Arial"/>
          <w:i/>
          <w:iCs/>
          <w:sz w:val="20"/>
          <w:szCs w:val="20"/>
        </w:rPr>
      </w:pPr>
      <w:r w:rsidRPr="00703752">
        <w:rPr>
          <w:rFonts w:ascii="Bookman Old Style" w:hAnsi="Bookman Old Style" w:cs="Arial"/>
          <w:i/>
          <w:iCs/>
          <w:sz w:val="20"/>
          <w:szCs w:val="20"/>
        </w:rPr>
        <w:t>En caso de que la conexión no fuera factible, GENSA S.A. E.S.P., en su comunicación,</w:t>
      </w:r>
      <w:r>
        <w:rPr>
          <w:rFonts w:ascii="Bookman Old Style" w:hAnsi="Bookman Old Style" w:cs="Arial"/>
          <w:i/>
          <w:iCs/>
          <w:sz w:val="20"/>
          <w:szCs w:val="20"/>
        </w:rPr>
        <w:t xml:space="preserve"> </w:t>
      </w:r>
      <w:r w:rsidRPr="00703752">
        <w:rPr>
          <w:rFonts w:ascii="Bookman Old Style" w:hAnsi="Bookman Old Style" w:cs="Arial"/>
          <w:i/>
          <w:iCs/>
          <w:sz w:val="20"/>
          <w:szCs w:val="20"/>
        </w:rPr>
        <w:t>deberá justificar técnicamente las causas, especificando el fundamento normativo o</w:t>
      </w:r>
      <w:r>
        <w:rPr>
          <w:rFonts w:ascii="Bookman Old Style" w:hAnsi="Bookman Old Style" w:cs="Arial"/>
          <w:i/>
          <w:iCs/>
          <w:sz w:val="20"/>
          <w:szCs w:val="20"/>
        </w:rPr>
        <w:t xml:space="preserve"> </w:t>
      </w:r>
      <w:r w:rsidRPr="00703752">
        <w:rPr>
          <w:rFonts w:ascii="Bookman Old Style" w:hAnsi="Bookman Old Style" w:cs="Arial"/>
          <w:i/>
          <w:iCs/>
          <w:sz w:val="20"/>
          <w:szCs w:val="20"/>
        </w:rPr>
        <w:t>técnico que lo soporte, indicando con precisión los requisitos que deben ser cumplidos</w:t>
      </w:r>
      <w:r>
        <w:rPr>
          <w:rFonts w:ascii="Bookman Old Style" w:hAnsi="Bookman Old Style" w:cs="Arial"/>
          <w:i/>
          <w:iCs/>
          <w:sz w:val="20"/>
          <w:szCs w:val="20"/>
        </w:rPr>
        <w:t xml:space="preserve"> </w:t>
      </w:r>
      <w:r w:rsidRPr="00703752">
        <w:rPr>
          <w:rFonts w:ascii="Bookman Old Style" w:hAnsi="Bookman Old Style" w:cs="Arial"/>
          <w:i/>
          <w:iCs/>
          <w:sz w:val="20"/>
          <w:szCs w:val="20"/>
        </w:rPr>
        <w:t>para que la conexión sea factible, o detallar las obras requeridas para hacerla posible.</w:t>
      </w:r>
      <w:r>
        <w:rPr>
          <w:rFonts w:ascii="Bookman Old Style" w:hAnsi="Bookman Old Style" w:cs="Arial"/>
          <w:i/>
          <w:iCs/>
          <w:sz w:val="20"/>
          <w:szCs w:val="20"/>
        </w:rPr>
        <w:t xml:space="preserve"> (…)”</w:t>
      </w:r>
    </w:p>
    <w:p w14:paraId="6BC8C359" w14:textId="77777777" w:rsidR="00BC4F3C" w:rsidRDefault="00BC4F3C" w:rsidP="00BC4F3C">
      <w:pPr>
        <w:ind w:left="284"/>
        <w:contextualSpacing/>
        <w:jc w:val="both"/>
        <w:rPr>
          <w:rFonts w:ascii="Bookman Old Style" w:hAnsi="Bookman Old Style" w:cs="Arial"/>
        </w:rPr>
      </w:pPr>
    </w:p>
    <w:p w14:paraId="0FFB24D9" w14:textId="0C13B905" w:rsidR="00BC4F3C" w:rsidRDefault="003B478F" w:rsidP="00BC4F3C">
      <w:pPr>
        <w:ind w:left="284"/>
        <w:contextualSpacing/>
        <w:jc w:val="both"/>
        <w:rPr>
          <w:rFonts w:ascii="Bookman Old Style" w:hAnsi="Bookman Old Style" w:cs="Arial"/>
        </w:rPr>
      </w:pPr>
      <w:r>
        <w:rPr>
          <w:rFonts w:ascii="Bookman Old Style" w:hAnsi="Bookman Old Style" w:cs="Arial"/>
        </w:rPr>
        <w:t xml:space="preserve">Finalmente, </w:t>
      </w:r>
      <w:r w:rsidR="00BC4F3C">
        <w:rPr>
          <w:rFonts w:ascii="Bookman Old Style" w:hAnsi="Bookman Old Style" w:cs="Arial"/>
        </w:rPr>
        <w:t xml:space="preserve">mediante Auto de prueba I-2021-002233, </w:t>
      </w:r>
      <w:r>
        <w:rPr>
          <w:rFonts w:ascii="Bookman Old Style" w:hAnsi="Bookman Old Style" w:cs="Arial"/>
        </w:rPr>
        <w:t>la CREG reitera su solicitud a GENSA y establece un plazo perentorio en los siguientes términos:</w:t>
      </w:r>
    </w:p>
    <w:p w14:paraId="30C14185" w14:textId="77777777" w:rsidR="00BC4F3C" w:rsidRDefault="00BC4F3C" w:rsidP="00BC4F3C">
      <w:pPr>
        <w:ind w:left="284"/>
        <w:contextualSpacing/>
        <w:jc w:val="both"/>
        <w:rPr>
          <w:rFonts w:ascii="Bookman Old Style" w:hAnsi="Bookman Old Style" w:cs="Arial"/>
        </w:rPr>
      </w:pPr>
    </w:p>
    <w:p w14:paraId="39933B45" w14:textId="5EEC8D17" w:rsidR="00DC67E2" w:rsidRDefault="00BC4F3C" w:rsidP="008063BF">
      <w:pPr>
        <w:ind w:left="567"/>
        <w:contextualSpacing/>
        <w:jc w:val="both"/>
        <w:rPr>
          <w:rFonts w:ascii="Bookman Old Style" w:hAnsi="Bookman Old Style" w:cs="Arial"/>
          <w:i/>
          <w:iCs/>
          <w:sz w:val="20"/>
          <w:szCs w:val="20"/>
        </w:rPr>
      </w:pPr>
      <w:r>
        <w:rPr>
          <w:rFonts w:ascii="Bookman Old Style" w:hAnsi="Bookman Old Style" w:cs="Arial"/>
          <w:i/>
          <w:iCs/>
          <w:sz w:val="20"/>
          <w:szCs w:val="20"/>
        </w:rPr>
        <w:t xml:space="preserve">“(…) </w:t>
      </w:r>
      <w:r w:rsidR="00DC67E2" w:rsidRPr="00DC67E2">
        <w:rPr>
          <w:rFonts w:ascii="Bookman Old Style" w:hAnsi="Bookman Old Style" w:cs="Arial"/>
          <w:i/>
          <w:iCs/>
          <w:sz w:val="20"/>
          <w:szCs w:val="20"/>
        </w:rPr>
        <w:t>Otorgarle a la empresa GENSA S.A. E.S.P. un nuevo plazo, hasta el 15</w:t>
      </w:r>
      <w:r w:rsidR="00DC67E2">
        <w:rPr>
          <w:rFonts w:ascii="Bookman Old Style" w:hAnsi="Bookman Old Style" w:cs="Arial"/>
          <w:i/>
          <w:iCs/>
          <w:sz w:val="20"/>
          <w:szCs w:val="20"/>
        </w:rPr>
        <w:t xml:space="preserve"> </w:t>
      </w:r>
      <w:r w:rsidR="00DC67E2" w:rsidRPr="00DC67E2">
        <w:rPr>
          <w:rFonts w:ascii="Bookman Old Style" w:hAnsi="Bookman Old Style" w:cs="Arial"/>
          <w:i/>
          <w:iCs/>
          <w:sz w:val="20"/>
          <w:szCs w:val="20"/>
        </w:rPr>
        <w:t>de octubre de 2021, para que realice el análisis de los estudios y emita concepto sobre</w:t>
      </w:r>
      <w:r w:rsidR="00DC67E2">
        <w:rPr>
          <w:rFonts w:ascii="Bookman Old Style" w:hAnsi="Bookman Old Style" w:cs="Arial"/>
          <w:i/>
          <w:iCs/>
          <w:sz w:val="20"/>
          <w:szCs w:val="20"/>
        </w:rPr>
        <w:t xml:space="preserve"> </w:t>
      </w:r>
      <w:r w:rsidR="00DC67E2" w:rsidRPr="00DC67E2">
        <w:rPr>
          <w:rFonts w:ascii="Bookman Old Style" w:hAnsi="Bookman Old Style" w:cs="Arial"/>
          <w:i/>
          <w:iCs/>
          <w:sz w:val="20"/>
          <w:szCs w:val="20"/>
        </w:rPr>
        <w:t xml:space="preserve">la factibilidad técnica de la conexión del estudio de conexión </w:t>
      </w:r>
      <w:r w:rsidR="00DC67E2">
        <w:rPr>
          <w:rFonts w:ascii="Bookman Old Style" w:hAnsi="Bookman Old Style" w:cs="Arial"/>
          <w:i/>
          <w:iCs/>
          <w:sz w:val="20"/>
          <w:szCs w:val="20"/>
        </w:rPr>
        <w:t>‘</w:t>
      </w:r>
      <w:r w:rsidR="00DC67E2" w:rsidRPr="00DC67E2">
        <w:rPr>
          <w:rFonts w:ascii="Bookman Old Style" w:hAnsi="Bookman Old Style" w:cs="Arial"/>
          <w:i/>
          <w:iCs/>
          <w:sz w:val="20"/>
          <w:szCs w:val="20"/>
        </w:rPr>
        <w:t>versión final</w:t>
      </w:r>
      <w:r w:rsidR="00DC67E2">
        <w:rPr>
          <w:rFonts w:ascii="Bookman Old Style" w:hAnsi="Bookman Old Style" w:cs="Arial"/>
          <w:i/>
          <w:iCs/>
          <w:sz w:val="20"/>
          <w:szCs w:val="20"/>
        </w:rPr>
        <w:t>’</w:t>
      </w:r>
      <w:r w:rsidR="00DC67E2" w:rsidRPr="00DC67E2">
        <w:rPr>
          <w:rFonts w:ascii="Bookman Old Style" w:hAnsi="Bookman Old Style" w:cs="Arial"/>
          <w:i/>
          <w:iCs/>
          <w:sz w:val="20"/>
          <w:szCs w:val="20"/>
        </w:rPr>
        <w:t xml:space="preserve"> remitido</w:t>
      </w:r>
      <w:r w:rsidR="00DC67E2">
        <w:rPr>
          <w:rFonts w:ascii="Bookman Old Style" w:hAnsi="Bookman Old Style" w:cs="Arial"/>
          <w:i/>
          <w:iCs/>
          <w:sz w:val="20"/>
          <w:szCs w:val="20"/>
        </w:rPr>
        <w:t xml:space="preserve"> </w:t>
      </w:r>
      <w:r w:rsidR="00DC67E2" w:rsidRPr="00DC67E2">
        <w:rPr>
          <w:rFonts w:ascii="Bookman Old Style" w:hAnsi="Bookman Old Style" w:cs="Arial"/>
          <w:i/>
          <w:iCs/>
          <w:sz w:val="20"/>
          <w:szCs w:val="20"/>
        </w:rPr>
        <w:t>mediante correo electrónico el 25 de junio del año en curso por Due Capital &amp; Services</w:t>
      </w:r>
      <w:r w:rsidR="00D97607">
        <w:rPr>
          <w:rFonts w:ascii="Bookman Old Style" w:hAnsi="Bookman Old Style" w:cs="Arial"/>
          <w:i/>
          <w:iCs/>
          <w:sz w:val="20"/>
          <w:szCs w:val="20"/>
        </w:rPr>
        <w:t xml:space="preserve"> </w:t>
      </w:r>
      <w:r w:rsidR="00DC67E2" w:rsidRPr="00DC67E2">
        <w:rPr>
          <w:rFonts w:ascii="Bookman Old Style" w:hAnsi="Bookman Old Style" w:cs="Arial"/>
          <w:i/>
          <w:iCs/>
          <w:sz w:val="20"/>
          <w:szCs w:val="20"/>
        </w:rPr>
        <w:t>S.A.S.</w:t>
      </w:r>
    </w:p>
    <w:p w14:paraId="2D212C28" w14:textId="77777777" w:rsidR="006D3007" w:rsidRPr="00DC67E2" w:rsidRDefault="006D3007" w:rsidP="008063BF">
      <w:pPr>
        <w:ind w:left="567"/>
        <w:contextualSpacing/>
        <w:jc w:val="both"/>
        <w:rPr>
          <w:rFonts w:ascii="Bookman Old Style" w:hAnsi="Bookman Old Style" w:cs="Arial"/>
          <w:i/>
          <w:iCs/>
          <w:sz w:val="20"/>
          <w:szCs w:val="20"/>
        </w:rPr>
      </w:pPr>
    </w:p>
    <w:p w14:paraId="5DC224A8" w14:textId="18DB1FAB" w:rsidR="00DC67E2" w:rsidRDefault="00DC67E2" w:rsidP="008063BF">
      <w:pPr>
        <w:ind w:left="567"/>
        <w:contextualSpacing/>
        <w:jc w:val="both"/>
        <w:rPr>
          <w:rFonts w:ascii="Bookman Old Style" w:hAnsi="Bookman Old Style" w:cs="Arial"/>
          <w:i/>
          <w:iCs/>
          <w:sz w:val="20"/>
          <w:szCs w:val="20"/>
        </w:rPr>
      </w:pPr>
      <w:r w:rsidRPr="00DC67E2">
        <w:rPr>
          <w:rFonts w:ascii="Bookman Old Style" w:hAnsi="Bookman Old Style" w:cs="Arial"/>
          <w:i/>
          <w:iCs/>
          <w:sz w:val="20"/>
          <w:szCs w:val="20"/>
        </w:rPr>
        <w:t>El precitado concepto deberá ser remitido a esta Comisión dentro del menor tiempo</w:t>
      </w:r>
      <w:r w:rsidR="006D3007">
        <w:rPr>
          <w:rFonts w:ascii="Bookman Old Style" w:hAnsi="Bookman Old Style" w:cs="Arial"/>
          <w:i/>
          <w:iCs/>
          <w:sz w:val="20"/>
          <w:szCs w:val="20"/>
        </w:rPr>
        <w:t xml:space="preserve"> </w:t>
      </w:r>
      <w:r w:rsidRPr="00DC67E2">
        <w:rPr>
          <w:rFonts w:ascii="Bookman Old Style" w:hAnsi="Bookman Old Style" w:cs="Arial"/>
          <w:i/>
          <w:iCs/>
          <w:sz w:val="20"/>
          <w:szCs w:val="20"/>
        </w:rPr>
        <w:t>posible y adelantarse con la mayor diligencia. En caso de que la conexión no fuera</w:t>
      </w:r>
      <w:r w:rsidR="006D3007">
        <w:rPr>
          <w:rFonts w:ascii="Bookman Old Style" w:hAnsi="Bookman Old Style" w:cs="Arial"/>
          <w:i/>
          <w:iCs/>
          <w:sz w:val="20"/>
          <w:szCs w:val="20"/>
        </w:rPr>
        <w:t xml:space="preserve"> </w:t>
      </w:r>
      <w:r w:rsidRPr="00DC67E2">
        <w:rPr>
          <w:rFonts w:ascii="Bookman Old Style" w:hAnsi="Bookman Old Style" w:cs="Arial"/>
          <w:i/>
          <w:iCs/>
          <w:sz w:val="20"/>
          <w:szCs w:val="20"/>
        </w:rPr>
        <w:t>factible, GENSA S.A. E.S.P., en su comunicación, además, deberá justificar</w:t>
      </w:r>
      <w:r w:rsidR="006D3007">
        <w:rPr>
          <w:rFonts w:ascii="Bookman Old Style" w:hAnsi="Bookman Old Style" w:cs="Arial"/>
          <w:i/>
          <w:iCs/>
          <w:sz w:val="20"/>
          <w:szCs w:val="20"/>
        </w:rPr>
        <w:t xml:space="preserve"> </w:t>
      </w:r>
      <w:r w:rsidRPr="00DC67E2">
        <w:rPr>
          <w:rFonts w:ascii="Bookman Old Style" w:hAnsi="Bookman Old Style" w:cs="Arial"/>
          <w:i/>
          <w:iCs/>
          <w:sz w:val="20"/>
          <w:szCs w:val="20"/>
        </w:rPr>
        <w:t>técnicamente las causas, especificando el fundamento normativo o técnico que lo</w:t>
      </w:r>
      <w:r w:rsidR="006D3007">
        <w:rPr>
          <w:rFonts w:ascii="Bookman Old Style" w:hAnsi="Bookman Old Style" w:cs="Arial"/>
          <w:i/>
          <w:iCs/>
          <w:sz w:val="20"/>
          <w:szCs w:val="20"/>
        </w:rPr>
        <w:t xml:space="preserve"> </w:t>
      </w:r>
      <w:r w:rsidRPr="00DC67E2">
        <w:rPr>
          <w:rFonts w:ascii="Bookman Old Style" w:hAnsi="Bookman Old Style" w:cs="Arial"/>
          <w:i/>
          <w:iCs/>
          <w:sz w:val="20"/>
          <w:szCs w:val="20"/>
        </w:rPr>
        <w:t>soporte, indicando con precisión los requisitos que deben ser cumplidos para que la</w:t>
      </w:r>
      <w:r w:rsidR="006D3007">
        <w:rPr>
          <w:rFonts w:ascii="Bookman Old Style" w:hAnsi="Bookman Old Style" w:cs="Arial"/>
          <w:i/>
          <w:iCs/>
          <w:sz w:val="20"/>
          <w:szCs w:val="20"/>
        </w:rPr>
        <w:t xml:space="preserve"> </w:t>
      </w:r>
      <w:r w:rsidRPr="00DC67E2">
        <w:rPr>
          <w:rFonts w:ascii="Bookman Old Style" w:hAnsi="Bookman Old Style" w:cs="Arial"/>
          <w:i/>
          <w:iCs/>
          <w:sz w:val="20"/>
          <w:szCs w:val="20"/>
        </w:rPr>
        <w:t>conexión sea factible, o detallar las obras requeridas para hacerla posible.</w:t>
      </w:r>
    </w:p>
    <w:p w14:paraId="140DF4B9" w14:textId="77777777" w:rsidR="006D3007" w:rsidRPr="00DC67E2" w:rsidRDefault="006D3007" w:rsidP="008063BF">
      <w:pPr>
        <w:ind w:left="567"/>
        <w:contextualSpacing/>
        <w:jc w:val="both"/>
        <w:rPr>
          <w:rFonts w:ascii="Bookman Old Style" w:hAnsi="Bookman Old Style" w:cs="Arial"/>
          <w:i/>
          <w:iCs/>
          <w:sz w:val="20"/>
          <w:szCs w:val="20"/>
        </w:rPr>
      </w:pPr>
    </w:p>
    <w:p w14:paraId="0BC153F3" w14:textId="62C0FF95" w:rsidR="00BC4F3C" w:rsidRPr="00703752" w:rsidRDefault="00DC67E2" w:rsidP="008063BF">
      <w:pPr>
        <w:ind w:left="567"/>
        <w:contextualSpacing/>
        <w:jc w:val="both"/>
        <w:rPr>
          <w:rFonts w:ascii="Bookman Old Style" w:hAnsi="Bookman Old Style" w:cs="Arial"/>
          <w:i/>
          <w:iCs/>
          <w:sz w:val="20"/>
          <w:szCs w:val="20"/>
        </w:rPr>
      </w:pPr>
      <w:r w:rsidRPr="00DC67E2">
        <w:rPr>
          <w:rFonts w:ascii="Bookman Old Style" w:hAnsi="Bookman Old Style" w:cs="Arial"/>
          <w:i/>
          <w:iCs/>
          <w:sz w:val="20"/>
          <w:szCs w:val="20"/>
        </w:rPr>
        <w:t>Así mismo, se informa que el plazo otorgado para la remisión del concepto es</w:t>
      </w:r>
      <w:r w:rsidR="006D3007">
        <w:rPr>
          <w:rFonts w:ascii="Bookman Old Style" w:hAnsi="Bookman Old Style" w:cs="Arial"/>
          <w:i/>
          <w:iCs/>
          <w:sz w:val="20"/>
          <w:szCs w:val="20"/>
        </w:rPr>
        <w:t xml:space="preserve"> </w:t>
      </w:r>
      <w:r w:rsidRPr="00DC67E2">
        <w:rPr>
          <w:rFonts w:ascii="Bookman Old Style" w:hAnsi="Bookman Old Style" w:cs="Arial"/>
          <w:i/>
          <w:iCs/>
          <w:sz w:val="20"/>
          <w:szCs w:val="20"/>
        </w:rPr>
        <w:t>improrrogable.</w:t>
      </w:r>
      <w:r w:rsidR="006D3007">
        <w:rPr>
          <w:rFonts w:ascii="Bookman Old Style" w:hAnsi="Bookman Old Style" w:cs="Arial"/>
          <w:i/>
          <w:iCs/>
          <w:sz w:val="20"/>
          <w:szCs w:val="20"/>
        </w:rPr>
        <w:t xml:space="preserve"> (</w:t>
      </w:r>
      <w:r w:rsidR="00BC4F3C">
        <w:rPr>
          <w:rFonts w:ascii="Bookman Old Style" w:hAnsi="Bookman Old Style" w:cs="Arial"/>
          <w:i/>
          <w:iCs/>
          <w:sz w:val="20"/>
          <w:szCs w:val="20"/>
        </w:rPr>
        <w:t>…)”</w:t>
      </w:r>
    </w:p>
    <w:p w14:paraId="12BE4A87" w14:textId="77777777" w:rsidR="00BC4F3C" w:rsidRDefault="00BC4F3C" w:rsidP="00BC4F3C">
      <w:pPr>
        <w:ind w:left="284"/>
        <w:contextualSpacing/>
        <w:jc w:val="both"/>
        <w:rPr>
          <w:rFonts w:ascii="Bookman Old Style" w:hAnsi="Bookman Old Style" w:cs="Arial"/>
        </w:rPr>
      </w:pPr>
    </w:p>
    <w:p w14:paraId="0181AA2A" w14:textId="448C6E29" w:rsidR="00AF1F58" w:rsidRPr="0086458B" w:rsidRDefault="00DB7EAA" w:rsidP="00AF1F58">
      <w:pPr>
        <w:ind w:left="284"/>
        <w:contextualSpacing/>
        <w:jc w:val="both"/>
        <w:rPr>
          <w:rFonts w:ascii="Bookman Old Style" w:hAnsi="Bookman Old Style" w:cs="Arial"/>
        </w:rPr>
      </w:pPr>
      <w:r>
        <w:rPr>
          <w:rFonts w:ascii="Bookman Old Style" w:hAnsi="Bookman Old Style" w:cs="Arial"/>
        </w:rPr>
        <w:t xml:space="preserve">Mediante comunicación </w:t>
      </w:r>
      <w:r w:rsidR="00AF1F58" w:rsidRPr="0086458B">
        <w:rPr>
          <w:rFonts w:ascii="Bookman Old Style" w:hAnsi="Bookman Old Style" w:cs="Arial"/>
        </w:rPr>
        <w:t xml:space="preserve">con </w:t>
      </w:r>
      <w:r>
        <w:rPr>
          <w:rFonts w:ascii="Bookman Old Style" w:hAnsi="Bookman Old Style" w:cs="Arial"/>
        </w:rPr>
        <w:t>r</w:t>
      </w:r>
      <w:r w:rsidR="00AF1F58" w:rsidRPr="0086458B">
        <w:rPr>
          <w:rFonts w:ascii="Bookman Old Style" w:hAnsi="Bookman Old Style" w:cs="Arial"/>
        </w:rPr>
        <w:t xml:space="preserve">adicado </w:t>
      </w:r>
      <w:r>
        <w:rPr>
          <w:rFonts w:ascii="Bookman Old Style" w:hAnsi="Bookman Old Style" w:cs="Arial"/>
        </w:rPr>
        <w:t xml:space="preserve">CREG </w:t>
      </w:r>
      <w:r w:rsidR="00AF1F58" w:rsidRPr="0086458B">
        <w:rPr>
          <w:rFonts w:ascii="Bookman Old Style" w:hAnsi="Bookman Old Style" w:cs="Arial"/>
        </w:rPr>
        <w:t>E-2021-0012146,</w:t>
      </w:r>
      <w:r w:rsidR="002C3764">
        <w:rPr>
          <w:rFonts w:ascii="Bookman Old Style" w:hAnsi="Bookman Old Style" w:cs="Arial"/>
        </w:rPr>
        <w:t xml:space="preserve"> GENSA emite </w:t>
      </w:r>
      <w:r w:rsidR="002C3764" w:rsidRPr="002C3764">
        <w:rPr>
          <w:rFonts w:ascii="Bookman Old Style" w:hAnsi="Bookman Old Style" w:cs="Arial"/>
        </w:rPr>
        <w:t>concepto sobre la factibilidad técnica de la conexión</w:t>
      </w:r>
      <w:r w:rsidR="001B3924">
        <w:rPr>
          <w:rFonts w:ascii="Bookman Old Style" w:hAnsi="Bookman Old Style" w:cs="Arial"/>
        </w:rPr>
        <w:t>, en el siguiente sentido</w:t>
      </w:r>
      <w:r w:rsidR="00AF1F58" w:rsidRPr="0086458B">
        <w:rPr>
          <w:rFonts w:ascii="Bookman Old Style" w:hAnsi="Bookman Old Style" w:cs="Arial"/>
        </w:rPr>
        <w:t>:</w:t>
      </w:r>
    </w:p>
    <w:p w14:paraId="6669BE69" w14:textId="77777777" w:rsidR="00AF1F58" w:rsidRPr="0086458B" w:rsidRDefault="00AF1F58" w:rsidP="00AF1F58">
      <w:pPr>
        <w:ind w:left="284"/>
        <w:contextualSpacing/>
        <w:jc w:val="both"/>
        <w:rPr>
          <w:rFonts w:ascii="Bookman Old Style" w:hAnsi="Bookman Old Style" w:cs="Arial"/>
        </w:rPr>
      </w:pPr>
    </w:p>
    <w:p w14:paraId="486B380A" w14:textId="5B792CCE" w:rsidR="00DA0774" w:rsidRDefault="00AF1F58" w:rsidP="008063BF">
      <w:pPr>
        <w:ind w:left="567"/>
        <w:contextualSpacing/>
        <w:jc w:val="both"/>
        <w:rPr>
          <w:rFonts w:ascii="Bookman Old Style" w:hAnsi="Bookman Old Style" w:cs="Arial"/>
          <w:i/>
          <w:iCs/>
          <w:sz w:val="20"/>
          <w:szCs w:val="20"/>
        </w:rPr>
      </w:pPr>
      <w:r w:rsidRPr="00050936">
        <w:rPr>
          <w:rFonts w:ascii="Bookman Old Style" w:hAnsi="Bookman Old Style" w:cs="Arial"/>
          <w:i/>
          <w:iCs/>
          <w:sz w:val="20"/>
          <w:szCs w:val="20"/>
        </w:rPr>
        <w:t>“</w:t>
      </w:r>
      <w:r w:rsidR="00DA0774">
        <w:rPr>
          <w:rFonts w:ascii="Bookman Old Style" w:hAnsi="Bookman Old Style" w:cs="Arial"/>
          <w:i/>
          <w:iCs/>
          <w:sz w:val="20"/>
          <w:szCs w:val="20"/>
        </w:rPr>
        <w:t xml:space="preserve">(…) </w:t>
      </w:r>
      <w:r w:rsidR="00BE4B31" w:rsidRPr="00BE4B31">
        <w:rPr>
          <w:rFonts w:ascii="Bookman Old Style" w:hAnsi="Bookman Old Style" w:cs="Arial"/>
          <w:i/>
          <w:iCs/>
          <w:sz w:val="20"/>
          <w:szCs w:val="20"/>
        </w:rPr>
        <w:t>4. CONCEPTO TECNICO DE GENSA SA ESP.</w:t>
      </w:r>
    </w:p>
    <w:p w14:paraId="7C75B656" w14:textId="77777777" w:rsidR="00DA0774" w:rsidRDefault="00DA0774" w:rsidP="008063BF">
      <w:pPr>
        <w:ind w:left="567"/>
        <w:contextualSpacing/>
        <w:jc w:val="both"/>
        <w:rPr>
          <w:rFonts w:ascii="Bookman Old Style" w:hAnsi="Bookman Old Style" w:cs="Arial"/>
          <w:i/>
          <w:iCs/>
          <w:sz w:val="20"/>
          <w:szCs w:val="20"/>
        </w:rPr>
      </w:pPr>
    </w:p>
    <w:p w14:paraId="0864D2DD" w14:textId="1E00EDE7" w:rsidR="00855F7D" w:rsidRDefault="00855F7D" w:rsidP="008063BF">
      <w:pPr>
        <w:ind w:left="567"/>
        <w:contextualSpacing/>
        <w:jc w:val="both"/>
        <w:rPr>
          <w:rFonts w:ascii="Bookman Old Style" w:hAnsi="Bookman Old Style" w:cs="Arial"/>
          <w:i/>
          <w:iCs/>
          <w:sz w:val="20"/>
          <w:szCs w:val="20"/>
        </w:rPr>
      </w:pPr>
      <w:r w:rsidRPr="00855F7D">
        <w:rPr>
          <w:rFonts w:ascii="Bookman Old Style" w:hAnsi="Bookman Old Style" w:cs="Arial"/>
          <w:i/>
          <w:iCs/>
          <w:sz w:val="20"/>
          <w:szCs w:val="20"/>
        </w:rPr>
        <w:t>SOBRE LA VIABILIDAD DE LA CONEXIÓN A LA TORRE 117 DE LA L</w:t>
      </w:r>
      <w:r w:rsidR="00186134">
        <w:rPr>
          <w:rFonts w:ascii="Bookman Old Style" w:hAnsi="Bookman Old Style" w:cs="Arial"/>
          <w:i/>
          <w:iCs/>
          <w:sz w:val="20"/>
          <w:szCs w:val="20"/>
        </w:rPr>
        <w:t>Í</w:t>
      </w:r>
      <w:r w:rsidRPr="00855F7D">
        <w:rPr>
          <w:rFonts w:ascii="Bookman Old Style" w:hAnsi="Bookman Old Style" w:cs="Arial"/>
          <w:i/>
          <w:iCs/>
          <w:sz w:val="20"/>
          <w:szCs w:val="20"/>
        </w:rPr>
        <w:t>NEA A 34.5 kV.</w:t>
      </w:r>
    </w:p>
    <w:p w14:paraId="133068EB" w14:textId="77777777" w:rsidR="00186134" w:rsidRPr="00855F7D" w:rsidRDefault="00186134" w:rsidP="008063BF">
      <w:pPr>
        <w:ind w:left="567"/>
        <w:contextualSpacing/>
        <w:jc w:val="both"/>
        <w:rPr>
          <w:rFonts w:ascii="Bookman Old Style" w:hAnsi="Bookman Old Style" w:cs="Arial"/>
          <w:i/>
          <w:iCs/>
          <w:sz w:val="20"/>
          <w:szCs w:val="20"/>
        </w:rPr>
      </w:pPr>
    </w:p>
    <w:p w14:paraId="36CF2746" w14:textId="53950600" w:rsidR="00855F7D" w:rsidRDefault="00855F7D" w:rsidP="008063BF">
      <w:pPr>
        <w:ind w:left="567"/>
        <w:contextualSpacing/>
        <w:jc w:val="both"/>
        <w:rPr>
          <w:rFonts w:ascii="Bookman Old Style" w:hAnsi="Bookman Old Style" w:cs="Arial"/>
          <w:i/>
          <w:iCs/>
          <w:sz w:val="20"/>
          <w:szCs w:val="20"/>
        </w:rPr>
      </w:pPr>
      <w:r w:rsidRPr="00855F7D">
        <w:rPr>
          <w:rFonts w:ascii="Bookman Old Style" w:hAnsi="Bookman Old Style" w:cs="Arial"/>
          <w:i/>
          <w:iCs/>
          <w:sz w:val="20"/>
          <w:szCs w:val="20"/>
        </w:rPr>
        <w:t>Con base en el estudio de GERS presentado por DUE CAPITAL AN</w:t>
      </w:r>
      <w:r w:rsidR="00D57A09">
        <w:rPr>
          <w:rFonts w:ascii="Bookman Old Style" w:hAnsi="Bookman Old Style" w:cs="Arial"/>
          <w:i/>
          <w:iCs/>
          <w:sz w:val="20"/>
          <w:szCs w:val="20"/>
        </w:rPr>
        <w:t>D</w:t>
      </w:r>
      <w:r w:rsidRPr="00855F7D">
        <w:rPr>
          <w:rFonts w:ascii="Bookman Old Style" w:hAnsi="Bookman Old Style" w:cs="Arial"/>
          <w:i/>
          <w:iCs/>
          <w:sz w:val="20"/>
          <w:szCs w:val="20"/>
        </w:rPr>
        <w:t xml:space="preserve"> SERVICES el 25 de Junio de 2021 y el informe elaborado por INGENIERIA Y DISEÑO DE OCCIDENTE, GENSA S.A. E.S.P. se permite pronunciarse acerca de la viabilidad de la conexión solicitada por DUE CAPITAL AN</w:t>
      </w:r>
      <w:r w:rsidR="00EB0C5B">
        <w:rPr>
          <w:rFonts w:ascii="Bookman Old Style" w:hAnsi="Bookman Old Style" w:cs="Arial"/>
          <w:i/>
          <w:iCs/>
          <w:sz w:val="20"/>
          <w:szCs w:val="20"/>
        </w:rPr>
        <w:t>D</w:t>
      </w:r>
      <w:r w:rsidRPr="00855F7D">
        <w:rPr>
          <w:rFonts w:ascii="Bookman Old Style" w:hAnsi="Bookman Old Style" w:cs="Arial"/>
          <w:i/>
          <w:iCs/>
          <w:sz w:val="20"/>
          <w:szCs w:val="20"/>
        </w:rPr>
        <w:t xml:space="preserve"> SERVICES respecto de la línea a 34.5 kV en la torre 117, en los siguientes términos:</w:t>
      </w:r>
    </w:p>
    <w:p w14:paraId="799F90B1" w14:textId="77777777" w:rsidR="00EB0C5B" w:rsidRPr="00855F7D" w:rsidRDefault="00EB0C5B" w:rsidP="008063BF">
      <w:pPr>
        <w:ind w:left="567"/>
        <w:contextualSpacing/>
        <w:jc w:val="both"/>
        <w:rPr>
          <w:rFonts w:ascii="Bookman Old Style" w:hAnsi="Bookman Old Style" w:cs="Arial"/>
          <w:i/>
          <w:iCs/>
          <w:sz w:val="20"/>
          <w:szCs w:val="20"/>
        </w:rPr>
      </w:pPr>
    </w:p>
    <w:p w14:paraId="435416CF" w14:textId="443B5F2A" w:rsidR="00855F7D" w:rsidRPr="00855F7D" w:rsidRDefault="00855F7D" w:rsidP="008063BF">
      <w:pPr>
        <w:ind w:left="567"/>
        <w:contextualSpacing/>
        <w:jc w:val="both"/>
        <w:rPr>
          <w:rFonts w:ascii="Bookman Old Style" w:hAnsi="Bookman Old Style" w:cs="Arial"/>
          <w:i/>
          <w:iCs/>
          <w:sz w:val="20"/>
          <w:szCs w:val="20"/>
        </w:rPr>
      </w:pPr>
      <w:r w:rsidRPr="00855F7D">
        <w:rPr>
          <w:rFonts w:ascii="Bookman Old Style" w:hAnsi="Bookman Old Style" w:cs="Arial"/>
          <w:i/>
          <w:iCs/>
          <w:sz w:val="20"/>
          <w:szCs w:val="20"/>
        </w:rPr>
        <w:t>Esta alternativa de conexión fue consultada por DUE CAPITAL AN</w:t>
      </w:r>
      <w:r w:rsidR="00C07561">
        <w:rPr>
          <w:rFonts w:ascii="Bookman Old Style" w:hAnsi="Bookman Old Style" w:cs="Arial"/>
          <w:i/>
          <w:iCs/>
          <w:sz w:val="20"/>
          <w:szCs w:val="20"/>
        </w:rPr>
        <w:t>D</w:t>
      </w:r>
      <w:r w:rsidRPr="00855F7D">
        <w:rPr>
          <w:rFonts w:ascii="Bookman Old Style" w:hAnsi="Bookman Old Style" w:cs="Arial"/>
          <w:i/>
          <w:iCs/>
          <w:sz w:val="20"/>
          <w:szCs w:val="20"/>
        </w:rPr>
        <w:t xml:space="preserve"> SERVICES a GENSA S.A. ESP en su comunicado E-2021-001977 con referencia </w:t>
      </w:r>
      <w:r w:rsidR="009D6929">
        <w:rPr>
          <w:rFonts w:ascii="Bookman Old Style" w:hAnsi="Bookman Old Style" w:cs="Arial"/>
          <w:i/>
          <w:iCs/>
          <w:sz w:val="20"/>
          <w:szCs w:val="20"/>
        </w:rPr>
        <w:t>‘</w:t>
      </w:r>
      <w:r w:rsidRPr="00855F7D">
        <w:rPr>
          <w:rFonts w:ascii="Bookman Old Style" w:hAnsi="Bookman Old Style" w:cs="Arial"/>
          <w:i/>
          <w:iCs/>
          <w:sz w:val="20"/>
          <w:szCs w:val="20"/>
        </w:rPr>
        <w:t>solicitud de imposición de Servidumbre Eléctrica</w:t>
      </w:r>
      <w:r w:rsidR="009D6929">
        <w:rPr>
          <w:rFonts w:ascii="Bookman Old Style" w:hAnsi="Bookman Old Style" w:cs="Arial"/>
          <w:i/>
          <w:iCs/>
          <w:sz w:val="20"/>
          <w:szCs w:val="20"/>
        </w:rPr>
        <w:t>’</w:t>
      </w:r>
      <w:r w:rsidRPr="00855F7D">
        <w:rPr>
          <w:rFonts w:ascii="Bookman Old Style" w:hAnsi="Bookman Old Style" w:cs="Arial"/>
          <w:i/>
          <w:iCs/>
          <w:sz w:val="20"/>
          <w:szCs w:val="20"/>
        </w:rPr>
        <w:t xml:space="preserve"> del día 11 de febrero de 2021 donde consulta </w:t>
      </w:r>
      <w:r w:rsidR="0035265B">
        <w:rPr>
          <w:rFonts w:ascii="Bookman Old Style" w:hAnsi="Bookman Old Style" w:cs="Arial"/>
          <w:i/>
          <w:iCs/>
          <w:sz w:val="20"/>
          <w:szCs w:val="20"/>
        </w:rPr>
        <w:t>‘</w:t>
      </w:r>
      <w:r w:rsidRPr="00855F7D">
        <w:rPr>
          <w:rFonts w:ascii="Bookman Old Style" w:hAnsi="Bookman Old Style" w:cs="Arial"/>
          <w:i/>
          <w:iCs/>
          <w:sz w:val="20"/>
          <w:szCs w:val="20"/>
        </w:rPr>
        <w:t>1.5 El punto de conexión proyectado para el estudio corresponde a la apertura de la línea PCH Mitú - Subestación Mitú 34.5kV a 2 km de distancia de la subestación Mitú a 34,5kV. Confirmar si es posible emplear este punto y si existe alguna indicación adicional sobre las alternativas de conexión</w:t>
      </w:r>
      <w:r w:rsidR="007107DC">
        <w:rPr>
          <w:rFonts w:ascii="Bookman Old Style" w:hAnsi="Bookman Old Style" w:cs="Arial"/>
          <w:i/>
          <w:iCs/>
          <w:sz w:val="20"/>
          <w:szCs w:val="20"/>
        </w:rPr>
        <w:t>’</w:t>
      </w:r>
      <w:r w:rsidRPr="00855F7D">
        <w:rPr>
          <w:rFonts w:ascii="Bookman Old Style" w:hAnsi="Bookman Old Style" w:cs="Arial"/>
          <w:i/>
          <w:iCs/>
          <w:sz w:val="20"/>
          <w:szCs w:val="20"/>
        </w:rPr>
        <w:t xml:space="preserve"> y sobre la misma GENSA le respondió en su comunicado PRE 007562021 con radicado CREG E-2021-004699 que </w:t>
      </w:r>
      <w:r w:rsidR="00770554">
        <w:rPr>
          <w:rFonts w:ascii="Bookman Old Style" w:hAnsi="Bookman Old Style" w:cs="Arial"/>
          <w:i/>
          <w:iCs/>
          <w:sz w:val="20"/>
          <w:szCs w:val="20"/>
        </w:rPr>
        <w:t>‘</w:t>
      </w:r>
      <w:r w:rsidRPr="00855F7D">
        <w:rPr>
          <w:rFonts w:ascii="Bookman Old Style" w:hAnsi="Bookman Old Style" w:cs="Arial"/>
          <w:i/>
          <w:iCs/>
          <w:sz w:val="20"/>
          <w:szCs w:val="20"/>
        </w:rPr>
        <w:t>Por el momento, GENSA, estima posible el uso de la sección propuesta en la solicitud de conexión que presentó el promotor del proyecto a CREG. El requisito principal de GENSA para el desarrollo del proyecto sería que, con la conexión del proyecto solar al sistema de generación de Mitú (línea eléctrica), se garantice la continuidad y confiabilidad del servicio de energía eléctrica en la zona</w:t>
      </w:r>
      <w:r w:rsidR="002813C7">
        <w:rPr>
          <w:rFonts w:ascii="Bookman Old Style" w:hAnsi="Bookman Old Style" w:cs="Arial"/>
          <w:i/>
          <w:iCs/>
          <w:sz w:val="20"/>
          <w:szCs w:val="20"/>
        </w:rPr>
        <w:t>’</w:t>
      </w:r>
      <w:r w:rsidRPr="00855F7D">
        <w:rPr>
          <w:rFonts w:ascii="Bookman Old Style" w:hAnsi="Bookman Old Style" w:cs="Arial"/>
          <w:i/>
          <w:iCs/>
          <w:sz w:val="20"/>
          <w:szCs w:val="20"/>
        </w:rPr>
        <w:t xml:space="preserve">. Así las cosas, según mandato de la CREG y el Ministerio de Minas y Energía, GENSA procede adelante a conceptuar sobre </w:t>
      </w:r>
      <w:r w:rsidR="00AA484D">
        <w:rPr>
          <w:rFonts w:ascii="Bookman Old Style" w:eastAsia="Bookman Old Style" w:hAnsi="Bookman Old Style" w:cs="Bookman Old Style"/>
          <w:i/>
          <w:iCs/>
          <w:sz w:val="20"/>
          <w:szCs w:val="20"/>
        </w:rPr>
        <w:t>e</w:t>
      </w:r>
      <w:r w:rsidRPr="00855F7D">
        <w:rPr>
          <w:rFonts w:ascii="Bookman Old Style" w:hAnsi="Bookman Old Style" w:cs="Arial"/>
          <w:i/>
          <w:iCs/>
          <w:sz w:val="20"/>
          <w:szCs w:val="20"/>
        </w:rPr>
        <w:t>sta alternativa.</w:t>
      </w:r>
    </w:p>
    <w:p w14:paraId="6DF35717" w14:textId="77777777" w:rsidR="00C07561" w:rsidRDefault="00C07561" w:rsidP="008063BF">
      <w:pPr>
        <w:ind w:left="567"/>
        <w:contextualSpacing/>
        <w:jc w:val="both"/>
        <w:rPr>
          <w:rFonts w:ascii="Bookman Old Style" w:hAnsi="Bookman Old Style" w:cs="Arial"/>
          <w:i/>
          <w:iCs/>
          <w:sz w:val="20"/>
          <w:szCs w:val="20"/>
        </w:rPr>
      </w:pPr>
    </w:p>
    <w:p w14:paraId="3322D76E" w14:textId="497C5A51" w:rsidR="00C62BFE" w:rsidRDefault="00855F7D" w:rsidP="008063BF">
      <w:pPr>
        <w:ind w:left="567"/>
        <w:contextualSpacing/>
        <w:jc w:val="both"/>
        <w:rPr>
          <w:rFonts w:ascii="Bookman Old Style" w:eastAsia="Bookman Old Style" w:hAnsi="Bookman Old Style" w:cs="Bookman Old Style"/>
          <w:i/>
          <w:iCs/>
          <w:sz w:val="20"/>
          <w:szCs w:val="20"/>
        </w:rPr>
      </w:pPr>
      <w:r w:rsidRPr="00855F7D">
        <w:rPr>
          <w:rFonts w:ascii="Bookman Old Style" w:hAnsi="Bookman Old Style" w:cs="Arial"/>
          <w:i/>
          <w:iCs/>
          <w:sz w:val="20"/>
          <w:szCs w:val="20"/>
        </w:rPr>
        <w:t>De acuerdo con lo anterior, con base en i) el concepto técnico inicial de GENSA emitido el 26 de marzo de 2020 mediante comunicado PRE 0007652020, ii) el estudio de conexión elaborado por GERS para la alternativa de conexión a la torre</w:t>
      </w:r>
      <w:r w:rsidR="00D937DA">
        <w:rPr>
          <w:rFonts w:ascii="Bookman Old Style" w:hAnsi="Bookman Old Style" w:cs="Arial"/>
          <w:i/>
          <w:iCs/>
          <w:sz w:val="20"/>
          <w:szCs w:val="20"/>
        </w:rPr>
        <w:t xml:space="preserve"> 1</w:t>
      </w:r>
      <w:r w:rsidRPr="00855F7D">
        <w:rPr>
          <w:rFonts w:ascii="Bookman Old Style" w:hAnsi="Bookman Old Style" w:cs="Arial"/>
          <w:i/>
          <w:iCs/>
          <w:sz w:val="20"/>
          <w:szCs w:val="20"/>
        </w:rPr>
        <w:t>17 de la línea a 34.5kV de la PCH Mitú, iii) el informe del Consultor INGENIER</w:t>
      </w:r>
      <w:r w:rsidR="00EE495F">
        <w:rPr>
          <w:rFonts w:ascii="Bookman Old Style" w:hAnsi="Bookman Old Style" w:cs="Arial"/>
          <w:i/>
          <w:iCs/>
          <w:sz w:val="20"/>
          <w:szCs w:val="20"/>
        </w:rPr>
        <w:t>Í</w:t>
      </w:r>
      <w:r w:rsidRPr="00855F7D">
        <w:rPr>
          <w:rFonts w:ascii="Bookman Old Style" w:hAnsi="Bookman Old Style" w:cs="Arial"/>
          <w:i/>
          <w:iCs/>
          <w:sz w:val="20"/>
          <w:szCs w:val="20"/>
        </w:rPr>
        <w:t>A Y DISE</w:t>
      </w:r>
      <w:r w:rsidR="00EF7B5B">
        <w:rPr>
          <w:rFonts w:ascii="Bookman Old Style" w:hAnsi="Bookman Old Style" w:cs="Arial"/>
          <w:i/>
          <w:iCs/>
          <w:sz w:val="20"/>
          <w:szCs w:val="20"/>
        </w:rPr>
        <w:t>Ñ</w:t>
      </w:r>
      <w:r w:rsidRPr="00855F7D">
        <w:rPr>
          <w:rFonts w:ascii="Bookman Old Style" w:hAnsi="Bookman Old Style" w:cs="Arial"/>
          <w:i/>
          <w:iCs/>
          <w:sz w:val="20"/>
          <w:szCs w:val="20"/>
        </w:rPr>
        <w:t>O DE OCCIDENTE don</w:t>
      </w:r>
      <w:r w:rsidR="00341B6F">
        <w:rPr>
          <w:rFonts w:ascii="Bookman Old Style" w:eastAsia="Bookman Old Style" w:hAnsi="Bookman Old Style" w:cs="Bookman Old Style"/>
          <w:i/>
          <w:iCs/>
          <w:sz w:val="20"/>
          <w:szCs w:val="20"/>
        </w:rPr>
        <w:t xml:space="preserve">de </w:t>
      </w:r>
      <w:r w:rsidR="00CA64D6">
        <w:rPr>
          <w:rFonts w:ascii="Bookman Old Style" w:eastAsia="Bookman Old Style" w:hAnsi="Bookman Old Style" w:cs="Bookman Old Style"/>
          <w:i/>
          <w:iCs/>
          <w:sz w:val="20"/>
          <w:szCs w:val="20"/>
        </w:rPr>
        <w:t>se revisa el estudio de conexión menciona</w:t>
      </w:r>
      <w:r w:rsidR="00D21361">
        <w:rPr>
          <w:rFonts w:ascii="Bookman Old Style" w:eastAsia="Bookman Old Style" w:hAnsi="Bookman Old Style" w:cs="Bookman Old Style"/>
          <w:i/>
          <w:iCs/>
          <w:sz w:val="20"/>
          <w:szCs w:val="20"/>
        </w:rPr>
        <w:t xml:space="preserve">do y las </w:t>
      </w:r>
      <w:r w:rsidR="00767FF7">
        <w:rPr>
          <w:rFonts w:ascii="Bookman Old Style" w:eastAsia="Bookman Old Style" w:hAnsi="Bookman Old Style" w:cs="Bookman Old Style"/>
          <w:i/>
          <w:iCs/>
          <w:sz w:val="20"/>
          <w:szCs w:val="20"/>
        </w:rPr>
        <w:t xml:space="preserve">mesas técnicas internas </w:t>
      </w:r>
      <w:r w:rsidR="001C1412">
        <w:rPr>
          <w:rFonts w:ascii="Bookman Old Style" w:eastAsia="Bookman Old Style" w:hAnsi="Bookman Old Style" w:cs="Bookman Old Style"/>
          <w:i/>
          <w:iCs/>
          <w:sz w:val="20"/>
          <w:szCs w:val="20"/>
        </w:rPr>
        <w:t xml:space="preserve">celebradas en </w:t>
      </w:r>
      <w:r w:rsidR="00C62BFE">
        <w:rPr>
          <w:rFonts w:ascii="Bookman Old Style" w:eastAsia="Bookman Old Style" w:hAnsi="Bookman Old Style" w:cs="Bookman Old Style"/>
          <w:i/>
          <w:iCs/>
          <w:sz w:val="20"/>
          <w:szCs w:val="20"/>
        </w:rPr>
        <w:t>G</w:t>
      </w:r>
      <w:r w:rsidR="00C62BFE" w:rsidRPr="00C62BFE">
        <w:rPr>
          <w:rFonts w:ascii="Bookman Old Style" w:eastAsia="Bookman Old Style" w:hAnsi="Bookman Old Style" w:cs="Bookman Old Style"/>
          <w:i/>
          <w:iCs/>
          <w:sz w:val="20"/>
          <w:szCs w:val="20"/>
        </w:rPr>
        <w:t>ENSA S.A. ESP se encuentra viable técnicamente la conexión del proyecto solar Matakavi a la torre 117.</w:t>
      </w:r>
    </w:p>
    <w:p w14:paraId="60380C34" w14:textId="77777777" w:rsidR="00C62BFE" w:rsidRPr="00C62BFE" w:rsidRDefault="00C62BFE" w:rsidP="008063BF">
      <w:pPr>
        <w:ind w:left="567"/>
        <w:contextualSpacing/>
        <w:jc w:val="both"/>
        <w:rPr>
          <w:rFonts w:ascii="Bookman Old Style" w:eastAsia="Bookman Old Style" w:hAnsi="Bookman Old Style" w:cs="Bookman Old Style"/>
          <w:i/>
          <w:iCs/>
          <w:sz w:val="20"/>
          <w:szCs w:val="20"/>
        </w:rPr>
      </w:pPr>
    </w:p>
    <w:p w14:paraId="32D39D40" w14:textId="39E6EB09" w:rsidR="00DA0774" w:rsidRDefault="00C62BFE" w:rsidP="008063BF">
      <w:pPr>
        <w:ind w:left="567"/>
        <w:contextualSpacing/>
        <w:jc w:val="both"/>
        <w:rPr>
          <w:rFonts w:ascii="Bookman Old Style" w:hAnsi="Bookman Old Style" w:cs="Arial"/>
          <w:i/>
          <w:iCs/>
          <w:sz w:val="20"/>
          <w:szCs w:val="20"/>
        </w:rPr>
      </w:pPr>
      <w:r w:rsidRPr="00C62BFE">
        <w:rPr>
          <w:rFonts w:ascii="Bookman Old Style" w:eastAsia="Bookman Old Style" w:hAnsi="Bookman Old Style" w:cs="Bookman Old Style"/>
          <w:i/>
          <w:iCs/>
          <w:sz w:val="20"/>
          <w:szCs w:val="20"/>
        </w:rPr>
        <w:t>No obstante lo anterior, dentro de la validación de criterios técnicos, se encuentran asuntos relacionados al proyecto Matakavi, que deberán ser considerados y validados en las etapas subsecuentes del proyecto. Estos aspectos son:</w:t>
      </w:r>
    </w:p>
    <w:p w14:paraId="0D1AF562" w14:textId="39BB5B13" w:rsidR="00DA0774" w:rsidRDefault="00DA0774" w:rsidP="008D454D">
      <w:pPr>
        <w:tabs>
          <w:tab w:val="left" w:pos="6520"/>
        </w:tabs>
        <w:ind w:left="709"/>
        <w:contextualSpacing/>
        <w:jc w:val="both"/>
        <w:rPr>
          <w:rFonts w:ascii="Bookman Old Style" w:hAnsi="Bookman Old Style" w:cs="Arial"/>
          <w:i/>
          <w:iCs/>
          <w:sz w:val="20"/>
          <w:szCs w:val="20"/>
        </w:rPr>
      </w:pPr>
    </w:p>
    <w:p w14:paraId="6BA1416F" w14:textId="0515F975" w:rsidR="00AE51A6" w:rsidRPr="009420A9" w:rsidRDefault="00AE51A6" w:rsidP="008063BF">
      <w:pPr>
        <w:pStyle w:val="Prrafodelista"/>
        <w:numPr>
          <w:ilvl w:val="0"/>
          <w:numId w:val="38"/>
        </w:numPr>
        <w:ind w:left="851" w:hanging="284"/>
        <w:contextualSpacing/>
        <w:jc w:val="both"/>
        <w:rPr>
          <w:rFonts w:ascii="Bookman Old Style" w:hAnsi="Bookman Old Style" w:cs="Arial"/>
          <w:i/>
          <w:iCs/>
        </w:rPr>
      </w:pPr>
      <w:r w:rsidRPr="009420A9">
        <w:rPr>
          <w:rFonts w:ascii="Bookman Old Style" w:hAnsi="Bookman Old Style" w:cs="Arial"/>
          <w:i/>
          <w:iCs/>
        </w:rPr>
        <w:t>Se debe repoten</w:t>
      </w:r>
      <w:r w:rsidR="007E2130">
        <w:rPr>
          <w:rFonts w:ascii="Bookman Old Style" w:hAnsi="Bookman Old Style" w:cs="Arial"/>
          <w:i/>
          <w:iCs/>
        </w:rPr>
        <w:t>c</w:t>
      </w:r>
      <w:r w:rsidRPr="009420A9">
        <w:rPr>
          <w:rFonts w:ascii="Bookman Old Style" w:hAnsi="Bookman Old Style" w:cs="Arial"/>
          <w:i/>
          <w:iCs/>
        </w:rPr>
        <w:t>iar la subestación Mitú, dada la sobre carga presentada en el transformador 1 ante la falla del transformador 2. Este es un asunto a revisar entre el propietario de la infraestructura esto es, el Ministerio de Minas, el operador del sistema de generación quien actualmente es GENSA S.A. ESP y el Promotor del Proyecto DUE CAPITAL AN</w:t>
      </w:r>
      <w:r w:rsidR="002D5D09">
        <w:rPr>
          <w:rFonts w:ascii="Bookman Old Style" w:hAnsi="Bookman Old Style" w:cs="Arial"/>
          <w:i/>
          <w:iCs/>
        </w:rPr>
        <w:t>D</w:t>
      </w:r>
      <w:r w:rsidRPr="009420A9">
        <w:rPr>
          <w:rFonts w:ascii="Bookman Old Style" w:hAnsi="Bookman Old Style" w:cs="Arial"/>
          <w:i/>
          <w:iCs/>
        </w:rPr>
        <w:t xml:space="preserve"> SERVICES. Sobre este aspecto se debe considerar el comunicado E-2021-001977 en el cual DUE CAPITAL AN</w:t>
      </w:r>
      <w:r w:rsidR="003D5D8C">
        <w:rPr>
          <w:rFonts w:ascii="Bookman Old Style" w:hAnsi="Bookman Old Style" w:cs="Arial"/>
          <w:i/>
          <w:iCs/>
        </w:rPr>
        <w:t>D</w:t>
      </w:r>
      <w:r w:rsidRPr="009420A9">
        <w:rPr>
          <w:rFonts w:ascii="Bookman Old Style" w:hAnsi="Bookman Old Style" w:cs="Arial"/>
          <w:i/>
          <w:iCs/>
        </w:rPr>
        <w:t xml:space="preserve"> SERVICES manifiesta estar en disposición de acometer estas inversiones, sin embargo el asunto deberá ser debidamente revisado desde lo contractual en la etapa de contratación del proyecto.</w:t>
      </w:r>
    </w:p>
    <w:p w14:paraId="317C1046" w14:textId="77777777" w:rsidR="00C117D8" w:rsidRDefault="00C117D8" w:rsidP="008063BF">
      <w:pPr>
        <w:ind w:left="851" w:hanging="284"/>
        <w:contextualSpacing/>
        <w:jc w:val="both"/>
        <w:rPr>
          <w:rFonts w:ascii="Bookman Old Style" w:hAnsi="Bookman Old Style" w:cs="Arial"/>
          <w:i/>
          <w:iCs/>
          <w:sz w:val="20"/>
          <w:szCs w:val="20"/>
        </w:rPr>
      </w:pPr>
    </w:p>
    <w:p w14:paraId="245825FA" w14:textId="1BCBAFF5" w:rsidR="00AE51A6" w:rsidRPr="009420A9" w:rsidRDefault="00AE51A6" w:rsidP="008063BF">
      <w:pPr>
        <w:pStyle w:val="Prrafodelista"/>
        <w:numPr>
          <w:ilvl w:val="0"/>
          <w:numId w:val="38"/>
        </w:numPr>
        <w:ind w:left="851" w:hanging="284"/>
        <w:contextualSpacing/>
        <w:jc w:val="both"/>
        <w:rPr>
          <w:rFonts w:ascii="Bookman Old Style" w:hAnsi="Bookman Old Style" w:cs="Arial"/>
          <w:i/>
          <w:iCs/>
        </w:rPr>
      </w:pPr>
      <w:r w:rsidRPr="009420A9">
        <w:rPr>
          <w:rFonts w:ascii="Bookman Old Style" w:hAnsi="Bookman Old Style" w:cs="Arial"/>
          <w:i/>
          <w:iCs/>
        </w:rPr>
        <w:t xml:space="preserve">Se deben ejecutar las obras de </w:t>
      </w:r>
      <w:r w:rsidR="005A7D72">
        <w:rPr>
          <w:rFonts w:ascii="Bookman Old Style" w:hAnsi="Bookman Old Style" w:cs="Arial"/>
          <w:i/>
          <w:iCs/>
        </w:rPr>
        <w:t>conexión</w:t>
      </w:r>
      <w:r w:rsidRPr="009420A9">
        <w:rPr>
          <w:rFonts w:ascii="Bookman Old Style" w:hAnsi="Bookman Old Style" w:cs="Arial"/>
          <w:i/>
          <w:iCs/>
        </w:rPr>
        <w:t xml:space="preserve"> a la torre 117 de la línea de interconexión y sobre esto DUE CAPITAL AN</w:t>
      </w:r>
      <w:r w:rsidR="003900D9">
        <w:rPr>
          <w:rFonts w:ascii="Bookman Old Style" w:hAnsi="Bookman Old Style" w:cs="Arial"/>
          <w:i/>
          <w:iCs/>
        </w:rPr>
        <w:t>D</w:t>
      </w:r>
      <w:r w:rsidRPr="009420A9">
        <w:rPr>
          <w:rFonts w:ascii="Bookman Old Style" w:hAnsi="Bookman Old Style" w:cs="Arial"/>
          <w:i/>
          <w:iCs/>
        </w:rPr>
        <w:t xml:space="preserve"> SERVICES ha dado claridad en que dichas labores estarán dentro de su alcance contractual una vez se dé inicio a la construcción del proyecto. Se estima que este aspecto debe quedar suficientemente formalizado en la etapa de imposición de servidumbre. </w:t>
      </w:r>
    </w:p>
    <w:p w14:paraId="4A83A172" w14:textId="77777777" w:rsidR="00C117D8" w:rsidRDefault="00C117D8" w:rsidP="008063BF">
      <w:pPr>
        <w:ind w:left="851" w:hanging="284"/>
        <w:contextualSpacing/>
        <w:jc w:val="both"/>
        <w:rPr>
          <w:rFonts w:ascii="Bookman Old Style" w:hAnsi="Bookman Old Style" w:cs="Arial"/>
          <w:i/>
          <w:iCs/>
          <w:sz w:val="20"/>
          <w:szCs w:val="20"/>
        </w:rPr>
      </w:pPr>
    </w:p>
    <w:p w14:paraId="035B06F0" w14:textId="64B5BBF6" w:rsidR="00DA0774" w:rsidRPr="009420A9" w:rsidRDefault="00AE51A6" w:rsidP="008063BF">
      <w:pPr>
        <w:pStyle w:val="Prrafodelista"/>
        <w:numPr>
          <w:ilvl w:val="0"/>
          <w:numId w:val="38"/>
        </w:numPr>
        <w:ind w:left="851" w:hanging="284"/>
        <w:contextualSpacing/>
        <w:jc w:val="both"/>
        <w:rPr>
          <w:rFonts w:ascii="Bookman Old Style" w:hAnsi="Bookman Old Style" w:cs="Arial"/>
          <w:i/>
          <w:iCs/>
        </w:rPr>
      </w:pPr>
      <w:r w:rsidRPr="009420A9">
        <w:rPr>
          <w:rFonts w:ascii="Bookman Old Style" w:hAnsi="Bookman Old Style" w:cs="Arial"/>
          <w:i/>
          <w:iCs/>
        </w:rPr>
        <w:t>Como debida diligencia, durante la etapa de construcción del proyecto Matakavi, previo a la conexión del proyecto a la red, se deberá adelantar un estudio de coordinación de protecciones que permita la operación armónica de las 4 fuentes de generación de las que se compondría el sistema energético de Mitú. Esto es necesario para evitar la potencial sobrecarga de generadores en la PCH Mitú ante situaciones contingentes de la planta solar.</w:t>
      </w:r>
    </w:p>
    <w:p w14:paraId="35722744" w14:textId="77777777" w:rsidR="00866A21" w:rsidRDefault="00866A21" w:rsidP="00DA0774">
      <w:pPr>
        <w:ind w:left="709"/>
        <w:contextualSpacing/>
        <w:jc w:val="both"/>
        <w:rPr>
          <w:rFonts w:ascii="Bookman Old Style" w:hAnsi="Bookman Old Style" w:cs="Arial"/>
          <w:i/>
          <w:iCs/>
          <w:sz w:val="20"/>
          <w:szCs w:val="20"/>
        </w:rPr>
      </w:pPr>
    </w:p>
    <w:p w14:paraId="126FEDD1" w14:textId="35591472" w:rsidR="00DA0774" w:rsidRDefault="00B46F23" w:rsidP="008063BF">
      <w:pPr>
        <w:ind w:left="567"/>
        <w:contextualSpacing/>
        <w:jc w:val="both"/>
        <w:rPr>
          <w:rFonts w:ascii="Bookman Old Style" w:hAnsi="Bookman Old Style" w:cs="Arial"/>
          <w:i/>
          <w:iCs/>
          <w:sz w:val="20"/>
          <w:szCs w:val="20"/>
        </w:rPr>
      </w:pPr>
      <w:r w:rsidRPr="00B46F23">
        <w:rPr>
          <w:rFonts w:ascii="Bookman Old Style" w:hAnsi="Bookman Old Style" w:cs="Arial"/>
          <w:i/>
          <w:iCs/>
          <w:sz w:val="20"/>
          <w:szCs w:val="20"/>
        </w:rPr>
        <w:t xml:space="preserve">Por lo tanto, </w:t>
      </w:r>
      <w:r w:rsidRPr="00196A20">
        <w:rPr>
          <w:rFonts w:ascii="Bookman Old Style" w:hAnsi="Bookman Old Style" w:cs="Arial"/>
          <w:b/>
          <w:bCs/>
          <w:i/>
          <w:iCs/>
          <w:sz w:val="20"/>
          <w:szCs w:val="20"/>
          <w:u w:val="single"/>
        </w:rPr>
        <w:t>se estima que la conexión del proyecto resulta técnicamente viable, si y solo si, las anteriores observaciones son atendidas de manera plena en las etapas subsiguientes del proyecto</w:t>
      </w:r>
      <w:r w:rsidRPr="00B46F23">
        <w:rPr>
          <w:rFonts w:ascii="Bookman Old Style" w:hAnsi="Bookman Old Style" w:cs="Arial"/>
          <w:i/>
          <w:iCs/>
          <w:sz w:val="20"/>
          <w:szCs w:val="20"/>
        </w:rPr>
        <w:t>, máxime si se toma en cuenta que estas se dirigen a precisar y regular de manera clara las condiciones en que se establecería la conexión.</w:t>
      </w:r>
    </w:p>
    <w:p w14:paraId="07FB40A8" w14:textId="77777777" w:rsidR="00963400" w:rsidRDefault="00963400" w:rsidP="008063BF">
      <w:pPr>
        <w:ind w:left="567"/>
        <w:contextualSpacing/>
        <w:jc w:val="both"/>
        <w:rPr>
          <w:rFonts w:ascii="Bookman Old Style" w:hAnsi="Bookman Old Style" w:cs="Arial"/>
          <w:i/>
          <w:iCs/>
          <w:sz w:val="20"/>
          <w:szCs w:val="20"/>
        </w:rPr>
      </w:pPr>
    </w:p>
    <w:p w14:paraId="2FB87AC9" w14:textId="50A4D2B6" w:rsidR="00963400" w:rsidRPr="00963400" w:rsidRDefault="00963400" w:rsidP="008063BF">
      <w:pPr>
        <w:ind w:left="567"/>
        <w:contextualSpacing/>
        <w:jc w:val="both"/>
        <w:rPr>
          <w:rFonts w:ascii="Bookman Old Style" w:hAnsi="Bookman Old Style" w:cs="Arial"/>
          <w:i/>
          <w:iCs/>
          <w:sz w:val="20"/>
          <w:szCs w:val="20"/>
        </w:rPr>
      </w:pPr>
      <w:r w:rsidRPr="00963400">
        <w:rPr>
          <w:rFonts w:ascii="Bookman Old Style" w:hAnsi="Bookman Old Style" w:cs="Arial"/>
          <w:i/>
          <w:iCs/>
          <w:sz w:val="20"/>
          <w:szCs w:val="20"/>
        </w:rPr>
        <w:t>SOBRE OTRAS ALTERNATIVAS DE CONEXIÓN</w:t>
      </w:r>
    </w:p>
    <w:p w14:paraId="32D29967" w14:textId="77777777" w:rsidR="00866A21" w:rsidRDefault="00866A21" w:rsidP="008063BF">
      <w:pPr>
        <w:ind w:left="567"/>
        <w:contextualSpacing/>
        <w:jc w:val="both"/>
        <w:rPr>
          <w:rFonts w:ascii="Bookman Old Style" w:hAnsi="Bookman Old Style" w:cs="Arial"/>
          <w:i/>
          <w:iCs/>
          <w:sz w:val="20"/>
          <w:szCs w:val="20"/>
        </w:rPr>
      </w:pPr>
    </w:p>
    <w:p w14:paraId="6FF78C7C" w14:textId="2AD22866" w:rsidR="003A0AC9" w:rsidRDefault="00963400" w:rsidP="008063BF">
      <w:pPr>
        <w:ind w:left="567"/>
        <w:contextualSpacing/>
        <w:jc w:val="both"/>
        <w:rPr>
          <w:rFonts w:ascii="Bookman Old Style" w:hAnsi="Bookman Old Style" w:cs="Arial"/>
          <w:i/>
          <w:iCs/>
          <w:sz w:val="20"/>
          <w:szCs w:val="20"/>
        </w:rPr>
      </w:pPr>
      <w:r w:rsidRPr="00963400">
        <w:rPr>
          <w:rFonts w:ascii="Bookman Old Style" w:hAnsi="Bookman Old Style" w:cs="Arial"/>
          <w:i/>
          <w:iCs/>
          <w:sz w:val="20"/>
          <w:szCs w:val="20"/>
        </w:rPr>
        <w:t>Es importante anotar que DUE CAPITAL AN</w:t>
      </w:r>
      <w:r w:rsidR="005939CB">
        <w:rPr>
          <w:rFonts w:ascii="Bookman Old Style" w:hAnsi="Bookman Old Style" w:cs="Arial"/>
          <w:i/>
          <w:iCs/>
          <w:sz w:val="20"/>
          <w:szCs w:val="20"/>
        </w:rPr>
        <w:t>D</w:t>
      </w:r>
      <w:r w:rsidRPr="00963400">
        <w:rPr>
          <w:rFonts w:ascii="Bookman Old Style" w:hAnsi="Bookman Old Style" w:cs="Arial"/>
          <w:i/>
          <w:iCs/>
          <w:sz w:val="20"/>
          <w:szCs w:val="20"/>
        </w:rPr>
        <w:t xml:space="preserve"> SERVICES no pre</w:t>
      </w:r>
      <w:r w:rsidR="005939CB">
        <w:rPr>
          <w:rFonts w:ascii="Bookman Old Style" w:eastAsia="Bookman Old Style" w:hAnsi="Bookman Old Style" w:cs="Bookman Old Style"/>
          <w:i/>
          <w:iCs/>
          <w:sz w:val="20"/>
          <w:szCs w:val="20"/>
        </w:rPr>
        <w:t>s</w:t>
      </w:r>
      <w:r w:rsidRPr="00963400">
        <w:rPr>
          <w:rFonts w:ascii="Bookman Old Style" w:hAnsi="Bookman Old Style" w:cs="Arial"/>
          <w:i/>
          <w:iCs/>
          <w:sz w:val="20"/>
          <w:szCs w:val="20"/>
        </w:rPr>
        <w:t xml:space="preserve">entó un Estudio de Conexión con varias alternativas, si no que se evalúo únicamente la opción de conectar </w:t>
      </w:r>
      <w:r w:rsidR="003A4D3A">
        <w:rPr>
          <w:rFonts w:ascii="Bookman Old Style" w:hAnsi="Bookman Old Style" w:cs="Arial"/>
          <w:i/>
          <w:iCs/>
          <w:sz w:val="20"/>
          <w:szCs w:val="20"/>
        </w:rPr>
        <w:t xml:space="preserve">el </w:t>
      </w:r>
      <w:r w:rsidRPr="00963400">
        <w:rPr>
          <w:rFonts w:ascii="Bookman Old Style" w:hAnsi="Bookman Old Style" w:cs="Arial"/>
          <w:i/>
          <w:iCs/>
          <w:sz w:val="20"/>
          <w:szCs w:val="20"/>
        </w:rPr>
        <w:t xml:space="preserve">proyecto solar Matakavi en la torre 117 de la línea de 34.5 kV a 200 metros de distancia; </w:t>
      </w:r>
      <w:r w:rsidR="00880093">
        <w:rPr>
          <w:rFonts w:ascii="Bookman Old Style" w:hAnsi="Bookman Old Style" w:cs="Arial"/>
          <w:i/>
          <w:iCs/>
          <w:sz w:val="20"/>
          <w:szCs w:val="20"/>
        </w:rPr>
        <w:t>e</w:t>
      </w:r>
      <w:r w:rsidR="00351CA0">
        <w:rPr>
          <w:rFonts w:ascii="Bookman Old Style" w:hAnsi="Bookman Old Style" w:cs="Arial"/>
          <w:i/>
          <w:iCs/>
          <w:sz w:val="20"/>
          <w:szCs w:val="20"/>
        </w:rPr>
        <w:t>l concepto d</w:t>
      </w:r>
      <w:r w:rsidR="003A0AC9" w:rsidRPr="003A0AC9">
        <w:rPr>
          <w:rFonts w:ascii="Bookman Old Style" w:hAnsi="Bookman Old Style" w:cs="Arial"/>
          <w:i/>
          <w:iCs/>
          <w:sz w:val="20"/>
          <w:szCs w:val="20"/>
        </w:rPr>
        <w:t>e GENSA S.A. ESP y su consultor se ha centrado exclusivamente en esta alternativa.</w:t>
      </w:r>
    </w:p>
    <w:p w14:paraId="5FA56817" w14:textId="77777777" w:rsidR="00880093" w:rsidRPr="003A0AC9" w:rsidRDefault="00880093" w:rsidP="008063BF">
      <w:pPr>
        <w:ind w:left="567"/>
        <w:contextualSpacing/>
        <w:jc w:val="both"/>
        <w:rPr>
          <w:rFonts w:ascii="Bookman Old Style" w:hAnsi="Bookman Old Style" w:cs="Arial"/>
          <w:i/>
          <w:iCs/>
          <w:sz w:val="20"/>
          <w:szCs w:val="20"/>
        </w:rPr>
      </w:pPr>
    </w:p>
    <w:p w14:paraId="06D5518F" w14:textId="4D7F2E0B" w:rsidR="003A0AC9" w:rsidRPr="003A0AC9" w:rsidRDefault="003A0AC9" w:rsidP="008063BF">
      <w:pPr>
        <w:ind w:left="567"/>
        <w:contextualSpacing/>
        <w:jc w:val="both"/>
        <w:rPr>
          <w:rFonts w:ascii="Bookman Old Style" w:hAnsi="Bookman Old Style" w:cs="Arial"/>
          <w:i/>
          <w:iCs/>
          <w:sz w:val="20"/>
          <w:szCs w:val="20"/>
        </w:rPr>
      </w:pPr>
      <w:r w:rsidRPr="003A0AC9">
        <w:rPr>
          <w:rFonts w:ascii="Bookman Old Style" w:hAnsi="Bookman Old Style" w:cs="Arial"/>
          <w:i/>
          <w:iCs/>
          <w:sz w:val="20"/>
          <w:szCs w:val="20"/>
        </w:rPr>
        <w:t xml:space="preserve">En estos términos, damos cumplimiento pleno a lo requerido por la CREG en el Auto </w:t>
      </w:r>
      <w:r w:rsidR="00375524">
        <w:rPr>
          <w:rFonts w:ascii="Bookman Old Style" w:hAnsi="Bookman Old Style" w:cs="Arial"/>
          <w:i/>
          <w:iCs/>
          <w:sz w:val="20"/>
          <w:szCs w:val="20"/>
        </w:rPr>
        <w:t>I</w:t>
      </w:r>
      <w:r w:rsidRPr="003A0AC9">
        <w:rPr>
          <w:rFonts w:ascii="Bookman Old Style" w:hAnsi="Bookman Old Style" w:cs="Arial"/>
          <w:i/>
          <w:iCs/>
          <w:sz w:val="20"/>
          <w:szCs w:val="20"/>
        </w:rPr>
        <w:t xml:space="preserve">-2021-002233, solicitando a la CREG que, dentro de la valoración del informe anexo, tenga en cuenta las observaciones planteadas por GENSA S.A. E.S.P. con relación a la necesidad de precisar en forma clara las condiciones que deben regir la conexión, en caso de que esta se imponga. </w:t>
      </w:r>
    </w:p>
    <w:p w14:paraId="39423B68" w14:textId="77777777" w:rsidR="00372D53" w:rsidRDefault="00372D53" w:rsidP="008063BF">
      <w:pPr>
        <w:ind w:left="567"/>
        <w:contextualSpacing/>
        <w:jc w:val="both"/>
        <w:rPr>
          <w:rFonts w:ascii="Bookman Old Style" w:hAnsi="Bookman Old Style" w:cs="Arial"/>
          <w:i/>
          <w:iCs/>
          <w:sz w:val="20"/>
          <w:szCs w:val="20"/>
        </w:rPr>
      </w:pPr>
    </w:p>
    <w:p w14:paraId="4A44A024" w14:textId="7B105FAB" w:rsidR="00AF1F58" w:rsidRPr="00196A20" w:rsidRDefault="003A0AC9" w:rsidP="008063BF">
      <w:pPr>
        <w:ind w:left="567"/>
        <w:contextualSpacing/>
        <w:jc w:val="both"/>
        <w:rPr>
          <w:rFonts w:ascii="Bookman Old Style" w:hAnsi="Bookman Old Style" w:cs="Arial"/>
          <w:sz w:val="20"/>
          <w:szCs w:val="20"/>
        </w:rPr>
      </w:pPr>
      <w:r w:rsidRPr="003A0AC9">
        <w:rPr>
          <w:rFonts w:ascii="Bookman Old Style" w:hAnsi="Bookman Old Style" w:cs="Arial"/>
          <w:i/>
          <w:iCs/>
          <w:sz w:val="20"/>
          <w:szCs w:val="20"/>
        </w:rPr>
        <w:t>Sin perjuicio de lo anterior, GENSA S.A. E.S.P. pide a la CREG tomar en cuenta que el concepto emitido por la empresa se allega en cumplimiento de la orden dada por la CREG como autoridad administrativa, pero en ningún caso puede homologarse al pronunciamiento que normalmente dan los operadores de red del Sistema Interconectado Nacional - SIN, ante estudios de conexión de nuevos proyectos de generación de energía.</w:t>
      </w:r>
      <w:r w:rsidR="00372D53">
        <w:rPr>
          <w:rFonts w:ascii="Bookman Old Style" w:hAnsi="Bookman Old Style" w:cs="Arial"/>
          <w:i/>
          <w:iCs/>
          <w:sz w:val="20"/>
          <w:szCs w:val="20"/>
        </w:rPr>
        <w:t xml:space="preserve"> (…)”</w:t>
      </w:r>
      <w:r w:rsidR="00AF1F58" w:rsidRPr="00050936">
        <w:rPr>
          <w:rFonts w:ascii="Bookman Old Style" w:hAnsi="Bookman Old Style" w:cs="Arial"/>
          <w:i/>
          <w:iCs/>
          <w:sz w:val="20"/>
          <w:szCs w:val="20"/>
        </w:rPr>
        <w:t>.</w:t>
      </w:r>
      <w:r w:rsidR="00196A20">
        <w:rPr>
          <w:rFonts w:ascii="Bookman Old Style" w:hAnsi="Bookman Old Style" w:cs="Arial"/>
          <w:sz w:val="20"/>
          <w:szCs w:val="20"/>
        </w:rPr>
        <w:t xml:space="preserve"> Resaltado y subrayado fuera de texto</w:t>
      </w:r>
    </w:p>
    <w:p w14:paraId="45C07399" w14:textId="77777777" w:rsidR="00AF1F58" w:rsidRDefault="00AF1F58" w:rsidP="00AF1F58">
      <w:pPr>
        <w:ind w:left="284"/>
        <w:contextualSpacing/>
        <w:jc w:val="both"/>
        <w:rPr>
          <w:rFonts w:ascii="Bookman Old Style" w:hAnsi="Bookman Old Style" w:cs="Arial"/>
        </w:rPr>
      </w:pPr>
    </w:p>
    <w:p w14:paraId="258A0E45" w14:textId="06DCED54" w:rsidR="00122AE4" w:rsidRDefault="00A9188C" w:rsidP="00AF1F58">
      <w:pPr>
        <w:ind w:left="284"/>
        <w:contextualSpacing/>
        <w:jc w:val="both"/>
        <w:rPr>
          <w:rFonts w:ascii="Bookman Old Style" w:hAnsi="Bookman Old Style" w:cs="Arial"/>
        </w:rPr>
      </w:pPr>
      <w:r>
        <w:rPr>
          <w:rFonts w:ascii="Bookman Old Style" w:hAnsi="Bookman Old Style" w:cs="Arial"/>
        </w:rPr>
        <w:t>GENSA</w:t>
      </w:r>
      <w:r w:rsidR="00943888">
        <w:rPr>
          <w:rFonts w:ascii="Bookman Old Style" w:hAnsi="Bookman Old Style" w:cs="Arial"/>
        </w:rPr>
        <w:t xml:space="preserve"> emite </w:t>
      </w:r>
      <w:r w:rsidR="00943888" w:rsidRPr="00943888">
        <w:rPr>
          <w:rFonts w:ascii="Bookman Old Style" w:hAnsi="Bookman Old Style" w:cs="Arial"/>
        </w:rPr>
        <w:t>concepto sobre la factibilidad técnica de la conexión</w:t>
      </w:r>
      <w:r w:rsidR="008063BF">
        <w:rPr>
          <w:rFonts w:ascii="Bookman Old Style" w:hAnsi="Bookman Old Style" w:cs="Arial"/>
        </w:rPr>
        <w:t>,</w:t>
      </w:r>
      <w:r w:rsidR="00943888" w:rsidRPr="00943888">
        <w:rPr>
          <w:rFonts w:ascii="Bookman Old Style" w:hAnsi="Bookman Old Style" w:cs="Arial"/>
        </w:rPr>
        <w:t xml:space="preserve"> </w:t>
      </w:r>
      <w:r w:rsidR="00DB2629">
        <w:rPr>
          <w:rFonts w:ascii="Bookman Old Style" w:hAnsi="Bookman Old Style" w:cs="Arial"/>
        </w:rPr>
        <w:t xml:space="preserve">en donde </w:t>
      </w:r>
      <w:r w:rsidR="00FA5329">
        <w:rPr>
          <w:rFonts w:ascii="Bookman Old Style" w:hAnsi="Bookman Old Style" w:cs="Arial"/>
        </w:rPr>
        <w:t xml:space="preserve">manifiesta que </w:t>
      </w:r>
      <w:r w:rsidR="00FA5329" w:rsidRPr="006C3FC0">
        <w:rPr>
          <w:rFonts w:ascii="Bookman Old Style" w:hAnsi="Bookman Old Style" w:cs="Arial"/>
          <w:i/>
          <w:iCs/>
        </w:rPr>
        <w:t>“</w:t>
      </w:r>
      <w:r w:rsidRPr="006C3FC0">
        <w:rPr>
          <w:rFonts w:ascii="Bookman Old Style" w:hAnsi="Bookman Old Style" w:cs="Arial"/>
          <w:i/>
          <w:iCs/>
        </w:rPr>
        <w:t>se estima que la conexión del proyecto resulta técnicamente viable, si y solo si, las anteriores observaciones son atendidas de manera plena en las etapas subsiguientes del proyecto</w:t>
      </w:r>
      <w:r w:rsidR="006C3FC0" w:rsidRPr="006C3FC0">
        <w:rPr>
          <w:rFonts w:ascii="Bookman Old Style" w:hAnsi="Bookman Old Style" w:cs="Arial"/>
          <w:i/>
          <w:iCs/>
        </w:rPr>
        <w:t>”</w:t>
      </w:r>
      <w:r w:rsidR="006C3FC0">
        <w:rPr>
          <w:rFonts w:ascii="Bookman Old Style" w:hAnsi="Bookman Old Style" w:cs="Arial"/>
        </w:rPr>
        <w:t>.</w:t>
      </w:r>
    </w:p>
    <w:p w14:paraId="3621A162" w14:textId="77777777" w:rsidR="00122AE4" w:rsidRDefault="00122AE4" w:rsidP="00AF1F58">
      <w:pPr>
        <w:ind w:left="284"/>
        <w:contextualSpacing/>
        <w:jc w:val="both"/>
        <w:rPr>
          <w:rFonts w:ascii="Bookman Old Style" w:hAnsi="Bookman Old Style" w:cs="Arial"/>
        </w:rPr>
      </w:pPr>
    </w:p>
    <w:p w14:paraId="05555B32" w14:textId="2D858F06" w:rsidR="002E5B85" w:rsidRDefault="005E4A1D" w:rsidP="00AF1F58">
      <w:pPr>
        <w:ind w:left="284"/>
        <w:contextualSpacing/>
        <w:jc w:val="both"/>
        <w:rPr>
          <w:rFonts w:ascii="Bookman Old Style" w:hAnsi="Bookman Old Style" w:cs="Arial"/>
        </w:rPr>
      </w:pPr>
      <w:r>
        <w:rPr>
          <w:rFonts w:ascii="Bookman Old Style" w:hAnsi="Bookman Old Style" w:cs="Arial"/>
        </w:rPr>
        <w:t>L</w:t>
      </w:r>
      <w:r w:rsidR="00122AE4">
        <w:rPr>
          <w:rFonts w:ascii="Bookman Old Style" w:hAnsi="Bookman Old Style" w:cs="Arial"/>
        </w:rPr>
        <w:t xml:space="preserve">as </w:t>
      </w:r>
      <w:r w:rsidR="000E0026">
        <w:rPr>
          <w:rFonts w:ascii="Bookman Old Style" w:hAnsi="Bookman Old Style" w:cs="Arial"/>
        </w:rPr>
        <w:t xml:space="preserve">observaciones </w:t>
      </w:r>
      <w:r w:rsidR="006407EA">
        <w:rPr>
          <w:rFonts w:ascii="Bookman Old Style" w:hAnsi="Bookman Old Style" w:cs="Arial"/>
        </w:rPr>
        <w:t xml:space="preserve">planteadas por </w:t>
      </w:r>
      <w:r w:rsidR="00122AE4">
        <w:rPr>
          <w:rFonts w:ascii="Bookman Old Style" w:hAnsi="Bookman Old Style" w:cs="Arial"/>
        </w:rPr>
        <w:t xml:space="preserve">GENSA </w:t>
      </w:r>
      <w:r w:rsidR="006407EA">
        <w:rPr>
          <w:rFonts w:ascii="Bookman Old Style" w:hAnsi="Bookman Old Style" w:cs="Arial"/>
        </w:rPr>
        <w:t xml:space="preserve">en su concepto, hacen referencia a: </w:t>
      </w:r>
      <w:r w:rsidR="00196A20">
        <w:rPr>
          <w:rFonts w:ascii="Bookman Old Style" w:hAnsi="Bookman Old Style" w:cs="Arial"/>
        </w:rPr>
        <w:t>i)</w:t>
      </w:r>
      <w:r w:rsidR="00A37334">
        <w:rPr>
          <w:rFonts w:ascii="Bookman Old Style" w:hAnsi="Bookman Old Style" w:cs="Arial"/>
        </w:rPr>
        <w:t xml:space="preserve"> </w:t>
      </w:r>
      <w:r w:rsidR="00653582">
        <w:rPr>
          <w:rFonts w:ascii="Bookman Old Style" w:hAnsi="Bookman Old Style" w:cs="Arial"/>
        </w:rPr>
        <w:t xml:space="preserve">la necesidad de </w:t>
      </w:r>
      <w:r w:rsidR="00A37334" w:rsidRPr="00A37334">
        <w:rPr>
          <w:rFonts w:ascii="Bookman Old Style" w:hAnsi="Bookman Old Style" w:cs="Arial"/>
        </w:rPr>
        <w:t xml:space="preserve">repotenciar la </w:t>
      </w:r>
      <w:r w:rsidR="00653582">
        <w:rPr>
          <w:rFonts w:ascii="Bookman Old Style" w:hAnsi="Bookman Old Style" w:cs="Arial"/>
        </w:rPr>
        <w:t>S</w:t>
      </w:r>
      <w:r w:rsidR="00A37334" w:rsidRPr="00A37334">
        <w:rPr>
          <w:rFonts w:ascii="Bookman Old Style" w:hAnsi="Bookman Old Style" w:cs="Arial"/>
        </w:rPr>
        <w:t>ubestación Mitú</w:t>
      </w:r>
      <w:r w:rsidR="00A37334">
        <w:rPr>
          <w:rFonts w:ascii="Bookman Old Style" w:hAnsi="Bookman Old Style" w:cs="Arial"/>
        </w:rPr>
        <w:t xml:space="preserve">; </w:t>
      </w:r>
      <w:r w:rsidR="00F51CF6">
        <w:rPr>
          <w:rFonts w:ascii="Bookman Old Style" w:hAnsi="Bookman Old Style" w:cs="Arial"/>
        </w:rPr>
        <w:t>ii)</w:t>
      </w:r>
      <w:r w:rsidR="00196A20">
        <w:rPr>
          <w:rFonts w:ascii="Bookman Old Style" w:hAnsi="Bookman Old Style" w:cs="Arial"/>
        </w:rPr>
        <w:t xml:space="preserve"> </w:t>
      </w:r>
      <w:r w:rsidR="00D746D4">
        <w:rPr>
          <w:rFonts w:ascii="Bookman Old Style" w:hAnsi="Bookman Old Style" w:cs="Arial"/>
        </w:rPr>
        <w:t xml:space="preserve">la ejecución de </w:t>
      </w:r>
      <w:r w:rsidR="00D746D4" w:rsidRPr="00D746D4">
        <w:rPr>
          <w:rFonts w:ascii="Bookman Old Style" w:hAnsi="Bookman Old Style" w:cs="Arial"/>
        </w:rPr>
        <w:t xml:space="preserve">las obras de conexión a la torre 117 de la línea de interconexión </w:t>
      </w:r>
      <w:r w:rsidR="00D746D4">
        <w:rPr>
          <w:rFonts w:ascii="Bookman Old Style" w:hAnsi="Bookman Old Style" w:cs="Arial"/>
        </w:rPr>
        <w:t>por parte de DUE</w:t>
      </w:r>
      <w:r w:rsidR="00196A20">
        <w:rPr>
          <w:rFonts w:ascii="Bookman Old Style" w:hAnsi="Bookman Old Style" w:cs="Arial"/>
        </w:rPr>
        <w:t>; ii</w:t>
      </w:r>
      <w:r w:rsidR="00F51CF6">
        <w:rPr>
          <w:rFonts w:ascii="Bookman Old Style" w:hAnsi="Bookman Old Style" w:cs="Arial"/>
        </w:rPr>
        <w:t>i</w:t>
      </w:r>
      <w:r w:rsidR="00196A20">
        <w:rPr>
          <w:rFonts w:ascii="Bookman Old Style" w:hAnsi="Bookman Old Style" w:cs="Arial"/>
        </w:rPr>
        <w:t xml:space="preserve">) </w:t>
      </w:r>
      <w:r w:rsidR="006407EA">
        <w:rPr>
          <w:rFonts w:ascii="Bookman Old Style" w:hAnsi="Bookman Old Style" w:cs="Arial"/>
        </w:rPr>
        <w:t xml:space="preserve">la necesidad de adelantar un estudio de coordinación de protecciones </w:t>
      </w:r>
      <w:r w:rsidR="00887A0F">
        <w:rPr>
          <w:rFonts w:ascii="Bookman Old Style" w:hAnsi="Bookman Old Style" w:cs="Arial"/>
        </w:rPr>
        <w:t>previo a la conexión del proyecto Matakavi</w:t>
      </w:r>
      <w:r w:rsidR="006407EA">
        <w:rPr>
          <w:rFonts w:ascii="Bookman Old Style" w:hAnsi="Bookman Old Style" w:cs="Arial"/>
        </w:rPr>
        <w:t>.</w:t>
      </w:r>
    </w:p>
    <w:p w14:paraId="0A03049B" w14:textId="77777777" w:rsidR="002E5B85" w:rsidRDefault="002E5B85" w:rsidP="00AF1F58">
      <w:pPr>
        <w:ind w:left="284"/>
        <w:contextualSpacing/>
        <w:jc w:val="both"/>
        <w:rPr>
          <w:rFonts w:ascii="Bookman Old Style" w:hAnsi="Bookman Old Style" w:cs="Arial"/>
        </w:rPr>
      </w:pPr>
    </w:p>
    <w:p w14:paraId="696A90F2" w14:textId="61008A55" w:rsidR="00653582" w:rsidRDefault="00217F84" w:rsidP="00AF1F58">
      <w:pPr>
        <w:ind w:left="284"/>
        <w:contextualSpacing/>
        <w:jc w:val="both"/>
        <w:rPr>
          <w:rFonts w:ascii="Bookman Old Style" w:hAnsi="Bookman Old Style" w:cs="Arial"/>
        </w:rPr>
      </w:pPr>
      <w:r>
        <w:rPr>
          <w:rFonts w:ascii="Bookman Old Style" w:hAnsi="Bookman Old Style" w:cs="Arial"/>
        </w:rPr>
        <w:t>Sobre el primero de los comentarios</w:t>
      </w:r>
      <w:r w:rsidR="00234A2E">
        <w:rPr>
          <w:rFonts w:ascii="Bookman Old Style" w:hAnsi="Bookman Old Style" w:cs="Arial"/>
        </w:rPr>
        <w:t>, se identifica que el mismo se enmarca en los términos en que se solicitó el concepto, en particular en hacer referencia y detallar las obras que fueran requeridas para hacer posible</w:t>
      </w:r>
      <w:r w:rsidR="00DF1BCB">
        <w:rPr>
          <w:rFonts w:ascii="Bookman Old Style" w:hAnsi="Bookman Old Style" w:cs="Arial"/>
        </w:rPr>
        <w:t xml:space="preserve"> la conexión:</w:t>
      </w:r>
    </w:p>
    <w:p w14:paraId="4D2AEEFE" w14:textId="77777777" w:rsidR="00B34E9C" w:rsidRDefault="00B34E9C" w:rsidP="00AF1F58">
      <w:pPr>
        <w:ind w:left="284"/>
        <w:contextualSpacing/>
        <w:jc w:val="both"/>
        <w:rPr>
          <w:rFonts w:ascii="Bookman Old Style" w:hAnsi="Bookman Old Style" w:cs="Arial"/>
        </w:rPr>
      </w:pPr>
    </w:p>
    <w:p w14:paraId="44663EF8" w14:textId="5D5C5A2A" w:rsidR="00B13CA1" w:rsidRDefault="00B13CA1" w:rsidP="00B9277B">
      <w:pPr>
        <w:ind w:left="567"/>
        <w:contextualSpacing/>
        <w:jc w:val="both"/>
        <w:rPr>
          <w:rFonts w:ascii="Bookman Old Style" w:hAnsi="Bookman Old Style" w:cs="Arial"/>
          <w:i/>
          <w:iCs/>
          <w:sz w:val="20"/>
          <w:szCs w:val="20"/>
        </w:rPr>
      </w:pPr>
      <w:r>
        <w:rPr>
          <w:rFonts w:ascii="Bookman Old Style" w:hAnsi="Bookman Old Style" w:cs="Arial"/>
          <w:i/>
          <w:iCs/>
          <w:sz w:val="20"/>
          <w:szCs w:val="20"/>
        </w:rPr>
        <w:t>“(…)</w:t>
      </w:r>
      <w:r w:rsidR="00344573">
        <w:rPr>
          <w:rFonts w:ascii="Bookman Old Style" w:hAnsi="Bookman Old Style" w:cs="Arial"/>
          <w:i/>
          <w:iCs/>
          <w:sz w:val="20"/>
          <w:szCs w:val="20"/>
        </w:rPr>
        <w:t xml:space="preserve"> </w:t>
      </w:r>
      <w:r w:rsidRPr="00703752">
        <w:rPr>
          <w:rFonts w:ascii="Bookman Old Style" w:hAnsi="Bookman Old Style" w:cs="Arial"/>
          <w:i/>
          <w:iCs/>
          <w:sz w:val="20"/>
          <w:szCs w:val="20"/>
        </w:rPr>
        <w:t>realice el análisis de los estudios y emita concepto</w:t>
      </w:r>
      <w:r>
        <w:rPr>
          <w:rFonts w:ascii="Bookman Old Style" w:hAnsi="Bookman Old Style" w:cs="Arial"/>
          <w:i/>
          <w:iCs/>
          <w:sz w:val="20"/>
          <w:szCs w:val="20"/>
        </w:rPr>
        <w:t xml:space="preserve"> </w:t>
      </w:r>
      <w:r w:rsidRPr="00703752">
        <w:rPr>
          <w:rFonts w:ascii="Bookman Old Style" w:hAnsi="Bookman Old Style" w:cs="Arial"/>
          <w:i/>
          <w:iCs/>
          <w:sz w:val="20"/>
          <w:szCs w:val="20"/>
        </w:rPr>
        <w:t xml:space="preserve">sobre la factibilidad técnica de la conexión, </w:t>
      </w:r>
      <w:r w:rsidR="00344573">
        <w:rPr>
          <w:rFonts w:ascii="Bookman Old Style" w:hAnsi="Bookman Old Style" w:cs="Arial"/>
          <w:i/>
          <w:iCs/>
          <w:sz w:val="20"/>
          <w:szCs w:val="20"/>
        </w:rPr>
        <w:t>(…)</w:t>
      </w:r>
    </w:p>
    <w:p w14:paraId="218A9493" w14:textId="77777777" w:rsidR="00B13CA1" w:rsidRPr="00703752" w:rsidRDefault="00B13CA1" w:rsidP="00B9277B">
      <w:pPr>
        <w:ind w:left="567"/>
        <w:contextualSpacing/>
        <w:jc w:val="both"/>
        <w:rPr>
          <w:rFonts w:ascii="Bookman Old Style" w:hAnsi="Bookman Old Style" w:cs="Arial"/>
          <w:i/>
          <w:iCs/>
          <w:sz w:val="20"/>
          <w:szCs w:val="20"/>
        </w:rPr>
      </w:pPr>
    </w:p>
    <w:p w14:paraId="5C729521" w14:textId="6CF8AEE9" w:rsidR="00B13CA1" w:rsidRPr="00703752" w:rsidRDefault="00B13CA1" w:rsidP="00B9277B">
      <w:pPr>
        <w:ind w:left="567"/>
        <w:contextualSpacing/>
        <w:jc w:val="both"/>
        <w:rPr>
          <w:rFonts w:ascii="Bookman Old Style" w:hAnsi="Bookman Old Style" w:cs="Arial"/>
          <w:i/>
          <w:iCs/>
          <w:sz w:val="20"/>
          <w:szCs w:val="20"/>
        </w:rPr>
      </w:pPr>
      <w:r w:rsidRPr="00703752">
        <w:rPr>
          <w:rFonts w:ascii="Bookman Old Style" w:hAnsi="Bookman Old Style" w:cs="Arial"/>
          <w:i/>
          <w:iCs/>
          <w:sz w:val="20"/>
          <w:szCs w:val="20"/>
        </w:rPr>
        <w:t>En caso de que la conexión no fuera factible, GENSA S.A. E.S.P.</w:t>
      </w:r>
      <w:r w:rsidR="00344573">
        <w:rPr>
          <w:rFonts w:ascii="Bookman Old Style" w:hAnsi="Bookman Old Style" w:cs="Arial"/>
          <w:i/>
          <w:iCs/>
          <w:sz w:val="20"/>
          <w:szCs w:val="20"/>
        </w:rPr>
        <w:t xml:space="preserve"> </w:t>
      </w:r>
      <w:r w:rsidRPr="00703752">
        <w:rPr>
          <w:rFonts w:ascii="Bookman Old Style" w:hAnsi="Bookman Old Style" w:cs="Arial"/>
          <w:i/>
          <w:iCs/>
          <w:sz w:val="20"/>
          <w:szCs w:val="20"/>
        </w:rPr>
        <w:t>deberá justificar técnicamente las causas, especificando el fundamento normativo o</w:t>
      </w:r>
      <w:r>
        <w:rPr>
          <w:rFonts w:ascii="Bookman Old Style" w:hAnsi="Bookman Old Style" w:cs="Arial"/>
          <w:i/>
          <w:iCs/>
          <w:sz w:val="20"/>
          <w:szCs w:val="20"/>
        </w:rPr>
        <w:t xml:space="preserve"> </w:t>
      </w:r>
      <w:r w:rsidRPr="00703752">
        <w:rPr>
          <w:rFonts w:ascii="Bookman Old Style" w:hAnsi="Bookman Old Style" w:cs="Arial"/>
          <w:i/>
          <w:iCs/>
          <w:sz w:val="20"/>
          <w:szCs w:val="20"/>
        </w:rPr>
        <w:t>técnico que lo soporte, indicando con precisión los requisitos que deben ser cumplidos</w:t>
      </w:r>
      <w:r>
        <w:rPr>
          <w:rFonts w:ascii="Bookman Old Style" w:hAnsi="Bookman Old Style" w:cs="Arial"/>
          <w:i/>
          <w:iCs/>
          <w:sz w:val="20"/>
          <w:szCs w:val="20"/>
        </w:rPr>
        <w:t xml:space="preserve"> </w:t>
      </w:r>
      <w:r w:rsidRPr="00703752">
        <w:rPr>
          <w:rFonts w:ascii="Bookman Old Style" w:hAnsi="Bookman Old Style" w:cs="Arial"/>
          <w:i/>
          <w:iCs/>
          <w:sz w:val="20"/>
          <w:szCs w:val="20"/>
        </w:rPr>
        <w:t xml:space="preserve">para que la conexión sea factible, </w:t>
      </w:r>
      <w:r w:rsidRPr="00822AEF">
        <w:rPr>
          <w:rFonts w:ascii="Bookman Old Style" w:hAnsi="Bookman Old Style" w:cs="Arial"/>
          <w:b/>
          <w:bCs/>
          <w:i/>
          <w:iCs/>
          <w:sz w:val="20"/>
          <w:szCs w:val="20"/>
          <w:u w:val="single"/>
        </w:rPr>
        <w:t>o detallar las obras requeridas para hacerla posible</w:t>
      </w:r>
      <w:r w:rsidRPr="00703752">
        <w:rPr>
          <w:rFonts w:ascii="Bookman Old Style" w:hAnsi="Bookman Old Style" w:cs="Arial"/>
          <w:i/>
          <w:iCs/>
          <w:sz w:val="20"/>
          <w:szCs w:val="20"/>
        </w:rPr>
        <w:t>.</w:t>
      </w:r>
      <w:r>
        <w:rPr>
          <w:rFonts w:ascii="Bookman Old Style" w:hAnsi="Bookman Old Style" w:cs="Arial"/>
          <w:i/>
          <w:iCs/>
          <w:sz w:val="20"/>
          <w:szCs w:val="20"/>
        </w:rPr>
        <w:t xml:space="preserve"> (…)”</w:t>
      </w:r>
    </w:p>
    <w:p w14:paraId="4DFB7FE4" w14:textId="77777777" w:rsidR="00B13CA1" w:rsidRDefault="00B13CA1" w:rsidP="00AF1F58">
      <w:pPr>
        <w:ind w:left="284"/>
        <w:contextualSpacing/>
        <w:jc w:val="both"/>
        <w:rPr>
          <w:rFonts w:ascii="Bookman Old Style" w:hAnsi="Bookman Old Style" w:cs="Arial"/>
        </w:rPr>
      </w:pPr>
    </w:p>
    <w:p w14:paraId="05FB56FB" w14:textId="281EAAFB" w:rsidR="00072E33" w:rsidRDefault="00B24EBB" w:rsidP="005D15B3">
      <w:pPr>
        <w:ind w:left="284"/>
        <w:contextualSpacing/>
        <w:jc w:val="both"/>
        <w:rPr>
          <w:rFonts w:ascii="Bookman Old Style" w:eastAsia="MS Mincho" w:hAnsi="Bookman Old Style" w:cs="Arial"/>
          <w:lang w:val="es-CO"/>
        </w:rPr>
      </w:pPr>
      <w:r>
        <w:rPr>
          <w:rFonts w:ascii="Bookman Old Style" w:hAnsi="Bookman Old Style" w:cs="Arial"/>
        </w:rPr>
        <w:t>De esta forma</w:t>
      </w:r>
      <w:r w:rsidR="00B9277B">
        <w:rPr>
          <w:rFonts w:ascii="Bookman Old Style" w:hAnsi="Bookman Old Style" w:cs="Arial"/>
        </w:rPr>
        <w:t>,</w:t>
      </w:r>
      <w:r>
        <w:rPr>
          <w:rFonts w:ascii="Bookman Old Style" w:hAnsi="Bookman Old Style" w:cs="Arial"/>
        </w:rPr>
        <w:t xml:space="preserve"> </w:t>
      </w:r>
      <w:r w:rsidR="00DF1BCB">
        <w:rPr>
          <w:rFonts w:ascii="Bookman Old Style" w:hAnsi="Bookman Old Style" w:cs="Arial"/>
        </w:rPr>
        <w:t xml:space="preserve">y </w:t>
      </w:r>
      <w:r w:rsidR="00072E33">
        <w:rPr>
          <w:rFonts w:ascii="Bookman Old Style" w:hAnsi="Bookman Old Style" w:cs="Arial"/>
        </w:rPr>
        <w:t xml:space="preserve">atendiendo </w:t>
      </w:r>
      <w:r w:rsidR="005D15B3">
        <w:rPr>
          <w:rFonts w:ascii="Bookman Old Style" w:hAnsi="Bookman Old Style" w:cs="Arial"/>
        </w:rPr>
        <w:t xml:space="preserve">las </w:t>
      </w:r>
      <w:r w:rsidR="00072E33">
        <w:rPr>
          <w:rFonts w:ascii="Bookman Old Style" w:eastAsia="MS Mincho" w:hAnsi="Bookman Old Style" w:cs="Arial"/>
          <w:lang w:val="es-CO"/>
        </w:rPr>
        <w:t>obligaciones dad</w:t>
      </w:r>
      <w:r w:rsidR="005D15B3">
        <w:rPr>
          <w:rFonts w:ascii="Bookman Old Style" w:eastAsia="MS Mincho" w:hAnsi="Bookman Old Style" w:cs="Arial"/>
          <w:lang w:val="es-CO"/>
        </w:rPr>
        <w:t>a</w:t>
      </w:r>
      <w:r w:rsidR="00072E33">
        <w:rPr>
          <w:rFonts w:ascii="Bookman Old Style" w:eastAsia="MS Mincho" w:hAnsi="Bookman Old Style" w:cs="Arial"/>
          <w:lang w:val="es-CO"/>
        </w:rPr>
        <w:t xml:space="preserve">s </w:t>
      </w:r>
      <w:r w:rsidR="005D15B3">
        <w:rPr>
          <w:rFonts w:ascii="Bookman Old Style" w:eastAsia="MS Mincho" w:hAnsi="Bookman Old Style" w:cs="Arial"/>
          <w:lang w:val="es-CO"/>
        </w:rPr>
        <w:t>a las entidades que prest</w:t>
      </w:r>
      <w:r w:rsidR="006A1777">
        <w:rPr>
          <w:rFonts w:ascii="Bookman Old Style" w:eastAsia="MS Mincho" w:hAnsi="Bookman Old Style" w:cs="Arial"/>
          <w:lang w:val="es-CO"/>
        </w:rPr>
        <w:t>a</w:t>
      </w:r>
      <w:r w:rsidR="005D15B3">
        <w:rPr>
          <w:rFonts w:ascii="Bookman Old Style" w:eastAsia="MS Mincho" w:hAnsi="Bookman Old Style" w:cs="Arial"/>
          <w:lang w:val="es-CO"/>
        </w:rPr>
        <w:t>n servicios públicos</w:t>
      </w:r>
      <w:r w:rsidR="004156A1">
        <w:rPr>
          <w:rFonts w:ascii="Bookman Old Style" w:eastAsia="MS Mincho" w:hAnsi="Bookman Old Style" w:cs="Arial"/>
          <w:lang w:val="es-CO"/>
        </w:rPr>
        <w:t xml:space="preserve"> </w:t>
      </w:r>
      <w:r w:rsidR="00072E33">
        <w:rPr>
          <w:rFonts w:ascii="Bookman Old Style" w:eastAsia="MS Mincho" w:hAnsi="Bookman Old Style" w:cs="Arial"/>
          <w:lang w:val="es-CO"/>
        </w:rPr>
        <w:t xml:space="preserve">en la ley 142 de 1994, </w:t>
      </w:r>
      <w:r w:rsidR="005D15B3">
        <w:rPr>
          <w:rFonts w:ascii="Bookman Old Style" w:eastAsia="MS Mincho" w:hAnsi="Bookman Old Style" w:cs="Arial"/>
          <w:lang w:val="es-CO"/>
        </w:rPr>
        <w:t>artículos 11 y 34, citados anteriormente</w:t>
      </w:r>
      <w:r w:rsidR="006A1777">
        <w:rPr>
          <w:rFonts w:ascii="Bookman Old Style" w:eastAsia="MS Mincho" w:hAnsi="Bookman Old Style" w:cs="Arial"/>
          <w:lang w:val="es-CO"/>
        </w:rPr>
        <w:t>,</w:t>
      </w:r>
      <w:r w:rsidR="005D15B3">
        <w:rPr>
          <w:rFonts w:ascii="Bookman Old Style" w:eastAsia="MS Mincho" w:hAnsi="Bookman Old Style" w:cs="Arial"/>
          <w:lang w:val="es-CO"/>
        </w:rPr>
        <w:t xml:space="preserve"> </w:t>
      </w:r>
      <w:r w:rsidR="004156A1">
        <w:rPr>
          <w:rFonts w:ascii="Bookman Old Style" w:eastAsia="MS Mincho" w:hAnsi="Bookman Old Style" w:cs="Arial"/>
          <w:lang w:val="es-CO"/>
        </w:rPr>
        <w:t>se entiende la disposición de GENSA a facilitar el desarrollo de las obras que ella misma</w:t>
      </w:r>
      <w:r w:rsidR="00767426">
        <w:rPr>
          <w:rFonts w:ascii="Bookman Old Style" w:eastAsia="MS Mincho" w:hAnsi="Bookman Old Style" w:cs="Arial"/>
          <w:lang w:val="es-CO"/>
        </w:rPr>
        <w:t xml:space="preserve"> impone como requisito para hacer viable la conexión, en el caso en que sean </w:t>
      </w:r>
      <w:r w:rsidR="00FA4C2C">
        <w:rPr>
          <w:rFonts w:ascii="Bookman Old Style" w:eastAsia="MS Mincho" w:hAnsi="Bookman Old Style" w:cs="Arial"/>
          <w:lang w:val="es-CO"/>
        </w:rPr>
        <w:t>desarrolladas por un tercero.</w:t>
      </w:r>
      <w:r w:rsidR="007F18AF">
        <w:rPr>
          <w:rFonts w:ascii="Bookman Old Style" w:eastAsia="MS Mincho" w:hAnsi="Bookman Old Style" w:cs="Arial"/>
          <w:lang w:val="es-CO"/>
        </w:rPr>
        <w:t xml:space="preserve"> Es</w:t>
      </w:r>
      <w:r w:rsidR="00B37CFC">
        <w:rPr>
          <w:rFonts w:ascii="Bookman Old Style" w:eastAsia="MS Mincho" w:hAnsi="Bookman Old Style" w:cs="Arial"/>
          <w:lang w:val="es-CO"/>
        </w:rPr>
        <w:t xml:space="preserve">to también es aplicable a la ejecución de las obras mencionadas en el segundo de los numerales, entendiéndose adicionalmente que será del interés de quien tiene un proyecto de generación </w:t>
      </w:r>
      <w:r w:rsidR="00C82D75">
        <w:rPr>
          <w:rFonts w:ascii="Bookman Old Style" w:eastAsia="MS Mincho" w:hAnsi="Bookman Old Style" w:cs="Arial"/>
          <w:lang w:val="es-CO"/>
        </w:rPr>
        <w:t>acometerlas.</w:t>
      </w:r>
    </w:p>
    <w:p w14:paraId="749F9BBD" w14:textId="77777777" w:rsidR="00E815D7" w:rsidRDefault="00E815D7" w:rsidP="00E815D7">
      <w:pPr>
        <w:ind w:left="284"/>
        <w:contextualSpacing/>
        <w:jc w:val="both"/>
        <w:rPr>
          <w:rFonts w:ascii="Bookman Old Style" w:hAnsi="Bookman Old Style" w:cs="Arial"/>
        </w:rPr>
      </w:pPr>
    </w:p>
    <w:p w14:paraId="3FFFD8FD" w14:textId="3B922012" w:rsidR="000C1A12" w:rsidRDefault="00B24EBB" w:rsidP="00072E33">
      <w:pPr>
        <w:ind w:left="284"/>
        <w:contextualSpacing/>
        <w:jc w:val="both"/>
        <w:rPr>
          <w:rFonts w:ascii="Bookman Old Style" w:eastAsia="MS Mincho" w:hAnsi="Bookman Old Style" w:cs="Arial"/>
          <w:lang w:val="es-CO"/>
        </w:rPr>
      </w:pPr>
      <w:r>
        <w:rPr>
          <w:rFonts w:ascii="Bookman Old Style" w:hAnsi="Bookman Old Style" w:cs="Arial"/>
        </w:rPr>
        <w:t xml:space="preserve">En ese </w:t>
      </w:r>
      <w:r w:rsidR="00223FDF">
        <w:rPr>
          <w:rFonts w:ascii="Bookman Old Style" w:hAnsi="Bookman Old Style" w:cs="Arial"/>
        </w:rPr>
        <w:t xml:space="preserve">mismo sentido, en </w:t>
      </w:r>
      <w:r w:rsidR="00E815D7">
        <w:rPr>
          <w:rFonts w:ascii="Bookman Old Style" w:hAnsi="Bookman Old Style" w:cs="Arial"/>
        </w:rPr>
        <w:t xml:space="preserve">Resolución CREG 080 de 2019, </w:t>
      </w:r>
      <w:r w:rsidR="00E815D7" w:rsidRPr="00313E3B">
        <w:rPr>
          <w:rFonts w:ascii="Bookman Old Style" w:hAnsi="Bookman Old Style" w:cs="Arial"/>
          <w:i/>
          <w:iCs/>
        </w:rPr>
        <w:t>“Por la cual se establecen reglas generales de comportamiento de mercado para los agentes que desarrollen las actividades de los servicios públicos domiciliarios de energía eléctrica y gas combustible”</w:t>
      </w:r>
      <w:r w:rsidR="00E815D7">
        <w:rPr>
          <w:rFonts w:ascii="Bookman Old Style" w:hAnsi="Bookman Old Style" w:cs="Arial"/>
        </w:rPr>
        <w:t xml:space="preserve">, </w:t>
      </w:r>
      <w:r w:rsidR="00223FDF">
        <w:rPr>
          <w:rFonts w:ascii="Bookman Old Style" w:hAnsi="Bookman Old Style" w:cs="Arial"/>
        </w:rPr>
        <w:t>se dispuso:</w:t>
      </w:r>
    </w:p>
    <w:p w14:paraId="11BA47D9" w14:textId="77777777" w:rsidR="000C1A12" w:rsidRPr="000C1A12" w:rsidRDefault="000C1A12" w:rsidP="000C1A12">
      <w:pPr>
        <w:ind w:left="284"/>
        <w:contextualSpacing/>
        <w:jc w:val="both"/>
        <w:rPr>
          <w:rFonts w:ascii="Bookman Old Style" w:eastAsia="MS Mincho" w:hAnsi="Bookman Old Style" w:cs="Arial"/>
          <w:lang w:val="es-CO"/>
        </w:rPr>
      </w:pPr>
    </w:p>
    <w:p w14:paraId="3263191D" w14:textId="5CD57B27" w:rsidR="000C1A12" w:rsidRPr="000C1A12" w:rsidRDefault="009D628C"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0C1A12" w:rsidRPr="000C1A12">
        <w:rPr>
          <w:rFonts w:ascii="Bookman Old Style" w:eastAsia="MS Mincho" w:hAnsi="Bookman Old Style" w:cs="Arial"/>
          <w:i/>
          <w:iCs/>
          <w:sz w:val="20"/>
          <w:szCs w:val="20"/>
          <w:lang w:val="es-CO"/>
        </w:rPr>
        <w:t>ARTÍCULO 3. Definiciones. Para interpretar y aplicar esta regulación se tendrán en cuenta las siguientes definiciones</w:t>
      </w:r>
    </w:p>
    <w:p w14:paraId="1EC739BD" w14:textId="77777777" w:rsidR="000C1A12" w:rsidRPr="000C1A12" w:rsidRDefault="000C1A12" w:rsidP="00B9277B">
      <w:pPr>
        <w:ind w:left="567"/>
        <w:contextualSpacing/>
        <w:jc w:val="both"/>
        <w:rPr>
          <w:rFonts w:ascii="Bookman Old Style" w:eastAsia="MS Mincho" w:hAnsi="Bookman Old Style" w:cs="Arial"/>
          <w:i/>
          <w:iCs/>
          <w:sz w:val="20"/>
          <w:szCs w:val="20"/>
          <w:lang w:val="es-CO"/>
        </w:rPr>
      </w:pPr>
    </w:p>
    <w:p w14:paraId="5BFED715" w14:textId="515CD345" w:rsidR="000C1A12" w:rsidRDefault="000C1A12" w:rsidP="00B9277B">
      <w:pPr>
        <w:ind w:left="567"/>
        <w:contextualSpacing/>
        <w:jc w:val="both"/>
        <w:rPr>
          <w:rFonts w:ascii="Bookman Old Style" w:eastAsia="MS Mincho" w:hAnsi="Bookman Old Style" w:cs="Arial"/>
          <w:i/>
          <w:iCs/>
          <w:sz w:val="20"/>
          <w:szCs w:val="20"/>
          <w:lang w:val="es-CO"/>
        </w:rPr>
      </w:pPr>
      <w:r w:rsidRPr="000C1A12">
        <w:rPr>
          <w:rFonts w:ascii="Bookman Old Style" w:eastAsia="MS Mincho" w:hAnsi="Bookman Old Style" w:cs="Arial"/>
          <w:i/>
          <w:iCs/>
          <w:sz w:val="20"/>
          <w:szCs w:val="20"/>
          <w:lang w:val="es-CO"/>
        </w:rPr>
        <w:t xml:space="preserve">3.1. </w:t>
      </w:r>
      <w:r w:rsidRPr="00AD7E33">
        <w:rPr>
          <w:rFonts w:ascii="Bookman Old Style" w:eastAsia="MS Mincho" w:hAnsi="Bookman Old Style" w:cs="Arial"/>
          <w:b/>
          <w:bCs/>
          <w:i/>
          <w:iCs/>
          <w:sz w:val="20"/>
          <w:szCs w:val="20"/>
          <w:u w:val="single"/>
          <w:lang w:val="es-CO"/>
        </w:rPr>
        <w:t>Bienes esenciales empleados para la organización y prestación de los servicios.</w:t>
      </w:r>
      <w:r w:rsidRPr="000C1A12">
        <w:rPr>
          <w:rFonts w:ascii="Bookman Old Style" w:eastAsia="MS Mincho" w:hAnsi="Bookman Old Style" w:cs="Arial"/>
          <w:i/>
          <w:iCs/>
          <w:sz w:val="20"/>
          <w:szCs w:val="20"/>
          <w:lang w:val="es-CO"/>
        </w:rPr>
        <w:t xml:space="preserve"> En los términos de esta resolución, son los bienes tangibles e intangibles que: (i) se usan en la organización y prestación de los servicios públicos domiciliarios de energía eléctrica o gas combustible; (ii) no son susceptibles de ser replicados ni sustituidos de manera rentable debido a restricciones técnicas, geográficas, físicas o legales; y (iii) son necesarios para atender a los usuarios o para permitir que los agentes desarrollen una o más actividades de las cadenas de valor de las que trata esta resolución.</w:t>
      </w:r>
      <w:r w:rsidR="009D628C">
        <w:rPr>
          <w:rFonts w:ascii="Bookman Old Style" w:eastAsia="MS Mincho" w:hAnsi="Bookman Old Style" w:cs="Arial"/>
          <w:i/>
          <w:iCs/>
          <w:sz w:val="20"/>
          <w:szCs w:val="20"/>
          <w:lang w:val="es-CO"/>
        </w:rPr>
        <w:t xml:space="preserve"> (…)</w:t>
      </w:r>
    </w:p>
    <w:p w14:paraId="642153BD" w14:textId="77777777" w:rsidR="00EE3D90" w:rsidRPr="00EE3D90" w:rsidRDefault="00EE3D90" w:rsidP="00B9277B">
      <w:pPr>
        <w:ind w:left="567"/>
        <w:contextualSpacing/>
        <w:jc w:val="both"/>
        <w:rPr>
          <w:rFonts w:ascii="Bookman Old Style" w:eastAsia="MS Mincho" w:hAnsi="Bookman Old Style" w:cs="Arial"/>
          <w:i/>
          <w:iCs/>
          <w:sz w:val="20"/>
          <w:szCs w:val="20"/>
          <w:lang w:val="es-CO"/>
        </w:rPr>
      </w:pPr>
    </w:p>
    <w:p w14:paraId="6D965FA3" w14:textId="77777777" w:rsidR="00EE3D90" w:rsidRPr="00EE3D90" w:rsidRDefault="00EE3D90" w:rsidP="00B9277B">
      <w:pPr>
        <w:ind w:left="567"/>
        <w:contextualSpacing/>
        <w:jc w:val="both"/>
        <w:rPr>
          <w:rFonts w:ascii="Bookman Old Style" w:eastAsia="MS Mincho" w:hAnsi="Bookman Old Style" w:cs="Arial"/>
          <w:i/>
          <w:iCs/>
          <w:sz w:val="20"/>
          <w:szCs w:val="20"/>
          <w:lang w:val="es-CO"/>
        </w:rPr>
      </w:pPr>
      <w:r w:rsidRPr="00EE3D90">
        <w:rPr>
          <w:rFonts w:ascii="Bookman Old Style" w:eastAsia="MS Mincho" w:hAnsi="Bookman Old Style" w:cs="Arial"/>
          <w:i/>
          <w:iCs/>
          <w:sz w:val="20"/>
          <w:szCs w:val="20"/>
          <w:lang w:val="es-CO"/>
        </w:rPr>
        <w:t>ARTÍCULO 16</w:t>
      </w:r>
      <w:r w:rsidRPr="00DB6CC1">
        <w:rPr>
          <w:rFonts w:ascii="Bookman Old Style" w:eastAsia="MS Mincho" w:hAnsi="Bookman Old Style" w:cs="Arial"/>
          <w:i/>
          <w:iCs/>
          <w:sz w:val="20"/>
          <w:szCs w:val="20"/>
          <w:lang w:val="es-CO"/>
        </w:rPr>
        <w:t xml:space="preserve">. </w:t>
      </w:r>
      <w:r w:rsidRPr="001A4893">
        <w:rPr>
          <w:rFonts w:ascii="Bookman Old Style" w:eastAsia="MS Mincho" w:hAnsi="Bookman Old Style" w:cs="Arial"/>
          <w:b/>
          <w:bCs/>
          <w:i/>
          <w:iCs/>
          <w:sz w:val="20"/>
          <w:szCs w:val="20"/>
          <w:u w:val="single"/>
          <w:lang w:val="es-CO"/>
        </w:rPr>
        <w:t>Libre acceso a bienes esenciales empleados para la organización y prestación de los servicios. Los agentes mencionados en el artículo 2 de esta resolución deben permitir el acceso</w:t>
      </w:r>
      <w:r w:rsidRPr="00EE3D90">
        <w:rPr>
          <w:rFonts w:ascii="Bookman Old Style" w:eastAsia="MS Mincho" w:hAnsi="Bookman Old Style" w:cs="Arial"/>
          <w:i/>
          <w:iCs/>
          <w:sz w:val="20"/>
          <w:szCs w:val="20"/>
          <w:lang w:val="es-CO"/>
        </w:rPr>
        <w:t xml:space="preserve"> y la movilidad dentro de los bienes esenciales empleados para la organización y prestación de los servicios </w:t>
      </w:r>
      <w:r w:rsidRPr="001A4893">
        <w:rPr>
          <w:rFonts w:ascii="Bookman Old Style" w:eastAsia="MS Mincho" w:hAnsi="Bookman Old Style" w:cs="Arial"/>
          <w:b/>
          <w:bCs/>
          <w:i/>
          <w:iCs/>
          <w:sz w:val="20"/>
          <w:szCs w:val="20"/>
          <w:u w:val="single"/>
          <w:lang w:val="es-CO"/>
        </w:rPr>
        <w:t>a quienes lo soliciten</w:t>
      </w:r>
      <w:r w:rsidRPr="00EE3D90">
        <w:rPr>
          <w:rFonts w:ascii="Bookman Old Style" w:eastAsia="MS Mincho" w:hAnsi="Bookman Old Style" w:cs="Arial"/>
          <w:i/>
          <w:iCs/>
          <w:sz w:val="20"/>
          <w:szCs w:val="20"/>
          <w:lang w:val="es-CO"/>
        </w:rPr>
        <w:t>, en condiciones razonables para los involucrados y en concordancia con los requisitos previstos en la regulación.</w:t>
      </w:r>
    </w:p>
    <w:p w14:paraId="3CDFD239" w14:textId="77777777" w:rsidR="00EE3D90" w:rsidRPr="00EE3D90" w:rsidRDefault="00EE3D90" w:rsidP="00B9277B">
      <w:pPr>
        <w:ind w:left="567"/>
        <w:contextualSpacing/>
        <w:jc w:val="both"/>
        <w:rPr>
          <w:rFonts w:ascii="Bookman Old Style" w:eastAsia="MS Mincho" w:hAnsi="Bookman Old Style" w:cs="Arial"/>
          <w:i/>
          <w:iCs/>
          <w:sz w:val="20"/>
          <w:szCs w:val="20"/>
          <w:lang w:val="es-CO"/>
        </w:rPr>
      </w:pPr>
    </w:p>
    <w:p w14:paraId="71909EA9" w14:textId="77777777" w:rsidR="00EE3D90" w:rsidRPr="00EE3D90" w:rsidRDefault="00EE3D90" w:rsidP="00B9277B">
      <w:pPr>
        <w:ind w:left="567"/>
        <w:contextualSpacing/>
        <w:jc w:val="both"/>
        <w:rPr>
          <w:rFonts w:ascii="Bookman Old Style" w:eastAsia="MS Mincho" w:hAnsi="Bookman Old Style" w:cs="Arial"/>
          <w:i/>
          <w:iCs/>
          <w:sz w:val="20"/>
          <w:szCs w:val="20"/>
          <w:lang w:val="es-CO"/>
        </w:rPr>
      </w:pPr>
      <w:r w:rsidRPr="00C262F6">
        <w:rPr>
          <w:rFonts w:ascii="Bookman Old Style" w:eastAsia="MS Mincho" w:hAnsi="Bookman Old Style" w:cs="Arial"/>
          <w:b/>
          <w:bCs/>
          <w:i/>
          <w:iCs/>
          <w:sz w:val="20"/>
          <w:szCs w:val="20"/>
          <w:u w:val="single"/>
          <w:lang w:val="es-CO"/>
        </w:rPr>
        <w:t>Para esto, los agentes deben</w:t>
      </w:r>
      <w:r w:rsidRPr="00EE3D90">
        <w:rPr>
          <w:rFonts w:ascii="Bookman Old Style" w:eastAsia="MS Mincho" w:hAnsi="Bookman Old Style" w:cs="Arial"/>
          <w:i/>
          <w:iCs/>
          <w:sz w:val="20"/>
          <w:szCs w:val="20"/>
          <w:lang w:val="es-CO"/>
        </w:rPr>
        <w:t>:</w:t>
      </w:r>
    </w:p>
    <w:p w14:paraId="54239DF3" w14:textId="77777777" w:rsidR="00EE3D90" w:rsidRPr="00EE3D90" w:rsidRDefault="00EE3D90" w:rsidP="00B9277B">
      <w:pPr>
        <w:ind w:left="567"/>
        <w:contextualSpacing/>
        <w:jc w:val="both"/>
        <w:rPr>
          <w:rFonts w:ascii="Bookman Old Style" w:eastAsia="MS Mincho" w:hAnsi="Bookman Old Style" w:cs="Arial"/>
          <w:i/>
          <w:iCs/>
          <w:sz w:val="20"/>
          <w:szCs w:val="20"/>
          <w:lang w:val="es-CO"/>
        </w:rPr>
      </w:pPr>
    </w:p>
    <w:p w14:paraId="756F441F" w14:textId="706A33AB" w:rsidR="00EE3D90" w:rsidRPr="00EE3D90" w:rsidRDefault="00EE3D90" w:rsidP="00B9277B">
      <w:pPr>
        <w:ind w:left="567"/>
        <w:contextualSpacing/>
        <w:jc w:val="both"/>
        <w:rPr>
          <w:rFonts w:ascii="Bookman Old Style" w:eastAsia="MS Mincho" w:hAnsi="Bookman Old Style" w:cs="Arial"/>
          <w:i/>
          <w:iCs/>
          <w:sz w:val="20"/>
          <w:szCs w:val="20"/>
          <w:lang w:val="es-CO"/>
        </w:rPr>
      </w:pPr>
      <w:r w:rsidRPr="00EE3D90">
        <w:rPr>
          <w:rFonts w:ascii="Bookman Old Style" w:eastAsia="MS Mincho" w:hAnsi="Bookman Old Style" w:cs="Arial"/>
          <w:i/>
          <w:iCs/>
          <w:sz w:val="20"/>
          <w:szCs w:val="20"/>
          <w:lang w:val="es-CO"/>
        </w:rPr>
        <w:t>16.1.</w:t>
      </w:r>
      <w:r w:rsidRPr="00EE3D90">
        <w:rPr>
          <w:rFonts w:ascii="Bookman Old Style" w:eastAsia="MS Mincho" w:hAnsi="Bookman Old Style" w:cs="Arial"/>
          <w:i/>
          <w:iCs/>
          <w:sz w:val="20"/>
          <w:szCs w:val="20"/>
          <w:lang w:val="es-CO"/>
        </w:rPr>
        <w:tab/>
      </w:r>
      <w:r w:rsidRPr="001346F8">
        <w:rPr>
          <w:rFonts w:ascii="Bookman Old Style" w:eastAsia="MS Mincho" w:hAnsi="Bookman Old Style" w:cs="Arial"/>
          <w:b/>
          <w:bCs/>
          <w:i/>
          <w:iCs/>
          <w:sz w:val="20"/>
          <w:szCs w:val="20"/>
          <w:u w:val="single"/>
          <w:lang w:val="es-CO"/>
        </w:rPr>
        <w:t>Abstenerse de</w:t>
      </w:r>
      <w:r w:rsidRPr="00EE3D90">
        <w:rPr>
          <w:rFonts w:ascii="Bookman Old Style" w:eastAsia="MS Mincho" w:hAnsi="Bookman Old Style" w:cs="Arial"/>
          <w:i/>
          <w:iCs/>
          <w:sz w:val="20"/>
          <w:szCs w:val="20"/>
          <w:lang w:val="es-CO"/>
        </w:rPr>
        <w:t xml:space="preserve"> utilizar mecanismos, estrategias o cualquier otro instrumento que tenga la capacidad, el propósito o el efecto </w:t>
      </w:r>
      <w:r w:rsidRPr="001346F8">
        <w:rPr>
          <w:rFonts w:ascii="Bookman Old Style" w:eastAsia="MS Mincho" w:hAnsi="Bookman Old Style" w:cs="Arial"/>
          <w:b/>
          <w:bCs/>
          <w:i/>
          <w:iCs/>
          <w:sz w:val="20"/>
          <w:szCs w:val="20"/>
          <w:u w:val="single"/>
          <w:lang w:val="es-CO"/>
        </w:rPr>
        <w:t>restringir el acceso o la movilidad dentro del bien esencial</w:t>
      </w:r>
      <w:r w:rsidRPr="00EE3D90">
        <w:rPr>
          <w:rFonts w:ascii="Bookman Old Style" w:eastAsia="MS Mincho" w:hAnsi="Bookman Old Style" w:cs="Arial"/>
          <w:i/>
          <w:iCs/>
          <w:sz w:val="20"/>
          <w:szCs w:val="20"/>
          <w:lang w:val="es-CO"/>
        </w:rPr>
        <w:t xml:space="preserve"> empleado para la organización y prestación del servicio al solicitante.</w:t>
      </w:r>
      <w:r w:rsidR="003B4258">
        <w:rPr>
          <w:rFonts w:ascii="Bookman Old Style" w:eastAsia="MS Mincho" w:hAnsi="Bookman Old Style" w:cs="Arial"/>
          <w:i/>
          <w:iCs/>
          <w:sz w:val="20"/>
          <w:szCs w:val="20"/>
          <w:lang w:val="es-CO"/>
        </w:rPr>
        <w:t xml:space="preserve"> (…)</w:t>
      </w:r>
    </w:p>
    <w:p w14:paraId="48955917" w14:textId="77777777" w:rsidR="00EE3D90" w:rsidRPr="00EE3D90" w:rsidRDefault="00EE3D90" w:rsidP="00B9277B">
      <w:pPr>
        <w:ind w:left="567"/>
        <w:contextualSpacing/>
        <w:jc w:val="both"/>
        <w:rPr>
          <w:rFonts w:ascii="Bookman Old Style" w:eastAsia="MS Mincho" w:hAnsi="Bookman Old Style" w:cs="Arial"/>
          <w:i/>
          <w:iCs/>
          <w:sz w:val="20"/>
          <w:szCs w:val="20"/>
          <w:lang w:val="es-CO"/>
        </w:rPr>
      </w:pPr>
    </w:p>
    <w:p w14:paraId="573672A8" w14:textId="64CBC6F3" w:rsidR="009D628C" w:rsidRPr="00C262F6" w:rsidRDefault="00EE3D90" w:rsidP="00B9277B">
      <w:pPr>
        <w:ind w:left="567"/>
        <w:contextualSpacing/>
        <w:jc w:val="both"/>
        <w:rPr>
          <w:rFonts w:ascii="Bookman Old Style" w:eastAsia="MS Mincho" w:hAnsi="Bookman Old Style" w:cs="Arial"/>
          <w:sz w:val="20"/>
          <w:szCs w:val="20"/>
          <w:lang w:val="es-CO"/>
        </w:rPr>
      </w:pPr>
      <w:r w:rsidRPr="00EE3D90">
        <w:rPr>
          <w:rFonts w:ascii="Bookman Old Style" w:eastAsia="MS Mincho" w:hAnsi="Bookman Old Style" w:cs="Arial"/>
          <w:i/>
          <w:iCs/>
          <w:sz w:val="20"/>
          <w:szCs w:val="20"/>
          <w:lang w:val="es-CO"/>
        </w:rPr>
        <w:t>16.3.</w:t>
      </w:r>
      <w:r w:rsidRPr="00EE3D90">
        <w:rPr>
          <w:rFonts w:ascii="Bookman Old Style" w:eastAsia="MS Mincho" w:hAnsi="Bookman Old Style" w:cs="Arial"/>
          <w:i/>
          <w:iCs/>
          <w:sz w:val="20"/>
          <w:szCs w:val="20"/>
          <w:lang w:val="es-CO"/>
        </w:rPr>
        <w:tab/>
      </w:r>
      <w:r w:rsidRPr="00B24EBB">
        <w:rPr>
          <w:rFonts w:ascii="Bookman Old Style" w:eastAsia="MS Mincho" w:hAnsi="Bookman Old Style" w:cs="Arial"/>
          <w:b/>
          <w:bCs/>
          <w:i/>
          <w:iCs/>
          <w:sz w:val="20"/>
          <w:szCs w:val="20"/>
          <w:u w:val="single"/>
          <w:lang w:val="es-CO"/>
        </w:rPr>
        <w:t>Cuando el prestador no esté en capacidad técnica o financiera de asumir los costos asociados a la solicitud de acceso</w:t>
      </w:r>
      <w:r w:rsidRPr="00EE3D90">
        <w:rPr>
          <w:rFonts w:ascii="Bookman Old Style" w:eastAsia="MS Mincho" w:hAnsi="Bookman Old Style" w:cs="Arial"/>
          <w:i/>
          <w:iCs/>
          <w:sz w:val="20"/>
          <w:szCs w:val="20"/>
          <w:lang w:val="es-CO"/>
        </w:rPr>
        <w:t xml:space="preserve"> o de movilidad en el bien esencial empleado para la organización y prestación del servicio en la oportunidad y plazos establecidos en la regulación o en el procedimiento particular, dicho prestador </w:t>
      </w:r>
      <w:r w:rsidRPr="00B24EBB">
        <w:rPr>
          <w:rFonts w:ascii="Bookman Old Style" w:eastAsia="MS Mincho" w:hAnsi="Bookman Old Style" w:cs="Arial"/>
          <w:b/>
          <w:bCs/>
          <w:i/>
          <w:iCs/>
          <w:sz w:val="20"/>
          <w:szCs w:val="20"/>
          <w:u w:val="single"/>
          <w:lang w:val="es-CO"/>
        </w:rPr>
        <w:t>deberá permitir que el solicitante los asuma por cuenta propia</w:t>
      </w:r>
      <w:r w:rsidRPr="00EE3D90">
        <w:rPr>
          <w:rFonts w:ascii="Bookman Old Style" w:eastAsia="MS Mincho" w:hAnsi="Bookman Old Style" w:cs="Arial"/>
          <w:i/>
          <w:iCs/>
          <w:sz w:val="20"/>
          <w:szCs w:val="20"/>
          <w:lang w:val="es-CO"/>
        </w:rPr>
        <w:t>.</w:t>
      </w:r>
      <w:r w:rsidR="00B24EBB">
        <w:rPr>
          <w:rFonts w:ascii="Bookman Old Style" w:eastAsia="MS Mincho" w:hAnsi="Bookman Old Style" w:cs="Arial"/>
          <w:i/>
          <w:iCs/>
          <w:sz w:val="20"/>
          <w:szCs w:val="20"/>
          <w:lang w:val="es-CO"/>
        </w:rPr>
        <w:t xml:space="preserve"> (…)”</w:t>
      </w:r>
      <w:r w:rsidR="00C262F6">
        <w:rPr>
          <w:rFonts w:ascii="Bookman Old Style" w:eastAsia="MS Mincho" w:hAnsi="Bookman Old Style" w:cs="Arial"/>
          <w:sz w:val="20"/>
          <w:szCs w:val="20"/>
          <w:lang w:val="es-CO"/>
        </w:rPr>
        <w:t xml:space="preserve"> Resaltado y subrayado fuera de texto</w:t>
      </w:r>
    </w:p>
    <w:p w14:paraId="4D6F82BE" w14:textId="77777777" w:rsidR="000C1A12" w:rsidRDefault="000C1A12" w:rsidP="00072E33">
      <w:pPr>
        <w:ind w:left="284"/>
        <w:contextualSpacing/>
        <w:jc w:val="both"/>
        <w:rPr>
          <w:rFonts w:ascii="Bookman Old Style" w:eastAsia="MS Mincho" w:hAnsi="Bookman Old Style" w:cs="Arial"/>
          <w:lang w:val="es-CO"/>
        </w:rPr>
      </w:pPr>
    </w:p>
    <w:p w14:paraId="4F0AD545" w14:textId="198F8666" w:rsidR="00327B14" w:rsidRDefault="00CC1784" w:rsidP="00AF1F58">
      <w:pPr>
        <w:ind w:left="284"/>
        <w:contextualSpacing/>
        <w:jc w:val="both"/>
        <w:rPr>
          <w:rFonts w:ascii="Bookman Old Style" w:hAnsi="Bookman Old Style" w:cs="Arial"/>
        </w:rPr>
      </w:pPr>
      <w:r>
        <w:rPr>
          <w:rFonts w:ascii="Bookman Old Style" w:hAnsi="Bookman Old Style" w:cs="Arial"/>
        </w:rPr>
        <w:t>Sobre el último de los comentarios hechos por GENSA</w:t>
      </w:r>
      <w:r w:rsidR="00B9277B">
        <w:rPr>
          <w:rFonts w:ascii="Bookman Old Style" w:hAnsi="Bookman Old Style" w:cs="Arial"/>
        </w:rPr>
        <w:t>,</w:t>
      </w:r>
      <w:r w:rsidR="00111023">
        <w:rPr>
          <w:rFonts w:ascii="Bookman Old Style" w:hAnsi="Bookman Old Style" w:cs="Arial"/>
        </w:rPr>
        <w:t xml:space="preserve"> y teniendo en cuenta que </w:t>
      </w:r>
      <w:r w:rsidR="00994B74">
        <w:rPr>
          <w:rFonts w:ascii="Bookman Old Style" w:hAnsi="Bookman Old Style" w:cs="Arial"/>
        </w:rPr>
        <w:t xml:space="preserve">regulatoriamente </w:t>
      </w:r>
      <w:r w:rsidR="00111023">
        <w:rPr>
          <w:rFonts w:ascii="Bookman Old Style" w:hAnsi="Bookman Old Style" w:cs="Arial"/>
        </w:rPr>
        <w:t xml:space="preserve">no se tiene definido </w:t>
      </w:r>
      <w:r w:rsidR="00994B74">
        <w:rPr>
          <w:rFonts w:ascii="Bookman Old Style" w:hAnsi="Bookman Old Style" w:cs="Arial"/>
        </w:rPr>
        <w:t>un procedimiento para la conexión de generadores en ZNI</w:t>
      </w:r>
      <w:r w:rsidR="00F30850">
        <w:rPr>
          <w:rFonts w:ascii="Bookman Old Style" w:hAnsi="Bookman Old Style" w:cs="Arial"/>
        </w:rPr>
        <w:t xml:space="preserve">, </w:t>
      </w:r>
      <w:r w:rsidR="00FE0B04">
        <w:rPr>
          <w:rFonts w:ascii="Bookman Old Style" w:hAnsi="Bookman Old Style" w:cs="Arial"/>
        </w:rPr>
        <w:t xml:space="preserve">se reiteran </w:t>
      </w:r>
      <w:r w:rsidR="00F30850">
        <w:rPr>
          <w:rFonts w:ascii="Bookman Old Style" w:hAnsi="Bookman Old Style" w:cs="Arial"/>
        </w:rPr>
        <w:t xml:space="preserve">los lineamientos </w:t>
      </w:r>
      <w:r w:rsidR="003B66E3">
        <w:rPr>
          <w:rFonts w:ascii="Bookman Old Style" w:hAnsi="Bookman Old Style" w:cs="Arial"/>
        </w:rPr>
        <w:t xml:space="preserve">sobre los cuales se expide la </w:t>
      </w:r>
      <w:r w:rsidR="00F30850">
        <w:rPr>
          <w:rFonts w:ascii="Bookman Old Style" w:hAnsi="Bookman Old Style" w:cs="Arial"/>
        </w:rPr>
        <w:t>Resolución CREG 038 de 2018</w:t>
      </w:r>
      <w:r w:rsidR="00873EF0">
        <w:rPr>
          <w:rFonts w:ascii="Bookman Old Style" w:hAnsi="Bookman Old Style" w:cs="Arial"/>
        </w:rPr>
        <w:t xml:space="preserve"> </w:t>
      </w:r>
      <w:r w:rsidR="003B66E3">
        <w:rPr>
          <w:rFonts w:ascii="Bookman Old Style" w:hAnsi="Bookman Old Style" w:cs="Arial"/>
        </w:rPr>
        <w:t xml:space="preserve">para los casos en que la CREG no haya definido </w:t>
      </w:r>
      <w:r w:rsidR="00873EF0">
        <w:rPr>
          <w:rFonts w:ascii="Bookman Old Style" w:hAnsi="Bookman Old Style" w:cs="Arial"/>
        </w:rPr>
        <w:t xml:space="preserve">contenido mínimo del estudio de </w:t>
      </w:r>
      <w:r w:rsidR="00963AD5">
        <w:rPr>
          <w:rFonts w:ascii="Bookman Old Style" w:hAnsi="Bookman Old Style" w:cs="Arial"/>
        </w:rPr>
        <w:t>conexión:</w:t>
      </w:r>
    </w:p>
    <w:p w14:paraId="6BC3D4E6" w14:textId="77777777" w:rsidR="00B17BC8" w:rsidRDefault="00B17BC8" w:rsidP="00002BB2">
      <w:pPr>
        <w:ind w:left="284"/>
        <w:contextualSpacing/>
        <w:jc w:val="both"/>
        <w:rPr>
          <w:rFonts w:ascii="Bookman Old Style" w:hAnsi="Bookman Old Style" w:cs="Arial"/>
        </w:rPr>
      </w:pPr>
    </w:p>
    <w:p w14:paraId="45633EB0" w14:textId="0A4F1FF0" w:rsidR="00B17BC8" w:rsidRPr="00406D59" w:rsidRDefault="00B17BC8"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213731">
        <w:rPr>
          <w:rFonts w:ascii="Bookman Old Style" w:eastAsia="MS Mincho" w:hAnsi="Bookman Old Style" w:cs="Arial"/>
          <w:i/>
          <w:iCs/>
          <w:sz w:val="20"/>
          <w:szCs w:val="20"/>
          <w:lang w:val="es-CO"/>
        </w:rPr>
        <w:t>Mientras el contenido mínimo del estudio de conexión no sea definido por la CREG,</w:t>
      </w:r>
      <w:r w:rsidRPr="00213731">
        <w:rPr>
          <w:rFonts w:ascii="Bookman Old Style" w:eastAsia="MS Mincho" w:hAnsi="Bookman Old Style" w:cs="Arial"/>
          <w:b/>
          <w:bCs/>
          <w:i/>
          <w:iCs/>
          <w:sz w:val="20"/>
          <w:szCs w:val="20"/>
          <w:lang w:val="es-CO"/>
        </w:rPr>
        <w:t xml:space="preserve"> </w:t>
      </w:r>
      <w:r w:rsidRPr="00107D20">
        <w:rPr>
          <w:rFonts w:ascii="Bookman Old Style" w:eastAsia="MS Mincho" w:hAnsi="Bookman Old Style" w:cs="Arial"/>
          <w:b/>
          <w:bCs/>
          <w:i/>
          <w:iCs/>
          <w:sz w:val="20"/>
          <w:szCs w:val="20"/>
          <w:u w:val="single"/>
          <w:lang w:val="es-CO"/>
        </w:rPr>
        <w:t>el distribuidor determinará cuál deberá ser el contenido de dicho estudio de conexión, sin que en ningún caso se excedan los requisitos previstos en el procedimiento para la conexión de generación del que trata la Resolución CREG 070 de 1998 y demás normas que la modifiquen o sustituyan.</w:t>
      </w:r>
      <w:r w:rsidR="00213731" w:rsidRPr="00213731">
        <w:rPr>
          <w:rFonts w:ascii="Bookman Old Style" w:eastAsia="MS Mincho" w:hAnsi="Bookman Old Style" w:cs="Arial"/>
          <w:i/>
          <w:iCs/>
          <w:sz w:val="20"/>
          <w:szCs w:val="20"/>
          <w:lang w:val="es-CO"/>
        </w:rPr>
        <w:t xml:space="preserve"> (…)”</w:t>
      </w:r>
    </w:p>
    <w:p w14:paraId="5F863F31" w14:textId="77777777" w:rsidR="00B17BC8" w:rsidRPr="00B17BC8" w:rsidRDefault="00B17BC8" w:rsidP="00002BB2">
      <w:pPr>
        <w:ind w:left="284"/>
        <w:contextualSpacing/>
        <w:jc w:val="both"/>
        <w:rPr>
          <w:rFonts w:ascii="Bookman Old Style" w:hAnsi="Bookman Old Style" w:cs="Arial"/>
          <w:lang w:val="es-CO"/>
        </w:rPr>
      </w:pPr>
    </w:p>
    <w:p w14:paraId="7A143860" w14:textId="334BF9DF" w:rsidR="00FB7F30" w:rsidRDefault="00816838" w:rsidP="000272C0">
      <w:pPr>
        <w:ind w:left="284"/>
        <w:contextualSpacing/>
        <w:jc w:val="both"/>
        <w:rPr>
          <w:rFonts w:ascii="Bookman Old Style" w:hAnsi="Bookman Old Style" w:cs="Arial"/>
        </w:rPr>
      </w:pPr>
      <w:r>
        <w:rPr>
          <w:rFonts w:ascii="Bookman Old Style" w:hAnsi="Bookman Old Style" w:cs="Arial"/>
        </w:rPr>
        <w:t>En ese sentido</w:t>
      </w:r>
      <w:r w:rsidR="00691464">
        <w:rPr>
          <w:rFonts w:ascii="Bookman Old Style" w:hAnsi="Bookman Old Style" w:cs="Arial"/>
        </w:rPr>
        <w:t xml:space="preserve"> y de forma análoga</w:t>
      </w:r>
      <w:r>
        <w:rPr>
          <w:rFonts w:ascii="Bookman Old Style" w:hAnsi="Bookman Old Style" w:cs="Arial"/>
        </w:rPr>
        <w:t>, las pruebas que se adelanten antes de la entra</w:t>
      </w:r>
      <w:r w:rsidR="00B9277B">
        <w:rPr>
          <w:rFonts w:ascii="Bookman Old Style" w:hAnsi="Bookman Old Style" w:cs="Arial"/>
        </w:rPr>
        <w:t>da</w:t>
      </w:r>
      <w:r>
        <w:rPr>
          <w:rFonts w:ascii="Bookman Old Style" w:hAnsi="Bookman Old Style" w:cs="Arial"/>
        </w:rPr>
        <w:t xml:space="preserve"> en operación de la conexión</w:t>
      </w:r>
      <w:r w:rsidR="000438E3">
        <w:rPr>
          <w:rFonts w:ascii="Bookman Old Style" w:hAnsi="Bookman Old Style" w:cs="Arial"/>
        </w:rPr>
        <w:t xml:space="preserve"> y del proyecto Matakavi</w:t>
      </w:r>
      <w:r w:rsidR="00B9277B">
        <w:rPr>
          <w:rFonts w:ascii="Bookman Old Style" w:hAnsi="Bookman Old Style" w:cs="Arial"/>
        </w:rPr>
        <w:t>,</w:t>
      </w:r>
      <w:r w:rsidR="000438E3">
        <w:rPr>
          <w:rFonts w:ascii="Bookman Old Style" w:hAnsi="Bookman Old Style" w:cs="Arial"/>
        </w:rPr>
        <w:t xml:space="preserve"> podrán ser l</w:t>
      </w:r>
      <w:r w:rsidR="00365A0A">
        <w:rPr>
          <w:rFonts w:ascii="Bookman Old Style" w:hAnsi="Bookman Old Style" w:cs="Arial"/>
        </w:rPr>
        <w:t>a</w:t>
      </w:r>
      <w:r w:rsidR="000438E3">
        <w:rPr>
          <w:rFonts w:ascii="Bookman Old Style" w:hAnsi="Bookman Old Style" w:cs="Arial"/>
        </w:rPr>
        <w:t>s que defina el operador del activo</w:t>
      </w:r>
      <w:r w:rsidR="00365A0A">
        <w:rPr>
          <w:rFonts w:ascii="Bookman Old Style" w:hAnsi="Bookman Old Style" w:cs="Arial"/>
        </w:rPr>
        <w:t xml:space="preserve"> al que se efectuaría la conexión</w:t>
      </w:r>
      <w:r w:rsidR="004C0A2E">
        <w:rPr>
          <w:rFonts w:ascii="Bookman Old Style" w:hAnsi="Bookman Old Style" w:cs="Arial"/>
        </w:rPr>
        <w:t xml:space="preserve">, sin </w:t>
      </w:r>
      <w:r w:rsidR="008765D4">
        <w:rPr>
          <w:rFonts w:ascii="Bookman Old Style" w:hAnsi="Bookman Old Style" w:cs="Arial"/>
        </w:rPr>
        <w:t xml:space="preserve">que este exceda los requisitos que hoy en día se tienen </w:t>
      </w:r>
      <w:r w:rsidR="00365A0A">
        <w:rPr>
          <w:rFonts w:ascii="Bookman Old Style" w:hAnsi="Bookman Old Style" w:cs="Arial"/>
        </w:rPr>
        <w:t>establecidos</w:t>
      </w:r>
      <w:r w:rsidR="00FE58E6">
        <w:rPr>
          <w:rFonts w:ascii="Bookman Old Style" w:hAnsi="Bookman Old Style" w:cs="Arial"/>
        </w:rPr>
        <w:t xml:space="preserve">, precisamente en esa misma resolución, CREG 038 de 2018, en el </w:t>
      </w:r>
      <w:r w:rsidR="00FB7F30">
        <w:rPr>
          <w:rFonts w:ascii="Bookman Old Style" w:hAnsi="Bookman Old Style" w:cs="Arial"/>
        </w:rPr>
        <w:t>parágrafo 1 de</w:t>
      </w:r>
      <w:r w:rsidR="00FE58E6">
        <w:rPr>
          <w:rFonts w:ascii="Bookman Old Style" w:hAnsi="Bookman Old Style" w:cs="Arial"/>
        </w:rPr>
        <w:t xml:space="preserve"> su</w:t>
      </w:r>
      <w:r w:rsidR="00FB7F30">
        <w:rPr>
          <w:rFonts w:ascii="Bookman Old Style" w:hAnsi="Bookman Old Style" w:cs="Arial"/>
        </w:rPr>
        <w:t xml:space="preserve"> artículo 5</w:t>
      </w:r>
      <w:r w:rsidR="00FE58E6">
        <w:rPr>
          <w:rFonts w:ascii="Bookman Old Style" w:hAnsi="Bookman Old Style" w:cs="Arial"/>
        </w:rPr>
        <w:t>:</w:t>
      </w:r>
    </w:p>
    <w:p w14:paraId="15654F26" w14:textId="77777777" w:rsidR="00FB7F30" w:rsidRPr="000272C0" w:rsidRDefault="00FB7F30" w:rsidP="000272C0">
      <w:pPr>
        <w:ind w:left="284"/>
        <w:contextualSpacing/>
        <w:jc w:val="both"/>
        <w:rPr>
          <w:rFonts w:ascii="Bookman Old Style" w:hAnsi="Bookman Old Style" w:cs="Arial"/>
        </w:rPr>
      </w:pPr>
    </w:p>
    <w:p w14:paraId="15B8BF5C" w14:textId="7FE1A240" w:rsidR="000272C0" w:rsidRPr="00FB7F30" w:rsidRDefault="00FB7F30" w:rsidP="00FB7F30">
      <w:pPr>
        <w:ind w:left="709"/>
        <w:contextualSpacing/>
        <w:jc w:val="both"/>
        <w:rPr>
          <w:rFonts w:ascii="Bookman Old Style" w:hAnsi="Bookman Old Style" w:cs="Arial"/>
          <w:i/>
          <w:iCs/>
          <w:sz w:val="20"/>
          <w:szCs w:val="20"/>
        </w:rPr>
      </w:pPr>
      <w:r>
        <w:rPr>
          <w:rFonts w:ascii="Bookman Old Style" w:hAnsi="Bookman Old Style" w:cs="Arial"/>
          <w:i/>
          <w:iCs/>
          <w:sz w:val="20"/>
          <w:szCs w:val="20"/>
        </w:rPr>
        <w:t xml:space="preserve">“(…) </w:t>
      </w:r>
      <w:r w:rsidR="000272C0" w:rsidRPr="00FB7F30">
        <w:rPr>
          <w:rFonts w:ascii="Bookman Old Style" w:hAnsi="Bookman Old Style" w:cs="Arial"/>
          <w:i/>
          <w:iCs/>
          <w:sz w:val="20"/>
          <w:szCs w:val="20"/>
        </w:rPr>
        <w:t xml:space="preserve">Parágrafo 1. </w:t>
      </w:r>
      <w:r w:rsidR="000272C0" w:rsidRPr="00BF2463">
        <w:rPr>
          <w:rFonts w:ascii="Bookman Old Style" w:hAnsi="Bookman Old Style" w:cs="Arial"/>
          <w:b/>
          <w:bCs/>
          <w:i/>
          <w:iCs/>
          <w:sz w:val="20"/>
          <w:szCs w:val="20"/>
          <w:u w:val="single"/>
        </w:rPr>
        <w:t>Las condiciones técnicas de la conexión deberán sujetarse a los Códigos y Reglamentos vigentes</w:t>
      </w:r>
      <w:r w:rsidR="000272C0" w:rsidRPr="00FB7F30">
        <w:rPr>
          <w:rFonts w:ascii="Bookman Old Style" w:hAnsi="Bookman Old Style" w:cs="Arial"/>
          <w:i/>
          <w:iCs/>
          <w:sz w:val="20"/>
          <w:szCs w:val="20"/>
        </w:rPr>
        <w:t>, en particular a lo previsto en:</w:t>
      </w:r>
    </w:p>
    <w:p w14:paraId="6B91DD0C" w14:textId="77777777" w:rsidR="000272C0" w:rsidRPr="00FB7F30" w:rsidRDefault="000272C0" w:rsidP="00FB7F30">
      <w:pPr>
        <w:ind w:left="709"/>
        <w:contextualSpacing/>
        <w:jc w:val="both"/>
        <w:rPr>
          <w:rFonts w:ascii="Bookman Old Style" w:hAnsi="Bookman Old Style" w:cs="Arial"/>
          <w:i/>
          <w:iCs/>
          <w:sz w:val="20"/>
          <w:szCs w:val="20"/>
        </w:rPr>
      </w:pPr>
    </w:p>
    <w:p w14:paraId="55DA1124" w14:textId="77777777" w:rsidR="000272C0" w:rsidRPr="00FB7F30" w:rsidRDefault="000272C0" w:rsidP="00FB7F30">
      <w:pPr>
        <w:ind w:left="993" w:hanging="284"/>
        <w:contextualSpacing/>
        <w:jc w:val="both"/>
        <w:rPr>
          <w:rFonts w:ascii="Bookman Old Style" w:hAnsi="Bookman Old Style" w:cs="Arial"/>
          <w:i/>
          <w:iCs/>
          <w:sz w:val="20"/>
          <w:szCs w:val="20"/>
        </w:rPr>
      </w:pPr>
      <w:r w:rsidRPr="00FB7F30">
        <w:rPr>
          <w:rFonts w:ascii="Bookman Old Style" w:hAnsi="Bookman Old Style" w:cs="Arial"/>
          <w:i/>
          <w:iCs/>
          <w:sz w:val="20"/>
          <w:szCs w:val="20"/>
        </w:rPr>
        <w:t>•</w:t>
      </w:r>
      <w:r w:rsidRPr="00FB7F30">
        <w:rPr>
          <w:rFonts w:ascii="Bookman Old Style" w:hAnsi="Bookman Old Style" w:cs="Arial"/>
          <w:i/>
          <w:iCs/>
          <w:sz w:val="20"/>
          <w:szCs w:val="20"/>
        </w:rPr>
        <w:tab/>
        <w:t xml:space="preserve">Código Eléctrico Colombiano, </w:t>
      </w:r>
      <w:r w:rsidRPr="00BF2463">
        <w:rPr>
          <w:rFonts w:ascii="Bookman Old Style" w:hAnsi="Bookman Old Style" w:cs="Arial"/>
          <w:b/>
          <w:bCs/>
          <w:i/>
          <w:iCs/>
          <w:sz w:val="20"/>
          <w:szCs w:val="20"/>
          <w:u w:val="single"/>
        </w:rPr>
        <w:t>NTC 2050</w:t>
      </w:r>
      <w:r w:rsidRPr="00FB7F30">
        <w:rPr>
          <w:rFonts w:ascii="Bookman Old Style" w:hAnsi="Bookman Old Style" w:cs="Arial"/>
          <w:i/>
          <w:iCs/>
          <w:sz w:val="20"/>
          <w:szCs w:val="20"/>
        </w:rPr>
        <w:t>.</w:t>
      </w:r>
    </w:p>
    <w:p w14:paraId="29D06E9E" w14:textId="77777777" w:rsidR="000272C0" w:rsidRPr="00FB7F30" w:rsidRDefault="000272C0" w:rsidP="00FB7F30">
      <w:pPr>
        <w:ind w:left="993" w:hanging="284"/>
        <w:contextualSpacing/>
        <w:jc w:val="both"/>
        <w:rPr>
          <w:rFonts w:ascii="Bookman Old Style" w:hAnsi="Bookman Old Style" w:cs="Arial"/>
          <w:i/>
          <w:iCs/>
          <w:sz w:val="20"/>
          <w:szCs w:val="20"/>
        </w:rPr>
      </w:pPr>
      <w:r w:rsidRPr="00FB7F30">
        <w:rPr>
          <w:rFonts w:ascii="Bookman Old Style" w:hAnsi="Bookman Old Style" w:cs="Arial"/>
          <w:i/>
          <w:iCs/>
          <w:sz w:val="20"/>
          <w:szCs w:val="20"/>
        </w:rPr>
        <w:t>•</w:t>
      </w:r>
      <w:r w:rsidRPr="00FB7F30">
        <w:rPr>
          <w:rFonts w:ascii="Bookman Old Style" w:hAnsi="Bookman Old Style" w:cs="Arial"/>
          <w:i/>
          <w:iCs/>
          <w:sz w:val="20"/>
          <w:szCs w:val="20"/>
        </w:rPr>
        <w:tab/>
        <w:t xml:space="preserve">Reglamento Técnico de Instalaciones Eléctricas, </w:t>
      </w:r>
      <w:r w:rsidRPr="00BF2463">
        <w:rPr>
          <w:rFonts w:ascii="Bookman Old Style" w:hAnsi="Bookman Old Style" w:cs="Arial"/>
          <w:b/>
          <w:bCs/>
          <w:i/>
          <w:iCs/>
          <w:sz w:val="20"/>
          <w:szCs w:val="20"/>
          <w:u w:val="single"/>
        </w:rPr>
        <w:t>RETIE</w:t>
      </w:r>
      <w:r w:rsidRPr="00FB7F30">
        <w:rPr>
          <w:rFonts w:ascii="Bookman Old Style" w:hAnsi="Bookman Old Style" w:cs="Arial"/>
          <w:i/>
          <w:iCs/>
          <w:sz w:val="20"/>
          <w:szCs w:val="20"/>
        </w:rPr>
        <w:t>, expedido por el Ministerio de Minas y Energía.</w:t>
      </w:r>
    </w:p>
    <w:p w14:paraId="3C306363" w14:textId="1A19B851" w:rsidR="000272C0" w:rsidRPr="00BF2463" w:rsidRDefault="000272C0" w:rsidP="00FB7F30">
      <w:pPr>
        <w:ind w:left="993" w:hanging="284"/>
        <w:contextualSpacing/>
        <w:jc w:val="both"/>
        <w:rPr>
          <w:rFonts w:ascii="Bookman Old Style" w:hAnsi="Bookman Old Style" w:cs="Arial"/>
          <w:sz w:val="20"/>
          <w:szCs w:val="20"/>
        </w:rPr>
      </w:pPr>
      <w:r w:rsidRPr="00FB7F30">
        <w:rPr>
          <w:rFonts w:ascii="Bookman Old Style" w:hAnsi="Bookman Old Style" w:cs="Arial"/>
          <w:i/>
          <w:iCs/>
          <w:sz w:val="20"/>
          <w:szCs w:val="20"/>
        </w:rPr>
        <w:t>•</w:t>
      </w:r>
      <w:r w:rsidRPr="00FB7F30">
        <w:rPr>
          <w:rFonts w:ascii="Bookman Old Style" w:hAnsi="Bookman Old Style" w:cs="Arial"/>
          <w:i/>
          <w:iCs/>
          <w:sz w:val="20"/>
          <w:szCs w:val="20"/>
        </w:rPr>
        <w:tab/>
      </w:r>
      <w:r w:rsidRPr="00BF2463">
        <w:rPr>
          <w:rFonts w:ascii="Bookman Old Style" w:hAnsi="Bookman Old Style" w:cs="Arial"/>
          <w:b/>
          <w:bCs/>
          <w:i/>
          <w:iCs/>
          <w:sz w:val="20"/>
          <w:szCs w:val="20"/>
          <w:u w:val="single"/>
        </w:rPr>
        <w:t>Resoluciones CREG 025 de 1995, 070 de 1998 y 038 de 2014 o aquellas que las modifiquen o sustituyan</w:t>
      </w:r>
      <w:r w:rsidRPr="00FB7F30">
        <w:rPr>
          <w:rFonts w:ascii="Bookman Old Style" w:hAnsi="Bookman Old Style" w:cs="Arial"/>
          <w:i/>
          <w:iCs/>
          <w:sz w:val="20"/>
          <w:szCs w:val="20"/>
        </w:rPr>
        <w:t>, en cuanto sea aplicable.</w:t>
      </w:r>
      <w:r w:rsidR="00FB7F30">
        <w:rPr>
          <w:rFonts w:ascii="Bookman Old Style" w:hAnsi="Bookman Old Style" w:cs="Arial"/>
          <w:i/>
          <w:iCs/>
          <w:sz w:val="20"/>
          <w:szCs w:val="20"/>
        </w:rPr>
        <w:t xml:space="preserve"> (…)”</w:t>
      </w:r>
      <w:r w:rsidR="00BF2463">
        <w:rPr>
          <w:rFonts w:ascii="Bookman Old Style" w:hAnsi="Bookman Old Style" w:cs="Arial"/>
          <w:sz w:val="20"/>
          <w:szCs w:val="20"/>
        </w:rPr>
        <w:t xml:space="preserve"> Resaltado y subrayado fuera de texto</w:t>
      </w:r>
    </w:p>
    <w:p w14:paraId="61502FD1" w14:textId="77777777" w:rsidR="002E5B85" w:rsidRDefault="002E5B85" w:rsidP="00AF1F58">
      <w:pPr>
        <w:ind w:left="284"/>
        <w:contextualSpacing/>
        <w:jc w:val="both"/>
        <w:rPr>
          <w:rFonts w:ascii="Bookman Old Style" w:hAnsi="Bookman Old Style" w:cs="Arial"/>
        </w:rPr>
      </w:pPr>
    </w:p>
    <w:p w14:paraId="767A0A93" w14:textId="4405BBED" w:rsidR="00E80E84" w:rsidRPr="00F74FAC" w:rsidRDefault="00E80E84" w:rsidP="00F74FAC">
      <w:pPr>
        <w:pStyle w:val="Ttulo3"/>
        <w:ind w:left="284"/>
        <w:jc w:val="both"/>
        <w:rPr>
          <w:rFonts w:eastAsia="Bookman Old Style" w:cs="Arial"/>
          <w:szCs w:val="24"/>
        </w:rPr>
      </w:pPr>
      <w:r w:rsidRPr="00F74FAC">
        <w:rPr>
          <w:rFonts w:cs="Arial"/>
          <w:szCs w:val="24"/>
        </w:rPr>
        <w:t>7.2.</w:t>
      </w:r>
      <w:r w:rsidR="00692AAE">
        <w:rPr>
          <w:rFonts w:cs="Arial"/>
          <w:szCs w:val="24"/>
        </w:rPr>
        <w:t>2</w:t>
      </w:r>
      <w:r w:rsidR="00C43F7A" w:rsidRPr="00F74FAC">
        <w:rPr>
          <w:rFonts w:cs="Arial"/>
          <w:szCs w:val="24"/>
        </w:rPr>
        <w:t>.</w:t>
      </w:r>
      <w:r w:rsidR="00F74FAC">
        <w:rPr>
          <w:rFonts w:cs="Arial"/>
          <w:szCs w:val="24"/>
        </w:rPr>
        <w:t xml:space="preserve"> </w:t>
      </w:r>
      <w:r w:rsidR="004762DD" w:rsidRPr="00F74FAC">
        <w:rPr>
          <w:rFonts w:cs="Arial"/>
          <w:szCs w:val="24"/>
        </w:rPr>
        <w:t xml:space="preserve">SISTEMA ENERGÉTICO </w:t>
      </w:r>
      <w:r w:rsidR="00C43F7A" w:rsidRPr="00F74FAC">
        <w:rPr>
          <w:rFonts w:cs="Arial"/>
          <w:szCs w:val="24"/>
        </w:rPr>
        <w:t>DE MIT</w:t>
      </w:r>
      <w:r w:rsidR="006B380B" w:rsidRPr="00F74FAC">
        <w:rPr>
          <w:rFonts w:cs="Arial"/>
          <w:szCs w:val="24"/>
        </w:rPr>
        <w:t>Ú</w:t>
      </w:r>
    </w:p>
    <w:p w14:paraId="6CA5076A" w14:textId="77777777" w:rsidR="00E80E84" w:rsidRDefault="00E80E84" w:rsidP="00B264DC">
      <w:pPr>
        <w:ind w:left="284"/>
        <w:contextualSpacing/>
        <w:jc w:val="both"/>
        <w:rPr>
          <w:rFonts w:ascii="Bookman Old Style" w:eastAsia="MS Mincho" w:hAnsi="Bookman Old Style" w:cs="Arial"/>
          <w:lang w:val="es-CO"/>
        </w:rPr>
      </w:pPr>
    </w:p>
    <w:p w14:paraId="25134F87" w14:textId="04BDC16C" w:rsidR="00004067" w:rsidRDefault="00F814EB"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Como primer paso para l</w:t>
      </w:r>
      <w:r w:rsidR="004762DD">
        <w:rPr>
          <w:rFonts w:ascii="Bookman Old Style" w:eastAsia="MS Mincho" w:hAnsi="Bookman Old Style" w:cs="Arial"/>
          <w:lang w:val="es-CO"/>
        </w:rPr>
        <w:t>a identificación del sistema energético de Mitú</w:t>
      </w:r>
      <w:r w:rsidR="00577A96">
        <w:rPr>
          <w:rFonts w:ascii="Bookman Old Style" w:eastAsia="MS Mincho" w:hAnsi="Bookman Old Style" w:cs="Arial"/>
          <w:lang w:val="es-CO"/>
        </w:rPr>
        <w:t>,</w:t>
      </w:r>
      <w:r w:rsidR="004762DD">
        <w:rPr>
          <w:rFonts w:ascii="Bookman Old Style" w:eastAsia="MS Mincho" w:hAnsi="Bookman Old Style" w:cs="Arial"/>
          <w:lang w:val="es-CO"/>
        </w:rPr>
        <w:t xml:space="preserve"> </w:t>
      </w:r>
      <w:r>
        <w:rPr>
          <w:rFonts w:ascii="Bookman Old Style" w:eastAsia="MS Mincho" w:hAnsi="Bookman Old Style" w:cs="Arial"/>
          <w:lang w:val="es-CO"/>
        </w:rPr>
        <w:t xml:space="preserve">la CREG </w:t>
      </w:r>
      <w:r w:rsidR="00577A96">
        <w:rPr>
          <w:rFonts w:ascii="Bookman Old Style" w:eastAsia="MS Mincho" w:hAnsi="Bookman Old Style" w:cs="Arial"/>
          <w:lang w:val="es-CO"/>
        </w:rPr>
        <w:t xml:space="preserve">le solicitó </w:t>
      </w:r>
      <w:r w:rsidR="004E6DDD">
        <w:rPr>
          <w:rFonts w:ascii="Bookman Old Style" w:eastAsia="MS Mincho" w:hAnsi="Bookman Old Style" w:cs="Arial"/>
          <w:lang w:val="es-CO"/>
        </w:rPr>
        <w:t xml:space="preserve">a la </w:t>
      </w:r>
      <w:r w:rsidR="00F23825">
        <w:rPr>
          <w:rFonts w:ascii="Bookman Old Style" w:eastAsia="MS Mincho" w:hAnsi="Bookman Old Style" w:cs="Arial"/>
          <w:lang w:val="es-CO"/>
        </w:rPr>
        <w:t>SSPD</w:t>
      </w:r>
      <w:r w:rsidR="00C21A1E">
        <w:rPr>
          <w:rFonts w:ascii="Bookman Old Style" w:eastAsia="MS Mincho" w:hAnsi="Bookman Old Style" w:cs="Arial"/>
          <w:lang w:val="es-CO"/>
        </w:rPr>
        <w:t xml:space="preserve"> </w:t>
      </w:r>
      <w:r w:rsidR="004E6DDD">
        <w:rPr>
          <w:rFonts w:ascii="Bookman Old Style" w:eastAsia="MS Mincho" w:hAnsi="Bookman Old Style" w:cs="Arial"/>
          <w:lang w:val="es-CO"/>
        </w:rPr>
        <w:t xml:space="preserve">que le informara </w:t>
      </w:r>
      <w:r w:rsidR="00577A96">
        <w:rPr>
          <w:rFonts w:ascii="Bookman Old Style" w:eastAsia="MS Mincho" w:hAnsi="Bookman Old Style" w:cs="Arial"/>
          <w:lang w:val="es-CO"/>
        </w:rPr>
        <w:t xml:space="preserve">sobre </w:t>
      </w:r>
      <w:r w:rsidR="004E6DDD">
        <w:rPr>
          <w:rFonts w:ascii="Bookman Old Style" w:eastAsia="MS Mincho" w:hAnsi="Bookman Old Style" w:cs="Arial"/>
          <w:lang w:val="es-CO"/>
        </w:rPr>
        <w:t xml:space="preserve">los agentes que en </w:t>
      </w:r>
      <w:r w:rsidR="00577A96">
        <w:rPr>
          <w:rFonts w:ascii="Bookman Old Style" w:eastAsia="MS Mincho" w:hAnsi="Bookman Old Style" w:cs="Arial"/>
          <w:lang w:val="es-CO"/>
        </w:rPr>
        <w:t xml:space="preserve">su </w:t>
      </w:r>
      <w:r w:rsidR="004E6DDD">
        <w:rPr>
          <w:rFonts w:ascii="Bookman Old Style" w:eastAsia="MS Mincho" w:hAnsi="Bookman Old Style" w:cs="Arial"/>
          <w:lang w:val="es-CO"/>
        </w:rPr>
        <w:t xml:space="preserve">momento se </w:t>
      </w:r>
      <w:r w:rsidR="00B03DE8">
        <w:rPr>
          <w:rFonts w:ascii="Bookman Old Style" w:eastAsia="MS Mincho" w:hAnsi="Bookman Old Style" w:cs="Arial"/>
          <w:lang w:val="es-CO"/>
        </w:rPr>
        <w:t xml:space="preserve">encontraban </w:t>
      </w:r>
      <w:r w:rsidR="004E6DDD">
        <w:rPr>
          <w:rFonts w:ascii="Bookman Old Style" w:eastAsia="MS Mincho" w:hAnsi="Bookman Old Style" w:cs="Arial"/>
          <w:lang w:val="es-CO"/>
        </w:rPr>
        <w:t xml:space="preserve">reportados </w:t>
      </w:r>
      <w:r w:rsidR="001C4E66">
        <w:rPr>
          <w:rFonts w:ascii="Bookman Old Style" w:eastAsia="MS Mincho" w:hAnsi="Bookman Old Style" w:cs="Arial"/>
          <w:lang w:val="es-CO"/>
        </w:rPr>
        <w:t>como prestadores en el mercado relevante de comercialización de Mitú</w:t>
      </w:r>
      <w:r w:rsidR="00B9277B">
        <w:rPr>
          <w:rFonts w:ascii="Bookman Old Style" w:eastAsia="MS Mincho" w:hAnsi="Bookman Old Style" w:cs="Arial"/>
          <w:lang w:val="es-CO"/>
        </w:rPr>
        <w:t>,</w:t>
      </w:r>
      <w:r w:rsidR="001C4E66">
        <w:rPr>
          <w:rFonts w:ascii="Bookman Old Style" w:eastAsia="MS Mincho" w:hAnsi="Bookman Old Style" w:cs="Arial"/>
          <w:lang w:val="es-CO"/>
        </w:rPr>
        <w:t xml:space="preserve"> y la o las actividades que </w:t>
      </w:r>
      <w:r w:rsidR="00852D9B">
        <w:rPr>
          <w:rFonts w:ascii="Bookman Old Style" w:eastAsia="MS Mincho" w:hAnsi="Bookman Old Style" w:cs="Arial"/>
          <w:lang w:val="es-CO"/>
        </w:rPr>
        <w:t>se enc</w:t>
      </w:r>
      <w:r w:rsidR="009B08D4">
        <w:rPr>
          <w:rFonts w:ascii="Bookman Old Style" w:eastAsia="MS Mincho" w:hAnsi="Bookman Old Style" w:cs="Arial"/>
          <w:lang w:val="es-CO"/>
        </w:rPr>
        <w:t xml:space="preserve">ontraban </w:t>
      </w:r>
      <w:r w:rsidR="00852D9B">
        <w:rPr>
          <w:rFonts w:ascii="Bookman Old Style" w:eastAsia="MS Mincho" w:hAnsi="Bookman Old Style" w:cs="Arial"/>
          <w:lang w:val="es-CO"/>
        </w:rPr>
        <w:t>desarrollando. Al respecto, s</w:t>
      </w:r>
      <w:r w:rsidR="21AFD4A1" w:rsidRPr="0086458B">
        <w:rPr>
          <w:rFonts w:ascii="Bookman Old Style" w:eastAsia="MS Mincho" w:hAnsi="Bookman Old Style" w:cs="Arial"/>
          <w:lang w:val="es-CO"/>
        </w:rPr>
        <w:t xml:space="preserve">e </w:t>
      </w:r>
      <w:r w:rsidR="00D17093">
        <w:rPr>
          <w:rFonts w:ascii="Bookman Old Style" w:eastAsia="MS Mincho" w:hAnsi="Bookman Old Style" w:cs="Arial"/>
          <w:lang w:val="es-CO"/>
        </w:rPr>
        <w:t xml:space="preserve">recibió comunicación de </w:t>
      </w:r>
      <w:r w:rsidR="21AFD4A1" w:rsidRPr="0086458B">
        <w:rPr>
          <w:rFonts w:ascii="Bookman Old Style" w:eastAsia="MS Mincho" w:hAnsi="Bookman Old Style" w:cs="Arial"/>
          <w:lang w:val="es-CO"/>
        </w:rPr>
        <w:t xml:space="preserve">la </w:t>
      </w:r>
      <w:r w:rsidR="001F1926">
        <w:rPr>
          <w:rFonts w:ascii="Bookman Old Style" w:eastAsia="MS Mincho" w:hAnsi="Bookman Old Style" w:cs="Arial"/>
          <w:lang w:val="es-CO"/>
        </w:rPr>
        <w:t>SSPD</w:t>
      </w:r>
      <w:r w:rsidR="00D17093">
        <w:rPr>
          <w:rFonts w:ascii="Bookman Old Style" w:eastAsia="MS Mincho" w:hAnsi="Bookman Old Style" w:cs="Arial"/>
          <w:lang w:val="es-CO"/>
        </w:rPr>
        <w:t xml:space="preserve">, con </w:t>
      </w:r>
      <w:r w:rsidR="21AFD4A1" w:rsidRPr="0086458B">
        <w:rPr>
          <w:rFonts w:ascii="Bookman Old Style" w:eastAsia="MS Mincho" w:hAnsi="Bookman Old Style" w:cs="Arial"/>
          <w:lang w:val="es-CO"/>
        </w:rPr>
        <w:t xml:space="preserve">radicado </w:t>
      </w:r>
      <w:r w:rsidR="00D17093">
        <w:rPr>
          <w:rFonts w:ascii="Bookman Old Style" w:eastAsia="MS Mincho" w:hAnsi="Bookman Old Style" w:cs="Arial"/>
          <w:lang w:val="es-CO"/>
        </w:rPr>
        <w:t xml:space="preserve">CREG </w:t>
      </w:r>
      <w:r w:rsidR="21AFD4A1" w:rsidRPr="0086458B">
        <w:rPr>
          <w:rFonts w:ascii="Bookman Old Style" w:eastAsia="MS Mincho" w:hAnsi="Bookman Old Style" w:cs="Arial"/>
          <w:lang w:val="es-CO"/>
        </w:rPr>
        <w:t>E-2019-008936 del 15 de agosto de 2019</w:t>
      </w:r>
      <w:r w:rsidR="00D17093">
        <w:rPr>
          <w:rFonts w:ascii="Bookman Old Style" w:eastAsia="MS Mincho" w:hAnsi="Bookman Old Style" w:cs="Arial"/>
          <w:lang w:val="es-CO"/>
        </w:rPr>
        <w:t>, en la que indic</w:t>
      </w:r>
      <w:r w:rsidR="0085738B">
        <w:rPr>
          <w:rFonts w:ascii="Bookman Old Style" w:eastAsia="MS Mincho" w:hAnsi="Bookman Old Style" w:cs="Arial"/>
          <w:lang w:val="es-CO"/>
        </w:rPr>
        <w:t>a:</w:t>
      </w:r>
    </w:p>
    <w:p w14:paraId="27A0C77A" w14:textId="77777777" w:rsidR="00004067" w:rsidRDefault="00004067" w:rsidP="00B264DC">
      <w:pPr>
        <w:ind w:left="284"/>
        <w:contextualSpacing/>
        <w:jc w:val="both"/>
        <w:rPr>
          <w:rFonts w:ascii="Bookman Old Style" w:eastAsia="MS Mincho" w:hAnsi="Bookman Old Style" w:cs="Arial"/>
          <w:lang w:val="es-CO"/>
        </w:rPr>
      </w:pPr>
    </w:p>
    <w:p w14:paraId="5A42B5D8" w14:textId="0A44E6D8" w:rsidR="00004067" w:rsidRDefault="00004067" w:rsidP="00BB0E2D">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004067">
        <w:rPr>
          <w:rFonts w:ascii="Bookman Old Style" w:eastAsia="MS Mincho" w:hAnsi="Bookman Old Style" w:cs="Arial"/>
          <w:i/>
          <w:iCs/>
          <w:sz w:val="20"/>
          <w:szCs w:val="20"/>
          <w:lang w:val="es-CO"/>
        </w:rPr>
        <w:t>me permito informarle que a continuación se relacionan los prestadores que</w:t>
      </w:r>
      <w:r>
        <w:rPr>
          <w:rFonts w:ascii="Bookman Old Style" w:eastAsia="MS Mincho" w:hAnsi="Bookman Old Style" w:cs="Arial"/>
          <w:i/>
          <w:iCs/>
          <w:sz w:val="20"/>
          <w:szCs w:val="20"/>
          <w:lang w:val="es-CO"/>
        </w:rPr>
        <w:t xml:space="preserve"> </w:t>
      </w:r>
      <w:r w:rsidRPr="00004067">
        <w:rPr>
          <w:rFonts w:ascii="Bookman Old Style" w:eastAsia="MS Mincho" w:hAnsi="Bookman Old Style" w:cs="Arial"/>
          <w:i/>
          <w:iCs/>
          <w:sz w:val="20"/>
          <w:szCs w:val="20"/>
          <w:lang w:val="es-CO"/>
        </w:rPr>
        <w:t>registran prestación en el SUI de las poblaciones indicadas en la comunicación del asunto</w:t>
      </w:r>
      <w:r w:rsidR="00702E8A">
        <w:rPr>
          <w:rFonts w:ascii="Bookman Old Style" w:eastAsia="MS Mincho" w:hAnsi="Bookman Old Style" w:cs="Arial"/>
          <w:i/>
          <w:iCs/>
          <w:sz w:val="20"/>
          <w:szCs w:val="20"/>
          <w:lang w:val="es-CO"/>
        </w:rPr>
        <w:t xml:space="preserve"> (…)</w:t>
      </w:r>
    </w:p>
    <w:p w14:paraId="32BD9B6F" w14:textId="77777777" w:rsidR="00702E8A" w:rsidRDefault="00702E8A" w:rsidP="00BB0E2D">
      <w:pPr>
        <w:ind w:left="567"/>
        <w:contextualSpacing/>
        <w:jc w:val="both"/>
        <w:rPr>
          <w:rFonts w:ascii="Bookman Old Style" w:eastAsia="MS Mincho" w:hAnsi="Bookman Old Style" w:cs="Arial"/>
          <w:i/>
          <w:iCs/>
          <w:sz w:val="20"/>
          <w:szCs w:val="20"/>
          <w:lang w:val="es-CO"/>
        </w:rPr>
      </w:pPr>
    </w:p>
    <w:tbl>
      <w:tblPr>
        <w:tblStyle w:val="Tablaconcuadrcula"/>
        <w:tblW w:w="9101" w:type="dxa"/>
        <w:tblInd w:w="562" w:type="dxa"/>
        <w:tblLayout w:type="fixed"/>
        <w:tblLook w:val="04A0" w:firstRow="1" w:lastRow="0" w:firstColumn="1" w:lastColumn="0" w:noHBand="0" w:noVBand="1"/>
      </w:tblPr>
      <w:tblGrid>
        <w:gridCol w:w="2977"/>
        <w:gridCol w:w="1134"/>
        <w:gridCol w:w="1701"/>
        <w:gridCol w:w="1276"/>
        <w:gridCol w:w="2013"/>
      </w:tblGrid>
      <w:tr w:rsidR="00116919" w:rsidRPr="003C7429" w14:paraId="088D9A76" w14:textId="77777777" w:rsidTr="00996B6A">
        <w:trPr>
          <w:trHeight w:val="420"/>
          <w:tblHeader/>
        </w:trPr>
        <w:tc>
          <w:tcPr>
            <w:tcW w:w="2977" w:type="dxa"/>
            <w:vAlign w:val="center"/>
          </w:tcPr>
          <w:p w14:paraId="18DF7CFB" w14:textId="705E133E" w:rsidR="0094622F" w:rsidRPr="003C7429" w:rsidRDefault="00405EAD"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EMPRESA (actividades)</w:t>
            </w:r>
          </w:p>
        </w:tc>
        <w:tc>
          <w:tcPr>
            <w:tcW w:w="1134" w:type="dxa"/>
            <w:vAlign w:val="center"/>
          </w:tcPr>
          <w:p w14:paraId="50CA6D5E" w14:textId="7C131966" w:rsidR="0094622F" w:rsidRPr="003C7429" w:rsidRDefault="00022712"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COD DANE</w:t>
            </w:r>
          </w:p>
        </w:tc>
        <w:tc>
          <w:tcPr>
            <w:tcW w:w="1701" w:type="dxa"/>
            <w:vAlign w:val="center"/>
          </w:tcPr>
          <w:p w14:paraId="00D2943B" w14:textId="6AA551A3" w:rsidR="0094622F" w:rsidRPr="003C7429" w:rsidRDefault="00794495"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DEPARTAMENTO</w:t>
            </w:r>
          </w:p>
        </w:tc>
        <w:tc>
          <w:tcPr>
            <w:tcW w:w="1276" w:type="dxa"/>
            <w:vAlign w:val="center"/>
          </w:tcPr>
          <w:p w14:paraId="298D502F" w14:textId="6B90B441" w:rsidR="0094622F" w:rsidRPr="003C7429" w:rsidRDefault="0090687D"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MUNICIPIO</w:t>
            </w:r>
          </w:p>
        </w:tc>
        <w:tc>
          <w:tcPr>
            <w:tcW w:w="2013" w:type="dxa"/>
            <w:vAlign w:val="center"/>
          </w:tcPr>
          <w:p w14:paraId="2D49F01F" w14:textId="713D93EF" w:rsidR="0094622F" w:rsidRPr="003C7429" w:rsidRDefault="0090687D"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NOMBRE LOCALIDAD</w:t>
            </w:r>
          </w:p>
        </w:tc>
      </w:tr>
      <w:tr w:rsidR="00116919" w:rsidRPr="003C7429" w14:paraId="19F82F01" w14:textId="77777777" w:rsidTr="009B08D4">
        <w:trPr>
          <w:trHeight w:val="525"/>
        </w:trPr>
        <w:tc>
          <w:tcPr>
            <w:tcW w:w="2977" w:type="dxa"/>
          </w:tcPr>
          <w:p w14:paraId="1C44906C" w14:textId="77777777" w:rsidR="0094622F" w:rsidRPr="003C7429" w:rsidRDefault="00991AB5"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DEPARTAMENTO DEL VAUPES</w:t>
            </w:r>
          </w:p>
          <w:p w14:paraId="3B6B5DBF" w14:textId="75368876" w:rsidR="00991AB5" w:rsidRPr="003C7429" w:rsidRDefault="00991AB5"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 xml:space="preserve">(Distribución </w:t>
            </w:r>
            <w:r w:rsidR="00B0517A" w:rsidRPr="003C7429">
              <w:rPr>
                <w:rFonts w:ascii="Bookman Old Style" w:eastAsia="MS Mincho" w:hAnsi="Bookman Old Style" w:cs="Arial"/>
                <w:i/>
                <w:iCs/>
                <w:sz w:val="16"/>
                <w:szCs w:val="16"/>
                <w:lang w:val="es-CO"/>
              </w:rPr>
              <w:t>y Comercialización)</w:t>
            </w:r>
          </w:p>
        </w:tc>
        <w:tc>
          <w:tcPr>
            <w:tcW w:w="1134" w:type="dxa"/>
          </w:tcPr>
          <w:p w14:paraId="20F8456A" w14:textId="083C9D99" w:rsidR="0094622F" w:rsidRPr="003C7429" w:rsidRDefault="00170EE2" w:rsidP="00914C93">
            <w:pPr>
              <w:contextualSpacing/>
              <w:jc w:val="center"/>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97</w:t>
            </w:r>
            <w:r w:rsidR="004F3A04" w:rsidRPr="003C7429">
              <w:rPr>
                <w:rFonts w:ascii="Bookman Old Style" w:eastAsia="MS Mincho" w:hAnsi="Bookman Old Style" w:cs="Arial"/>
                <w:i/>
                <w:iCs/>
                <w:sz w:val="16"/>
                <w:szCs w:val="16"/>
                <w:lang w:val="es-CO"/>
              </w:rPr>
              <w:t>001000</w:t>
            </w:r>
          </w:p>
        </w:tc>
        <w:tc>
          <w:tcPr>
            <w:tcW w:w="1701" w:type="dxa"/>
          </w:tcPr>
          <w:p w14:paraId="6F8BA735" w14:textId="1BBCC64E" w:rsidR="0094622F" w:rsidRPr="003C7429" w:rsidRDefault="00C01903"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VAUPES</w:t>
            </w:r>
          </w:p>
        </w:tc>
        <w:tc>
          <w:tcPr>
            <w:tcW w:w="1276" w:type="dxa"/>
          </w:tcPr>
          <w:p w14:paraId="5B9A82D4" w14:textId="152988A6" w:rsidR="0094622F" w:rsidRPr="003C7429" w:rsidRDefault="00C01903"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MITU</w:t>
            </w:r>
          </w:p>
        </w:tc>
        <w:tc>
          <w:tcPr>
            <w:tcW w:w="2013" w:type="dxa"/>
          </w:tcPr>
          <w:p w14:paraId="439F9F30" w14:textId="4F08C793" w:rsidR="00116919" w:rsidRPr="003C7429" w:rsidRDefault="00812366"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MITU</w:t>
            </w:r>
            <w:r w:rsidR="001E70CD" w:rsidRPr="003C7429">
              <w:rPr>
                <w:rFonts w:ascii="Bookman Old Style" w:eastAsia="MS Mincho" w:hAnsi="Bookman Old Style" w:cs="Arial"/>
                <w:i/>
                <w:iCs/>
                <w:sz w:val="16"/>
                <w:szCs w:val="16"/>
                <w:lang w:val="es-CO"/>
              </w:rPr>
              <w:t>-</w:t>
            </w:r>
            <w:r w:rsidRPr="003C7429">
              <w:rPr>
                <w:rFonts w:ascii="Bookman Old Style" w:eastAsia="MS Mincho" w:hAnsi="Bookman Old Style" w:cs="Arial"/>
                <w:i/>
                <w:iCs/>
                <w:sz w:val="16"/>
                <w:szCs w:val="16"/>
                <w:lang w:val="es-CO"/>
              </w:rPr>
              <w:t>CABECERAMU</w:t>
            </w:r>
          </w:p>
          <w:p w14:paraId="5199F27B" w14:textId="1ED3EFB4" w:rsidR="0094622F" w:rsidRPr="003C7429" w:rsidRDefault="00812366" w:rsidP="00004067">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NICIPAL</w:t>
            </w:r>
          </w:p>
        </w:tc>
      </w:tr>
      <w:tr w:rsidR="00116919" w:rsidRPr="003C7429" w14:paraId="4CEB9012" w14:textId="77777777" w:rsidTr="009B08D4">
        <w:trPr>
          <w:trHeight w:val="525"/>
        </w:trPr>
        <w:tc>
          <w:tcPr>
            <w:tcW w:w="2977" w:type="dxa"/>
          </w:tcPr>
          <w:p w14:paraId="40C385B3" w14:textId="77777777" w:rsidR="00EE7B01" w:rsidRPr="003C7429" w:rsidRDefault="00EE7B01" w:rsidP="00EE7B01">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 xml:space="preserve">GESTION ENERGETICA </w:t>
            </w:r>
            <w:r w:rsidR="009A256B" w:rsidRPr="003C7429">
              <w:rPr>
                <w:rFonts w:ascii="Bookman Old Style" w:eastAsia="MS Mincho" w:hAnsi="Bookman Old Style" w:cs="Arial"/>
                <w:i/>
                <w:iCs/>
                <w:sz w:val="16"/>
                <w:szCs w:val="16"/>
                <w:lang w:val="es-CO"/>
              </w:rPr>
              <w:t>S.A. ESP</w:t>
            </w:r>
          </w:p>
          <w:p w14:paraId="612FF66E" w14:textId="53400E89" w:rsidR="003F1243" w:rsidRPr="003C7429" w:rsidRDefault="003F1243" w:rsidP="00EE7B01">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(Generación)</w:t>
            </w:r>
          </w:p>
        </w:tc>
        <w:tc>
          <w:tcPr>
            <w:tcW w:w="1134" w:type="dxa"/>
          </w:tcPr>
          <w:p w14:paraId="080DB53A" w14:textId="7803B6F7" w:rsidR="00EE7B01" w:rsidRPr="003C7429" w:rsidRDefault="00EE7B01" w:rsidP="00914C93">
            <w:pPr>
              <w:contextualSpacing/>
              <w:jc w:val="center"/>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97001000</w:t>
            </w:r>
          </w:p>
        </w:tc>
        <w:tc>
          <w:tcPr>
            <w:tcW w:w="1701" w:type="dxa"/>
          </w:tcPr>
          <w:p w14:paraId="10EE2EB1" w14:textId="418F08FB" w:rsidR="00EE7B01" w:rsidRPr="003C7429" w:rsidRDefault="00EE7B01" w:rsidP="00EE7B01">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VAUPES</w:t>
            </w:r>
          </w:p>
        </w:tc>
        <w:tc>
          <w:tcPr>
            <w:tcW w:w="1276" w:type="dxa"/>
          </w:tcPr>
          <w:p w14:paraId="1C81EDC2" w14:textId="27586AB7" w:rsidR="00EE7B01" w:rsidRPr="003C7429" w:rsidRDefault="00EE7B01" w:rsidP="00EE7B01">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MITU</w:t>
            </w:r>
          </w:p>
        </w:tc>
        <w:tc>
          <w:tcPr>
            <w:tcW w:w="2013" w:type="dxa"/>
          </w:tcPr>
          <w:p w14:paraId="3F8ADA75" w14:textId="7F80813E" w:rsidR="00EE7B01" w:rsidRPr="003C7429" w:rsidRDefault="00EE7B01" w:rsidP="00EE7B01">
            <w:pPr>
              <w:contextualSpacing/>
              <w:jc w:val="both"/>
              <w:rPr>
                <w:rFonts w:ascii="Bookman Old Style" w:eastAsia="MS Mincho" w:hAnsi="Bookman Old Style" w:cs="Arial"/>
                <w:i/>
                <w:iCs/>
                <w:sz w:val="16"/>
                <w:szCs w:val="16"/>
                <w:lang w:val="es-CO"/>
              </w:rPr>
            </w:pPr>
            <w:r w:rsidRPr="003C7429">
              <w:rPr>
                <w:rFonts w:ascii="Bookman Old Style" w:eastAsia="MS Mincho" w:hAnsi="Bookman Old Style" w:cs="Arial"/>
                <w:i/>
                <w:iCs/>
                <w:sz w:val="16"/>
                <w:szCs w:val="16"/>
                <w:lang w:val="es-CO"/>
              </w:rPr>
              <w:t>MITU</w:t>
            </w:r>
            <w:r w:rsidR="0099477A" w:rsidRPr="003C7429">
              <w:rPr>
                <w:rFonts w:ascii="Bookman Old Style" w:eastAsia="MS Mincho" w:hAnsi="Bookman Old Style" w:cs="Arial"/>
                <w:i/>
                <w:iCs/>
                <w:sz w:val="16"/>
                <w:szCs w:val="16"/>
                <w:lang w:val="es-CO"/>
              </w:rPr>
              <w:t>-</w:t>
            </w:r>
            <w:r w:rsidRPr="003C7429">
              <w:rPr>
                <w:rFonts w:ascii="Bookman Old Style" w:eastAsia="MS Mincho" w:hAnsi="Bookman Old Style" w:cs="Arial"/>
                <w:i/>
                <w:iCs/>
                <w:sz w:val="16"/>
                <w:szCs w:val="16"/>
                <w:lang w:val="es-CO"/>
              </w:rPr>
              <w:t>CABECERA MU</w:t>
            </w:r>
            <w:r w:rsidR="0099477A" w:rsidRPr="003C7429">
              <w:rPr>
                <w:rFonts w:ascii="Bookman Old Style" w:eastAsia="MS Mincho" w:hAnsi="Bookman Old Style" w:cs="Arial"/>
                <w:i/>
                <w:iCs/>
                <w:sz w:val="16"/>
                <w:szCs w:val="16"/>
                <w:lang w:val="es-CO"/>
              </w:rPr>
              <w:t>-</w:t>
            </w:r>
            <w:r w:rsidRPr="003C7429">
              <w:rPr>
                <w:rFonts w:ascii="Bookman Old Style" w:eastAsia="MS Mincho" w:hAnsi="Bookman Old Style" w:cs="Arial"/>
                <w:i/>
                <w:iCs/>
                <w:sz w:val="16"/>
                <w:szCs w:val="16"/>
                <w:lang w:val="es-CO"/>
              </w:rPr>
              <w:t>NICIPAL</w:t>
            </w:r>
          </w:p>
        </w:tc>
      </w:tr>
    </w:tbl>
    <w:p w14:paraId="48C486DE" w14:textId="77777777" w:rsidR="00702E8A" w:rsidRDefault="00702E8A" w:rsidP="00BB0E2D">
      <w:pPr>
        <w:ind w:left="567"/>
        <w:contextualSpacing/>
        <w:jc w:val="both"/>
        <w:rPr>
          <w:rFonts w:ascii="Bookman Old Style" w:eastAsia="MS Mincho" w:hAnsi="Bookman Old Style" w:cs="Arial"/>
          <w:i/>
          <w:iCs/>
          <w:sz w:val="20"/>
          <w:szCs w:val="20"/>
          <w:lang w:val="es-CO"/>
        </w:rPr>
      </w:pPr>
    </w:p>
    <w:p w14:paraId="52381DF3" w14:textId="41CE2976" w:rsidR="00702E8A" w:rsidRDefault="00F46769" w:rsidP="00BB0E2D">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p>
    <w:p w14:paraId="1D19749A" w14:textId="77777777" w:rsidR="00225865" w:rsidRPr="00004067" w:rsidRDefault="00225865" w:rsidP="00BB0E2D">
      <w:pPr>
        <w:ind w:left="567"/>
        <w:contextualSpacing/>
        <w:jc w:val="both"/>
        <w:rPr>
          <w:rFonts w:ascii="Bookman Old Style" w:eastAsia="MS Mincho" w:hAnsi="Bookman Old Style" w:cs="Arial"/>
          <w:i/>
          <w:iCs/>
          <w:sz w:val="20"/>
          <w:szCs w:val="20"/>
          <w:lang w:val="es-CO"/>
        </w:rPr>
      </w:pPr>
    </w:p>
    <w:p w14:paraId="2448C3A8" w14:textId="77777777" w:rsidR="00004067" w:rsidRDefault="00004067" w:rsidP="00B264DC">
      <w:pPr>
        <w:ind w:left="284"/>
        <w:contextualSpacing/>
        <w:jc w:val="both"/>
        <w:rPr>
          <w:rFonts w:ascii="Bookman Old Style" w:eastAsia="MS Mincho" w:hAnsi="Bookman Old Style" w:cs="Arial"/>
          <w:lang w:val="es-CO"/>
        </w:rPr>
      </w:pPr>
    </w:p>
    <w:p w14:paraId="6C9BB15E" w14:textId="350BBF1A" w:rsidR="00F81D22" w:rsidRPr="0086458B" w:rsidRDefault="21AFD4A1" w:rsidP="00B264DC">
      <w:pPr>
        <w:ind w:left="284"/>
        <w:contextualSpacing/>
        <w:jc w:val="both"/>
        <w:rPr>
          <w:rFonts w:ascii="Bookman Old Style" w:eastAsia="MS Mincho" w:hAnsi="Bookman Old Style" w:cs="Arial"/>
          <w:lang w:val="es-CO"/>
        </w:rPr>
      </w:pPr>
      <w:r w:rsidRPr="0086458B">
        <w:rPr>
          <w:rFonts w:ascii="Bookman Old Style" w:eastAsia="MS Mincho" w:hAnsi="Bookman Old Style" w:cs="Arial"/>
          <w:lang w:val="es-CO"/>
        </w:rPr>
        <w:t>En</w:t>
      </w:r>
      <w:r w:rsidR="394529D2" w:rsidRPr="0086458B">
        <w:rPr>
          <w:rFonts w:ascii="Bookman Old Style" w:eastAsia="MS Mincho" w:hAnsi="Bookman Old Style" w:cs="Arial"/>
          <w:lang w:val="es-CO"/>
        </w:rPr>
        <w:t xml:space="preserve"> la citada comunicación se indica que en el SUI está registrado </w:t>
      </w:r>
      <w:r w:rsidR="00507040" w:rsidRPr="0086458B">
        <w:rPr>
          <w:rFonts w:ascii="Bookman Old Style" w:eastAsia="MS Mincho" w:hAnsi="Bookman Old Style" w:cs="Arial"/>
          <w:lang w:val="es-CO"/>
        </w:rPr>
        <w:t>GENSA</w:t>
      </w:r>
      <w:r w:rsidR="002809C7">
        <w:rPr>
          <w:rFonts w:ascii="Bookman Old Style" w:eastAsia="MS Mincho" w:hAnsi="Bookman Old Style" w:cs="Arial"/>
          <w:lang w:val="es-CO"/>
        </w:rPr>
        <w:t>,</w:t>
      </w:r>
      <w:r w:rsidR="00507040" w:rsidRPr="0086458B">
        <w:rPr>
          <w:rFonts w:ascii="Bookman Old Style" w:eastAsia="MS Mincho" w:hAnsi="Bookman Old Style" w:cs="Arial"/>
          <w:lang w:val="es-CO"/>
        </w:rPr>
        <w:t xml:space="preserve"> </w:t>
      </w:r>
      <w:r w:rsidR="00507040">
        <w:rPr>
          <w:rFonts w:ascii="Bookman Old Style" w:eastAsia="MS Mincho" w:hAnsi="Bookman Old Style" w:cs="Arial"/>
          <w:lang w:val="es-CO"/>
        </w:rPr>
        <w:t xml:space="preserve">desarrollando la </w:t>
      </w:r>
      <w:r w:rsidR="394529D2" w:rsidRPr="0086458B">
        <w:rPr>
          <w:rFonts w:ascii="Bookman Old Style" w:eastAsia="MS Mincho" w:hAnsi="Bookman Old Style" w:cs="Arial"/>
          <w:lang w:val="es-CO"/>
        </w:rPr>
        <w:t xml:space="preserve">actividad de generación </w:t>
      </w:r>
      <w:r w:rsidR="00507040">
        <w:rPr>
          <w:rFonts w:ascii="Bookman Old Style" w:eastAsia="MS Mincho" w:hAnsi="Bookman Old Style" w:cs="Arial"/>
          <w:lang w:val="es-CO"/>
        </w:rPr>
        <w:t>de energía eléctrica</w:t>
      </w:r>
      <w:r w:rsidR="002809C7">
        <w:rPr>
          <w:rFonts w:ascii="Bookman Old Style" w:eastAsia="MS Mincho" w:hAnsi="Bookman Old Style" w:cs="Arial"/>
          <w:lang w:val="es-CO"/>
        </w:rPr>
        <w:t>,</w:t>
      </w:r>
      <w:r w:rsidR="00507040">
        <w:rPr>
          <w:rFonts w:ascii="Bookman Old Style" w:eastAsia="MS Mincho" w:hAnsi="Bookman Old Style" w:cs="Arial"/>
          <w:lang w:val="es-CO"/>
        </w:rPr>
        <w:t xml:space="preserve"> </w:t>
      </w:r>
      <w:r w:rsidR="394529D2" w:rsidRPr="0086458B">
        <w:rPr>
          <w:rFonts w:ascii="Bookman Old Style" w:eastAsia="MS Mincho" w:hAnsi="Bookman Old Style" w:cs="Arial"/>
          <w:lang w:val="es-CO"/>
        </w:rPr>
        <w:t xml:space="preserve">y </w:t>
      </w:r>
      <w:r w:rsidR="00012BF1">
        <w:rPr>
          <w:rFonts w:ascii="Bookman Old Style" w:eastAsia="MS Mincho" w:hAnsi="Bookman Old Style" w:cs="Arial"/>
          <w:lang w:val="es-CO"/>
        </w:rPr>
        <w:t xml:space="preserve">el Departamento del Vaupés, desarrollando las actividades de distribución </w:t>
      </w:r>
      <w:r w:rsidR="394529D2" w:rsidRPr="0086458B">
        <w:rPr>
          <w:rFonts w:ascii="Bookman Old Style" w:eastAsia="MS Mincho" w:hAnsi="Bookman Old Style" w:cs="Arial"/>
          <w:lang w:val="es-CO"/>
        </w:rPr>
        <w:t xml:space="preserve">y comercialización </w:t>
      </w:r>
      <w:r w:rsidR="00012BF1">
        <w:rPr>
          <w:rFonts w:ascii="Bookman Old Style" w:eastAsia="MS Mincho" w:hAnsi="Bookman Old Style" w:cs="Arial"/>
          <w:lang w:val="es-CO"/>
        </w:rPr>
        <w:t>de energía eléctrica</w:t>
      </w:r>
      <w:r w:rsidR="394529D2" w:rsidRPr="0086458B">
        <w:rPr>
          <w:rFonts w:ascii="Bookman Old Style" w:eastAsia="MS Mincho" w:hAnsi="Bookman Old Style" w:cs="Arial"/>
          <w:lang w:val="es-CO"/>
        </w:rPr>
        <w:t>.</w:t>
      </w:r>
    </w:p>
    <w:p w14:paraId="35AB3A8F" w14:textId="0C64373B" w:rsidR="00F81D22" w:rsidRDefault="00F81D22" w:rsidP="00B264DC">
      <w:pPr>
        <w:ind w:left="284"/>
        <w:contextualSpacing/>
        <w:jc w:val="both"/>
        <w:rPr>
          <w:rFonts w:ascii="Bookman Old Style" w:eastAsia="MS Mincho" w:hAnsi="Bookman Old Style" w:cs="Arial"/>
          <w:lang w:val="es-CO"/>
        </w:rPr>
      </w:pPr>
    </w:p>
    <w:p w14:paraId="38B41D94" w14:textId="0E6F3200" w:rsidR="004F2FA4" w:rsidRDefault="000D2DB5"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De otro lado, con el fin de lograr un entendimiento y descripción de los activos que componen</w:t>
      </w:r>
      <w:r w:rsidR="00B9277B">
        <w:rPr>
          <w:rFonts w:ascii="Bookman Old Style" w:eastAsia="MS Mincho" w:hAnsi="Bookman Old Style" w:cs="Arial"/>
          <w:lang w:val="es-CO"/>
        </w:rPr>
        <w:t>,</w:t>
      </w:r>
      <w:r>
        <w:rPr>
          <w:rFonts w:ascii="Bookman Old Style" w:eastAsia="MS Mincho" w:hAnsi="Bookman Old Style" w:cs="Arial"/>
          <w:lang w:val="es-CO"/>
        </w:rPr>
        <w:t xml:space="preserve"> </w:t>
      </w:r>
      <w:r w:rsidR="0014114F">
        <w:rPr>
          <w:rFonts w:ascii="Bookman Old Style" w:eastAsia="MS Mincho" w:hAnsi="Bookman Old Style" w:cs="Arial"/>
          <w:lang w:val="es-CO"/>
        </w:rPr>
        <w:t xml:space="preserve">tanto el parque de generación como el sistema de distribución del mercado relevante de Mitú, se buscó validar cuáles eran </w:t>
      </w:r>
      <w:r w:rsidR="00115A63">
        <w:rPr>
          <w:rFonts w:ascii="Bookman Old Style" w:eastAsia="MS Mincho" w:hAnsi="Bookman Old Style" w:cs="Arial"/>
          <w:lang w:val="es-CO"/>
        </w:rPr>
        <w:t xml:space="preserve">los puntos de conexión </w:t>
      </w:r>
      <w:r w:rsidR="00F378EC">
        <w:rPr>
          <w:rFonts w:ascii="Bookman Old Style" w:eastAsia="MS Mincho" w:hAnsi="Bookman Old Style" w:cs="Arial"/>
          <w:lang w:val="es-CO"/>
        </w:rPr>
        <w:t>existen</w:t>
      </w:r>
      <w:r w:rsidR="00A71C45">
        <w:rPr>
          <w:rFonts w:ascii="Bookman Old Style" w:eastAsia="MS Mincho" w:hAnsi="Bookman Old Style" w:cs="Arial"/>
          <w:lang w:val="es-CO"/>
        </w:rPr>
        <w:t>tes</w:t>
      </w:r>
      <w:r w:rsidR="00F378EC">
        <w:rPr>
          <w:rFonts w:ascii="Bookman Old Style" w:eastAsia="MS Mincho" w:hAnsi="Bookman Old Style" w:cs="Arial"/>
          <w:lang w:val="es-CO"/>
        </w:rPr>
        <w:t xml:space="preserve"> entre </w:t>
      </w:r>
      <w:r w:rsidR="00A71C45">
        <w:rPr>
          <w:rFonts w:ascii="Bookman Old Style" w:eastAsia="MS Mincho" w:hAnsi="Bookman Old Style" w:cs="Arial"/>
          <w:lang w:val="es-CO"/>
        </w:rPr>
        <w:t xml:space="preserve">estos, </w:t>
      </w:r>
      <w:r w:rsidR="007A4F73">
        <w:rPr>
          <w:rFonts w:ascii="Bookman Old Style" w:eastAsia="MS Mincho" w:hAnsi="Bookman Old Style" w:cs="Arial"/>
          <w:lang w:val="es-CO"/>
        </w:rPr>
        <w:t xml:space="preserve">considerando las obligaciones </w:t>
      </w:r>
      <w:r w:rsidR="008C415A">
        <w:rPr>
          <w:rFonts w:ascii="Bookman Old Style" w:eastAsia="MS Mincho" w:hAnsi="Bookman Old Style" w:cs="Arial"/>
          <w:lang w:val="es-CO"/>
        </w:rPr>
        <w:t>que deben atender los generadores y distribuidores en ZNI</w:t>
      </w:r>
      <w:r w:rsidR="00B9277B">
        <w:rPr>
          <w:rFonts w:ascii="Bookman Old Style" w:eastAsia="MS Mincho" w:hAnsi="Bookman Old Style" w:cs="Arial"/>
          <w:lang w:val="es-CO"/>
        </w:rPr>
        <w:t>,</w:t>
      </w:r>
      <w:r w:rsidR="00140A52">
        <w:rPr>
          <w:rFonts w:ascii="Bookman Old Style" w:eastAsia="MS Mincho" w:hAnsi="Bookman Old Style" w:cs="Arial"/>
          <w:lang w:val="es-CO"/>
        </w:rPr>
        <w:t xml:space="preserve"> y </w:t>
      </w:r>
      <w:r w:rsidR="004F2FA4">
        <w:rPr>
          <w:rFonts w:ascii="Bookman Old Style" w:eastAsia="MS Mincho" w:hAnsi="Bookman Old Style" w:cs="Arial"/>
          <w:lang w:val="es-CO"/>
        </w:rPr>
        <w:t xml:space="preserve">el contenido mínimo de los contratos de conexión </w:t>
      </w:r>
      <w:r w:rsidR="00C338A1">
        <w:rPr>
          <w:rFonts w:ascii="Bookman Old Style" w:eastAsia="MS Mincho" w:hAnsi="Bookman Old Style" w:cs="Arial"/>
          <w:lang w:val="es-CO"/>
        </w:rPr>
        <w:t xml:space="preserve">que </w:t>
      </w:r>
      <w:r w:rsidR="004F2FA4">
        <w:rPr>
          <w:rFonts w:ascii="Bookman Old Style" w:eastAsia="MS Mincho" w:hAnsi="Bookman Old Style" w:cs="Arial"/>
          <w:lang w:val="es-CO"/>
        </w:rPr>
        <w:t>debe</w:t>
      </w:r>
      <w:r w:rsidR="00C32CB6">
        <w:rPr>
          <w:rFonts w:ascii="Bookman Old Style" w:eastAsia="MS Mincho" w:hAnsi="Bookman Old Style" w:cs="Arial"/>
          <w:lang w:val="es-CO"/>
        </w:rPr>
        <w:t>n</w:t>
      </w:r>
      <w:r w:rsidR="004F2FA4">
        <w:rPr>
          <w:rFonts w:ascii="Bookman Old Style" w:eastAsia="MS Mincho" w:hAnsi="Bookman Old Style" w:cs="Arial"/>
          <w:lang w:val="es-CO"/>
        </w:rPr>
        <w:t xml:space="preserve"> </w:t>
      </w:r>
      <w:r w:rsidR="00C338A1">
        <w:rPr>
          <w:rFonts w:ascii="Bookman Old Style" w:eastAsia="MS Mincho" w:hAnsi="Bookman Old Style" w:cs="Arial"/>
          <w:lang w:val="es-CO"/>
        </w:rPr>
        <w:t>suscribir</w:t>
      </w:r>
      <w:r w:rsidR="004F2FA4">
        <w:rPr>
          <w:rFonts w:ascii="Bookman Old Style" w:eastAsia="MS Mincho" w:hAnsi="Bookman Old Style" w:cs="Arial"/>
          <w:lang w:val="es-CO"/>
        </w:rPr>
        <w:t>:</w:t>
      </w:r>
    </w:p>
    <w:p w14:paraId="4A0C5965" w14:textId="77777777" w:rsidR="003129DA" w:rsidRPr="003129DA" w:rsidRDefault="003129DA" w:rsidP="003129DA">
      <w:pPr>
        <w:ind w:left="284"/>
        <w:contextualSpacing/>
        <w:jc w:val="both"/>
        <w:rPr>
          <w:rFonts w:ascii="Bookman Old Style" w:eastAsia="MS Mincho" w:hAnsi="Bookman Old Style" w:cs="Arial"/>
          <w:lang w:val="es-CO"/>
        </w:rPr>
      </w:pPr>
    </w:p>
    <w:p w14:paraId="5F255486" w14:textId="6AFAF693" w:rsidR="003129DA" w:rsidRDefault="003129DA"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3129DA">
        <w:rPr>
          <w:rFonts w:ascii="Bookman Old Style" w:eastAsia="MS Mincho" w:hAnsi="Bookman Old Style" w:cs="Arial"/>
          <w:i/>
          <w:iCs/>
          <w:sz w:val="20"/>
          <w:szCs w:val="20"/>
          <w:lang w:val="es-CO"/>
        </w:rPr>
        <w:t xml:space="preserve">Artículo 5. Contrato de conexión. </w:t>
      </w:r>
      <w:r w:rsidRPr="001F3EDD">
        <w:rPr>
          <w:rFonts w:ascii="Bookman Old Style" w:eastAsia="MS Mincho" w:hAnsi="Bookman Old Style" w:cs="Arial"/>
          <w:b/>
          <w:bCs/>
          <w:i/>
          <w:iCs/>
          <w:sz w:val="20"/>
          <w:szCs w:val="20"/>
          <w:u w:val="single"/>
          <w:lang w:val="es-CO"/>
        </w:rPr>
        <w:t>El contrato de conexión entre el distribuidor y un</w:t>
      </w:r>
      <w:r w:rsidRPr="003129DA">
        <w:rPr>
          <w:rFonts w:ascii="Bookman Old Style" w:eastAsia="MS Mincho" w:hAnsi="Bookman Old Style" w:cs="Arial"/>
          <w:i/>
          <w:iCs/>
          <w:sz w:val="20"/>
          <w:szCs w:val="20"/>
          <w:lang w:val="es-CO"/>
        </w:rPr>
        <w:t xml:space="preserve"> autogenerador o </w:t>
      </w:r>
      <w:r w:rsidRPr="001F3EDD">
        <w:rPr>
          <w:rFonts w:ascii="Bookman Old Style" w:eastAsia="MS Mincho" w:hAnsi="Bookman Old Style" w:cs="Arial"/>
          <w:b/>
          <w:bCs/>
          <w:i/>
          <w:iCs/>
          <w:sz w:val="20"/>
          <w:szCs w:val="20"/>
          <w:u w:val="single"/>
          <w:lang w:val="es-CO"/>
        </w:rPr>
        <w:t>generador distribuido contendrá</w:t>
      </w:r>
      <w:r w:rsidRPr="003129DA">
        <w:rPr>
          <w:rFonts w:ascii="Bookman Old Style" w:eastAsia="MS Mincho" w:hAnsi="Bookman Old Style" w:cs="Arial"/>
          <w:i/>
          <w:iCs/>
          <w:sz w:val="20"/>
          <w:szCs w:val="20"/>
          <w:lang w:val="es-CO"/>
        </w:rPr>
        <w:t xml:space="preserve"> las siguientes condiciones mínimas: (…)</w:t>
      </w:r>
    </w:p>
    <w:p w14:paraId="75695857" w14:textId="77777777" w:rsidR="003129DA" w:rsidRDefault="003129DA" w:rsidP="00B9277B">
      <w:pPr>
        <w:ind w:left="567"/>
        <w:contextualSpacing/>
        <w:jc w:val="both"/>
        <w:rPr>
          <w:rFonts w:ascii="Bookman Old Style" w:eastAsia="MS Mincho" w:hAnsi="Bookman Old Style" w:cs="Arial"/>
          <w:i/>
          <w:iCs/>
          <w:sz w:val="20"/>
          <w:szCs w:val="20"/>
          <w:lang w:val="es-CO"/>
        </w:rPr>
      </w:pPr>
    </w:p>
    <w:p w14:paraId="6A9782B5" w14:textId="137EE811" w:rsidR="003129DA" w:rsidRPr="00076445" w:rsidRDefault="00E62441" w:rsidP="00B9277B">
      <w:pPr>
        <w:ind w:left="567"/>
        <w:contextualSpacing/>
        <w:jc w:val="both"/>
        <w:rPr>
          <w:rFonts w:ascii="Bookman Old Style" w:eastAsia="MS Mincho" w:hAnsi="Bookman Old Style"/>
          <w:sz w:val="20"/>
          <w:lang w:val="es-CO"/>
        </w:rPr>
      </w:pPr>
      <w:r w:rsidRPr="00E62441">
        <w:rPr>
          <w:rFonts w:ascii="Bookman Old Style" w:eastAsia="MS Mincho" w:hAnsi="Bookman Old Style" w:cs="Arial"/>
          <w:i/>
          <w:iCs/>
          <w:sz w:val="20"/>
          <w:szCs w:val="20"/>
          <w:lang w:val="es-CO"/>
        </w:rPr>
        <w:t>6.</w:t>
      </w:r>
      <w:r>
        <w:rPr>
          <w:rFonts w:ascii="Bookman Old Style" w:eastAsia="MS Mincho" w:hAnsi="Bookman Old Style" w:cs="Arial"/>
          <w:i/>
          <w:iCs/>
          <w:sz w:val="20"/>
          <w:szCs w:val="20"/>
          <w:lang w:val="es-CO"/>
        </w:rPr>
        <w:t xml:space="preserve"> </w:t>
      </w:r>
      <w:r w:rsidRPr="001F3EDD">
        <w:rPr>
          <w:rFonts w:ascii="Bookman Old Style" w:eastAsia="MS Mincho" w:hAnsi="Bookman Old Style" w:cs="Arial"/>
          <w:b/>
          <w:bCs/>
          <w:i/>
          <w:iCs/>
          <w:sz w:val="20"/>
          <w:szCs w:val="20"/>
          <w:u w:val="single"/>
          <w:lang w:val="es-CO"/>
        </w:rPr>
        <w:t>Ubicación georreferenciada o cartográfica del circuito o transformador al que pertenezca el generador distribuido</w:t>
      </w:r>
      <w:r w:rsidRPr="00E62441">
        <w:rPr>
          <w:rFonts w:ascii="Bookman Old Style" w:eastAsia="MS Mincho" w:hAnsi="Bookman Old Style" w:cs="Arial"/>
          <w:i/>
          <w:iCs/>
          <w:sz w:val="20"/>
          <w:szCs w:val="20"/>
          <w:lang w:val="es-CO"/>
        </w:rPr>
        <w:t xml:space="preserve"> o autogenerador que se conecta.</w:t>
      </w:r>
      <w:r>
        <w:rPr>
          <w:rFonts w:ascii="Bookman Old Style" w:eastAsia="MS Mincho" w:hAnsi="Bookman Old Style" w:cs="Arial"/>
          <w:i/>
          <w:iCs/>
          <w:sz w:val="20"/>
          <w:szCs w:val="20"/>
          <w:lang w:val="es-CO"/>
        </w:rPr>
        <w:t xml:space="preserve"> (…)”</w:t>
      </w:r>
      <w:r w:rsidR="001F3EDD">
        <w:rPr>
          <w:rFonts w:ascii="Bookman Old Style" w:eastAsia="MS Mincho" w:hAnsi="Bookman Old Style" w:cs="Arial"/>
          <w:sz w:val="20"/>
          <w:szCs w:val="20"/>
          <w:lang w:val="es-CO"/>
        </w:rPr>
        <w:t xml:space="preserve"> </w:t>
      </w:r>
      <w:r w:rsidR="001F3EDD" w:rsidRPr="00076445">
        <w:rPr>
          <w:rFonts w:ascii="Bookman Old Style" w:eastAsia="MS Mincho" w:hAnsi="Bookman Old Style"/>
          <w:sz w:val="20"/>
          <w:lang w:val="es-CO"/>
        </w:rPr>
        <w:t>Resaltado y subrayado fuera de texto.</w:t>
      </w:r>
    </w:p>
    <w:p w14:paraId="4C13E394" w14:textId="77777777" w:rsidR="003129DA" w:rsidRDefault="003129DA" w:rsidP="00B264DC">
      <w:pPr>
        <w:ind w:left="284"/>
        <w:contextualSpacing/>
        <w:jc w:val="both"/>
        <w:rPr>
          <w:rFonts w:ascii="Bookman Old Style" w:eastAsia="MS Mincho" w:hAnsi="Bookman Old Style" w:cs="Arial"/>
          <w:lang w:val="es-CO"/>
        </w:rPr>
      </w:pPr>
    </w:p>
    <w:p w14:paraId="0B0DC70F" w14:textId="71E67196" w:rsidR="00034E03" w:rsidRDefault="001F3EDD"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M</w:t>
      </w:r>
      <w:r w:rsidR="002F3144">
        <w:rPr>
          <w:rFonts w:ascii="Bookman Old Style" w:eastAsia="MS Mincho" w:hAnsi="Bookman Old Style" w:cs="Arial"/>
          <w:lang w:val="es-CO"/>
        </w:rPr>
        <w:t>ediante auto</w:t>
      </w:r>
      <w:r w:rsidR="009749F3">
        <w:rPr>
          <w:rFonts w:ascii="Bookman Old Style" w:eastAsia="MS Mincho" w:hAnsi="Bookman Old Style" w:cs="Arial"/>
          <w:lang w:val="es-CO"/>
        </w:rPr>
        <w:t>s</w:t>
      </w:r>
      <w:r w:rsidR="002F3144">
        <w:rPr>
          <w:rFonts w:ascii="Bookman Old Style" w:eastAsia="MS Mincho" w:hAnsi="Bookman Old Style" w:cs="Arial"/>
          <w:lang w:val="es-CO"/>
        </w:rPr>
        <w:t xml:space="preserve"> de pruebas</w:t>
      </w:r>
      <w:r w:rsidR="006661FD">
        <w:rPr>
          <w:rFonts w:ascii="Bookman Old Style" w:eastAsia="MS Mincho" w:hAnsi="Bookman Old Style" w:cs="Arial"/>
          <w:lang w:val="es-CO"/>
        </w:rPr>
        <w:t xml:space="preserve"> </w:t>
      </w:r>
      <w:r w:rsidR="006661FD" w:rsidRPr="002D001A">
        <w:rPr>
          <w:rFonts w:ascii="Bookman Old Style" w:eastAsia="MS Mincho" w:hAnsi="Bookman Old Style" w:cs="Arial"/>
          <w:lang w:val="es-CO"/>
        </w:rPr>
        <w:t xml:space="preserve">I-2021-001628 </w:t>
      </w:r>
      <w:r w:rsidR="009749F3" w:rsidRPr="002D001A">
        <w:rPr>
          <w:rFonts w:ascii="Bookman Old Style" w:eastAsia="MS Mincho" w:hAnsi="Bookman Old Style" w:cs="Arial"/>
          <w:lang w:val="es-CO"/>
        </w:rPr>
        <w:t>e I-2021-00</w:t>
      </w:r>
      <w:r w:rsidR="002D001A" w:rsidRPr="002D001A">
        <w:rPr>
          <w:rFonts w:ascii="Bookman Old Style" w:eastAsia="MS Mincho" w:hAnsi="Bookman Old Style" w:cs="Arial"/>
          <w:lang w:val="es-CO"/>
        </w:rPr>
        <w:t>2009</w:t>
      </w:r>
      <w:r w:rsidR="002F3144">
        <w:rPr>
          <w:rFonts w:ascii="Bookman Old Style" w:eastAsia="MS Mincho" w:hAnsi="Bookman Old Style" w:cs="Arial"/>
          <w:lang w:val="es-CO"/>
        </w:rPr>
        <w:t xml:space="preserve">, </w:t>
      </w:r>
      <w:r w:rsidR="00A246EE">
        <w:rPr>
          <w:rFonts w:ascii="Bookman Old Style" w:eastAsia="MS Mincho" w:hAnsi="Bookman Old Style" w:cs="Arial"/>
          <w:lang w:val="es-CO"/>
        </w:rPr>
        <w:t>se solicit</w:t>
      </w:r>
      <w:r w:rsidR="007D01E7">
        <w:rPr>
          <w:rFonts w:ascii="Bookman Old Style" w:eastAsia="MS Mincho" w:hAnsi="Bookman Old Style" w:cs="Arial"/>
          <w:lang w:val="es-CO"/>
        </w:rPr>
        <w:t xml:space="preserve">ó a GENSA y </w:t>
      </w:r>
      <w:r w:rsidR="00FC49D7">
        <w:rPr>
          <w:rFonts w:ascii="Bookman Old Style" w:eastAsia="MS Mincho" w:hAnsi="Bookman Old Style" w:cs="Arial"/>
          <w:lang w:val="es-CO"/>
        </w:rPr>
        <w:t xml:space="preserve">a </w:t>
      </w:r>
      <w:r w:rsidR="007D01E7">
        <w:rPr>
          <w:rFonts w:ascii="Bookman Old Style" w:eastAsia="MS Mincho" w:hAnsi="Bookman Old Style" w:cs="Arial"/>
          <w:lang w:val="es-CO"/>
        </w:rPr>
        <w:t xml:space="preserve">la </w:t>
      </w:r>
      <w:r w:rsidR="00FC49D7">
        <w:rPr>
          <w:rFonts w:ascii="Bookman Old Style" w:eastAsia="MS Mincho" w:hAnsi="Bookman Old Style" w:cs="Arial"/>
          <w:lang w:val="es-CO"/>
        </w:rPr>
        <w:t xml:space="preserve">Gobernación </w:t>
      </w:r>
      <w:r w:rsidR="00F031E1">
        <w:rPr>
          <w:rFonts w:ascii="Bookman Old Style" w:eastAsia="MS Mincho" w:hAnsi="Bookman Old Style" w:cs="Arial"/>
          <w:lang w:val="es-CO"/>
        </w:rPr>
        <w:t>que remitieran</w:t>
      </w:r>
      <w:r w:rsidR="002F3144">
        <w:rPr>
          <w:rFonts w:ascii="Bookman Old Style" w:eastAsia="MS Mincho" w:hAnsi="Bookman Old Style" w:cs="Arial"/>
          <w:lang w:val="es-CO"/>
        </w:rPr>
        <w:t xml:space="preserve"> copia de los contratos de conexión</w:t>
      </w:r>
      <w:r w:rsidR="008A6E23">
        <w:rPr>
          <w:rFonts w:ascii="Bookman Old Style" w:eastAsia="MS Mincho" w:hAnsi="Bookman Old Style" w:cs="Arial"/>
          <w:lang w:val="es-CO"/>
        </w:rPr>
        <w:t xml:space="preserve"> de los que trata el artículo 5 de la Resolución CREG 038 de 2018</w:t>
      </w:r>
      <w:r w:rsidR="003D66EF">
        <w:rPr>
          <w:rFonts w:ascii="Bookman Old Style" w:eastAsia="MS Mincho" w:hAnsi="Bookman Old Style" w:cs="Arial"/>
          <w:lang w:val="es-CO"/>
        </w:rPr>
        <w:t>.</w:t>
      </w:r>
    </w:p>
    <w:p w14:paraId="234F03A3" w14:textId="77777777" w:rsidR="0006530F" w:rsidRDefault="0006530F" w:rsidP="00B264DC">
      <w:pPr>
        <w:ind w:left="284"/>
        <w:contextualSpacing/>
        <w:jc w:val="both"/>
        <w:rPr>
          <w:rFonts w:ascii="Bookman Old Style" w:eastAsia="MS Mincho" w:hAnsi="Bookman Old Style" w:cs="Arial"/>
          <w:lang w:val="es-CO"/>
        </w:rPr>
      </w:pPr>
    </w:p>
    <w:p w14:paraId="48446118" w14:textId="38841A3E" w:rsidR="00686D03" w:rsidRPr="00026AA3" w:rsidRDefault="00026AA3"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E65221" w:rsidRPr="00026AA3">
        <w:rPr>
          <w:rFonts w:ascii="Bookman Old Style" w:eastAsia="MS Mincho" w:hAnsi="Bookman Old Style" w:cs="Arial"/>
          <w:i/>
          <w:iCs/>
          <w:sz w:val="20"/>
          <w:szCs w:val="20"/>
          <w:lang w:val="es-CO"/>
        </w:rPr>
        <w:t>GENSA S.A. E.S.P. deberá además suministrar, a más tardar el día 18 de junio de</w:t>
      </w:r>
      <w:r>
        <w:rPr>
          <w:rFonts w:ascii="Bookman Old Style" w:eastAsia="MS Mincho" w:hAnsi="Bookman Old Style" w:cs="Arial"/>
          <w:i/>
          <w:iCs/>
          <w:sz w:val="20"/>
          <w:szCs w:val="20"/>
          <w:lang w:val="es-CO"/>
        </w:rPr>
        <w:t xml:space="preserve"> </w:t>
      </w:r>
      <w:r w:rsidR="00E65221" w:rsidRPr="00026AA3">
        <w:rPr>
          <w:rFonts w:ascii="Bookman Old Style" w:eastAsia="MS Mincho" w:hAnsi="Bookman Old Style" w:cs="Arial"/>
          <w:i/>
          <w:iCs/>
          <w:sz w:val="20"/>
          <w:szCs w:val="20"/>
          <w:lang w:val="es-CO"/>
        </w:rPr>
        <w:t>2021 del presente año, la información y documentación que a continuación se</w:t>
      </w:r>
      <w:r>
        <w:rPr>
          <w:rFonts w:ascii="Bookman Old Style" w:eastAsia="MS Mincho" w:hAnsi="Bookman Old Style" w:cs="Arial"/>
          <w:i/>
          <w:iCs/>
          <w:sz w:val="20"/>
          <w:szCs w:val="20"/>
          <w:lang w:val="es-CO"/>
        </w:rPr>
        <w:t xml:space="preserve"> </w:t>
      </w:r>
      <w:r w:rsidR="00E65221" w:rsidRPr="00026AA3">
        <w:rPr>
          <w:rFonts w:ascii="Bookman Old Style" w:eastAsia="MS Mincho" w:hAnsi="Bookman Old Style" w:cs="Arial"/>
          <w:i/>
          <w:iCs/>
          <w:sz w:val="20"/>
          <w:szCs w:val="20"/>
          <w:lang w:val="es-CO"/>
        </w:rPr>
        <w:t>relaciona por medio de correo electrónico a la dirección creg@creg.gov.co:</w:t>
      </w:r>
      <w:r w:rsidR="00BB49B9" w:rsidRPr="00026AA3">
        <w:rPr>
          <w:rFonts w:ascii="Bookman Old Style" w:eastAsia="MS Mincho" w:hAnsi="Bookman Old Style" w:cs="Arial"/>
          <w:i/>
          <w:iCs/>
          <w:sz w:val="20"/>
          <w:szCs w:val="20"/>
          <w:lang w:val="es-CO"/>
        </w:rPr>
        <w:t xml:space="preserve"> </w:t>
      </w:r>
      <w:r w:rsidRPr="00026AA3">
        <w:rPr>
          <w:rFonts w:ascii="Bookman Old Style" w:eastAsia="MS Mincho" w:hAnsi="Bookman Old Style" w:cs="Arial"/>
          <w:i/>
          <w:iCs/>
          <w:sz w:val="20"/>
          <w:szCs w:val="20"/>
          <w:lang w:val="es-CO"/>
        </w:rPr>
        <w:t>(…)</w:t>
      </w:r>
    </w:p>
    <w:p w14:paraId="65798A54" w14:textId="77777777" w:rsidR="00026AA3" w:rsidRPr="00026AA3" w:rsidRDefault="00026AA3" w:rsidP="00B9277B">
      <w:pPr>
        <w:ind w:left="567"/>
        <w:contextualSpacing/>
        <w:jc w:val="both"/>
        <w:rPr>
          <w:rFonts w:ascii="Bookman Old Style" w:eastAsia="MS Mincho" w:hAnsi="Bookman Old Style" w:cs="Arial"/>
          <w:i/>
          <w:iCs/>
          <w:sz w:val="20"/>
          <w:szCs w:val="20"/>
          <w:lang w:val="es-CO"/>
        </w:rPr>
      </w:pPr>
    </w:p>
    <w:p w14:paraId="17615D92" w14:textId="1B8B0E54" w:rsidR="00026AA3" w:rsidRDefault="00026AA3" w:rsidP="00B9277B">
      <w:pPr>
        <w:ind w:left="567"/>
        <w:contextualSpacing/>
        <w:jc w:val="both"/>
        <w:rPr>
          <w:rFonts w:ascii="Bookman Old Style" w:eastAsia="MS Mincho" w:hAnsi="Bookman Old Style" w:cs="Arial"/>
          <w:i/>
          <w:iCs/>
          <w:sz w:val="20"/>
          <w:szCs w:val="20"/>
          <w:lang w:val="es-CO"/>
        </w:rPr>
      </w:pPr>
      <w:r w:rsidRPr="00026AA3">
        <w:rPr>
          <w:rFonts w:ascii="Bookman Old Style" w:eastAsia="MS Mincho" w:hAnsi="Bookman Old Style" w:cs="Arial"/>
          <w:i/>
          <w:iCs/>
          <w:sz w:val="20"/>
          <w:szCs w:val="20"/>
          <w:lang w:val="es-CO"/>
        </w:rPr>
        <w:t>f) En relación con los puntos de conexión y de medición entre generador y</w:t>
      </w:r>
      <w:r w:rsidR="00A0351E">
        <w:rPr>
          <w:rFonts w:ascii="Bookman Old Style" w:eastAsia="MS Mincho" w:hAnsi="Bookman Old Style" w:cs="Arial"/>
          <w:i/>
          <w:iCs/>
          <w:sz w:val="20"/>
          <w:szCs w:val="20"/>
          <w:lang w:val="es-CO"/>
        </w:rPr>
        <w:t xml:space="preserve"> </w:t>
      </w:r>
      <w:r w:rsidRPr="00026AA3">
        <w:rPr>
          <w:rFonts w:ascii="Bookman Old Style" w:eastAsia="MS Mincho" w:hAnsi="Bookman Old Style" w:cs="Arial"/>
          <w:i/>
          <w:iCs/>
          <w:sz w:val="20"/>
          <w:szCs w:val="20"/>
          <w:lang w:val="es-CO"/>
        </w:rPr>
        <w:t>distribuidor para el mercado relevante de comercialización de Mitú, allegue el o</w:t>
      </w:r>
      <w:r w:rsidR="00A0351E">
        <w:rPr>
          <w:rFonts w:ascii="Bookman Old Style" w:eastAsia="MS Mincho" w:hAnsi="Bookman Old Style" w:cs="Arial"/>
          <w:i/>
          <w:iCs/>
          <w:sz w:val="20"/>
          <w:szCs w:val="20"/>
          <w:lang w:val="es-CO"/>
        </w:rPr>
        <w:t xml:space="preserve"> </w:t>
      </w:r>
      <w:r w:rsidRPr="00026AA3">
        <w:rPr>
          <w:rFonts w:ascii="Bookman Old Style" w:eastAsia="MS Mincho" w:hAnsi="Bookman Old Style" w:cs="Arial"/>
          <w:i/>
          <w:iCs/>
          <w:sz w:val="20"/>
          <w:szCs w:val="20"/>
          <w:lang w:val="es-CO"/>
        </w:rPr>
        <w:t>los contratos de conexión suscritos, según lo previsto en el parágrafo 2 del</w:t>
      </w:r>
      <w:r w:rsidR="00A0351E">
        <w:rPr>
          <w:rFonts w:ascii="Bookman Old Style" w:eastAsia="MS Mincho" w:hAnsi="Bookman Old Style" w:cs="Arial"/>
          <w:i/>
          <w:iCs/>
          <w:sz w:val="20"/>
          <w:szCs w:val="20"/>
          <w:lang w:val="es-CO"/>
        </w:rPr>
        <w:t xml:space="preserve"> </w:t>
      </w:r>
      <w:r w:rsidRPr="00026AA3">
        <w:rPr>
          <w:rFonts w:ascii="Bookman Old Style" w:eastAsia="MS Mincho" w:hAnsi="Bookman Old Style" w:cs="Arial"/>
          <w:i/>
          <w:iCs/>
          <w:sz w:val="20"/>
          <w:szCs w:val="20"/>
          <w:lang w:val="es-CO"/>
        </w:rPr>
        <w:t>artículo 5, de la Resolución CREG 038 de 2018.</w:t>
      </w:r>
      <w:r w:rsidR="00032AF7">
        <w:rPr>
          <w:rFonts w:ascii="Bookman Old Style" w:eastAsia="MS Mincho" w:hAnsi="Bookman Old Style" w:cs="Arial"/>
          <w:i/>
          <w:iCs/>
          <w:sz w:val="20"/>
          <w:szCs w:val="20"/>
          <w:lang w:val="es-CO"/>
        </w:rPr>
        <w:t xml:space="preserve"> (…)</w:t>
      </w:r>
    </w:p>
    <w:p w14:paraId="6190B17F" w14:textId="77777777" w:rsidR="00A0351E" w:rsidRDefault="00A0351E" w:rsidP="00B9277B">
      <w:pPr>
        <w:ind w:left="567"/>
        <w:contextualSpacing/>
        <w:jc w:val="both"/>
        <w:rPr>
          <w:rFonts w:ascii="Bookman Old Style" w:eastAsia="MS Mincho" w:hAnsi="Bookman Old Style" w:cs="Arial"/>
          <w:i/>
          <w:iCs/>
          <w:sz w:val="20"/>
          <w:szCs w:val="20"/>
          <w:lang w:val="es-CO"/>
        </w:rPr>
      </w:pPr>
    </w:p>
    <w:p w14:paraId="2D3E60F3" w14:textId="2967A93D" w:rsidR="00A0351E" w:rsidRDefault="00032AF7" w:rsidP="00B9277B">
      <w:pPr>
        <w:ind w:left="567"/>
        <w:contextualSpacing/>
        <w:jc w:val="both"/>
        <w:rPr>
          <w:rFonts w:ascii="Bookman Old Style" w:eastAsia="MS Mincho" w:hAnsi="Bookman Old Style" w:cs="Arial"/>
          <w:i/>
          <w:iCs/>
          <w:sz w:val="20"/>
          <w:szCs w:val="20"/>
          <w:lang w:val="es-CO"/>
        </w:rPr>
      </w:pPr>
      <w:r w:rsidRPr="00032AF7">
        <w:rPr>
          <w:rFonts w:ascii="Bookman Old Style" w:eastAsia="MS Mincho" w:hAnsi="Bookman Old Style" w:cs="Arial"/>
          <w:i/>
          <w:iCs/>
          <w:sz w:val="20"/>
          <w:szCs w:val="20"/>
          <w:lang w:val="es-CO"/>
        </w:rPr>
        <w:t>Oficiar a la GOBERNACIÓN DEL VAUPÉS para que rinda un informe, a más tardar</w:t>
      </w:r>
      <w:r>
        <w:rPr>
          <w:rFonts w:ascii="Bookman Old Style" w:eastAsia="MS Mincho" w:hAnsi="Bookman Old Style" w:cs="Arial"/>
          <w:i/>
          <w:iCs/>
          <w:sz w:val="20"/>
          <w:szCs w:val="20"/>
          <w:lang w:val="es-CO"/>
        </w:rPr>
        <w:t xml:space="preserve"> </w:t>
      </w:r>
      <w:r w:rsidRPr="00032AF7">
        <w:rPr>
          <w:rFonts w:ascii="Bookman Old Style" w:eastAsia="MS Mincho" w:hAnsi="Bookman Old Style" w:cs="Arial"/>
          <w:i/>
          <w:iCs/>
          <w:sz w:val="20"/>
          <w:szCs w:val="20"/>
          <w:lang w:val="es-CO"/>
        </w:rPr>
        <w:t>el día 18 de junio de 2021 del presente año, en el que se responda las inquietudes</w:t>
      </w:r>
      <w:r>
        <w:rPr>
          <w:rFonts w:ascii="Bookman Old Style" w:eastAsia="MS Mincho" w:hAnsi="Bookman Old Style" w:cs="Arial"/>
          <w:i/>
          <w:iCs/>
          <w:sz w:val="20"/>
          <w:szCs w:val="20"/>
          <w:lang w:val="es-CO"/>
        </w:rPr>
        <w:t xml:space="preserve"> </w:t>
      </w:r>
      <w:r w:rsidRPr="00032AF7">
        <w:rPr>
          <w:rFonts w:ascii="Bookman Old Style" w:eastAsia="MS Mincho" w:hAnsi="Bookman Old Style" w:cs="Arial"/>
          <w:i/>
          <w:iCs/>
          <w:sz w:val="20"/>
          <w:szCs w:val="20"/>
          <w:lang w:val="es-CO"/>
        </w:rPr>
        <w:t>citadas a continuación, y se alleguen los documentos solicitados por medio de correo</w:t>
      </w:r>
      <w:r>
        <w:rPr>
          <w:rFonts w:ascii="Bookman Old Style" w:eastAsia="MS Mincho" w:hAnsi="Bookman Old Style" w:cs="Arial"/>
          <w:i/>
          <w:iCs/>
          <w:sz w:val="20"/>
          <w:szCs w:val="20"/>
          <w:lang w:val="es-CO"/>
        </w:rPr>
        <w:t xml:space="preserve"> </w:t>
      </w:r>
      <w:r w:rsidRPr="00032AF7">
        <w:rPr>
          <w:rFonts w:ascii="Bookman Old Style" w:eastAsia="MS Mincho" w:hAnsi="Bookman Old Style" w:cs="Arial"/>
          <w:i/>
          <w:iCs/>
          <w:sz w:val="20"/>
          <w:szCs w:val="20"/>
          <w:lang w:val="es-CO"/>
        </w:rPr>
        <w:t>electrónico a la dirección creg@creg.gov.co:</w:t>
      </w:r>
      <w:r>
        <w:rPr>
          <w:rFonts w:ascii="Bookman Old Style" w:eastAsia="MS Mincho" w:hAnsi="Bookman Old Style" w:cs="Arial"/>
          <w:i/>
          <w:iCs/>
          <w:sz w:val="20"/>
          <w:szCs w:val="20"/>
          <w:lang w:val="es-CO"/>
        </w:rPr>
        <w:t xml:space="preserve"> (…)</w:t>
      </w:r>
    </w:p>
    <w:p w14:paraId="54A222CB" w14:textId="77777777" w:rsidR="00032AF7" w:rsidRDefault="00032AF7" w:rsidP="00B9277B">
      <w:pPr>
        <w:ind w:left="567"/>
        <w:contextualSpacing/>
        <w:jc w:val="both"/>
        <w:rPr>
          <w:rFonts w:ascii="Bookman Old Style" w:eastAsia="MS Mincho" w:hAnsi="Bookman Old Style" w:cs="Arial"/>
          <w:i/>
          <w:iCs/>
          <w:sz w:val="20"/>
          <w:szCs w:val="20"/>
          <w:lang w:val="es-CO"/>
        </w:rPr>
      </w:pPr>
    </w:p>
    <w:p w14:paraId="6E73E1A4" w14:textId="0A6F98F7" w:rsidR="00032AF7" w:rsidRDefault="00763C3F" w:rsidP="00B9277B">
      <w:pPr>
        <w:ind w:left="567"/>
        <w:contextualSpacing/>
        <w:jc w:val="both"/>
        <w:rPr>
          <w:rFonts w:ascii="Bookman Old Style" w:eastAsia="MS Mincho" w:hAnsi="Bookman Old Style" w:cs="Arial"/>
          <w:i/>
          <w:iCs/>
          <w:sz w:val="20"/>
          <w:szCs w:val="20"/>
          <w:lang w:val="es-CO"/>
        </w:rPr>
      </w:pPr>
      <w:r w:rsidRPr="00763C3F">
        <w:rPr>
          <w:rFonts w:ascii="Bookman Old Style" w:eastAsia="MS Mincho" w:hAnsi="Bookman Old Style" w:cs="Arial"/>
          <w:i/>
          <w:iCs/>
          <w:sz w:val="20"/>
          <w:szCs w:val="20"/>
          <w:lang w:val="es-CO"/>
        </w:rPr>
        <w:t>e) De conformidad con lo previsto en el parágrafo 2 del artículo 5 la Resolución 038</w:t>
      </w:r>
      <w:r>
        <w:rPr>
          <w:rFonts w:ascii="Bookman Old Style" w:eastAsia="MS Mincho" w:hAnsi="Bookman Old Style" w:cs="Arial"/>
          <w:i/>
          <w:iCs/>
          <w:sz w:val="20"/>
          <w:szCs w:val="20"/>
          <w:lang w:val="es-CO"/>
        </w:rPr>
        <w:t xml:space="preserve"> </w:t>
      </w:r>
      <w:r w:rsidRPr="00763C3F">
        <w:rPr>
          <w:rFonts w:ascii="Bookman Old Style" w:eastAsia="MS Mincho" w:hAnsi="Bookman Old Style" w:cs="Arial"/>
          <w:i/>
          <w:iCs/>
          <w:sz w:val="20"/>
          <w:szCs w:val="20"/>
          <w:lang w:val="es-CO"/>
        </w:rPr>
        <w:t>de 2018 ¿indique si tiene contratos de conexión suscritos con el generador? Allegue</w:t>
      </w:r>
      <w:r>
        <w:rPr>
          <w:rFonts w:ascii="Bookman Old Style" w:eastAsia="MS Mincho" w:hAnsi="Bookman Old Style" w:cs="Arial"/>
          <w:i/>
          <w:iCs/>
          <w:sz w:val="20"/>
          <w:szCs w:val="20"/>
          <w:lang w:val="es-CO"/>
        </w:rPr>
        <w:t xml:space="preserve"> </w:t>
      </w:r>
      <w:r w:rsidRPr="00763C3F">
        <w:rPr>
          <w:rFonts w:ascii="Bookman Old Style" w:eastAsia="MS Mincho" w:hAnsi="Bookman Old Style" w:cs="Arial"/>
          <w:i/>
          <w:iCs/>
          <w:sz w:val="20"/>
          <w:szCs w:val="20"/>
          <w:lang w:val="es-CO"/>
        </w:rPr>
        <w:t>a esta Comisión los respectivos soportes.</w:t>
      </w:r>
      <w:r>
        <w:rPr>
          <w:rFonts w:ascii="Bookman Old Style" w:eastAsia="MS Mincho" w:hAnsi="Bookman Old Style" w:cs="Arial"/>
          <w:i/>
          <w:iCs/>
          <w:sz w:val="20"/>
          <w:szCs w:val="20"/>
          <w:lang w:val="es-CO"/>
        </w:rPr>
        <w:t xml:space="preserve"> </w:t>
      </w:r>
      <w:r w:rsidRPr="286CF6A9">
        <w:rPr>
          <w:rFonts w:ascii="Bookman Old Style" w:eastAsia="MS Mincho" w:hAnsi="Bookman Old Style" w:cs="Arial"/>
          <w:i/>
          <w:iCs/>
          <w:sz w:val="20"/>
          <w:szCs w:val="20"/>
          <w:lang w:val="es-CO"/>
        </w:rPr>
        <w:t>(…)”.</w:t>
      </w:r>
    </w:p>
    <w:p w14:paraId="24AE8D98" w14:textId="77777777" w:rsidR="00546105" w:rsidRDefault="00546105" w:rsidP="00B264DC">
      <w:pPr>
        <w:ind w:left="284"/>
        <w:contextualSpacing/>
        <w:jc w:val="both"/>
        <w:rPr>
          <w:rFonts w:ascii="Bookman Old Style" w:eastAsia="MS Mincho" w:hAnsi="Bookman Old Style" w:cs="Arial"/>
          <w:lang w:val="es-CO"/>
        </w:rPr>
      </w:pPr>
    </w:p>
    <w:p w14:paraId="1BFB866E" w14:textId="22AFEAB8" w:rsidR="00546105" w:rsidRDefault="00B96F2B"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Sobre </w:t>
      </w:r>
      <w:r w:rsidR="007B5557">
        <w:rPr>
          <w:rFonts w:ascii="Bookman Old Style" w:eastAsia="MS Mincho" w:hAnsi="Bookman Old Style" w:cs="Arial"/>
          <w:lang w:val="es-CO"/>
        </w:rPr>
        <w:t>la anterior</w:t>
      </w:r>
      <w:r>
        <w:rPr>
          <w:rFonts w:ascii="Bookman Old Style" w:eastAsia="MS Mincho" w:hAnsi="Bookman Old Style" w:cs="Arial"/>
          <w:lang w:val="es-CO"/>
        </w:rPr>
        <w:t xml:space="preserve"> solicitud, la Gobernación manifest</w:t>
      </w:r>
      <w:r w:rsidR="00A218EF">
        <w:rPr>
          <w:rFonts w:ascii="Bookman Old Style" w:eastAsia="MS Mincho" w:hAnsi="Bookman Old Style" w:cs="Arial"/>
          <w:lang w:val="es-CO"/>
        </w:rPr>
        <w:t>ó</w:t>
      </w:r>
      <w:r>
        <w:rPr>
          <w:rFonts w:ascii="Bookman Old Style" w:eastAsia="MS Mincho" w:hAnsi="Bookman Old Style" w:cs="Arial"/>
          <w:lang w:val="es-CO"/>
        </w:rPr>
        <w:t xml:space="preserve"> no contar con los contratos. De su parte GENSA, en una primera comunicación</w:t>
      </w:r>
      <w:r w:rsidR="006E0758">
        <w:rPr>
          <w:rFonts w:ascii="Bookman Old Style" w:eastAsia="MS Mincho" w:hAnsi="Bookman Old Style" w:cs="Arial"/>
          <w:lang w:val="es-CO"/>
        </w:rPr>
        <w:t>,</w:t>
      </w:r>
      <w:r>
        <w:rPr>
          <w:rFonts w:ascii="Bookman Old Style" w:eastAsia="MS Mincho" w:hAnsi="Bookman Old Style" w:cs="Arial"/>
          <w:lang w:val="es-CO"/>
        </w:rPr>
        <w:t xml:space="preserve"> argumentando que </w:t>
      </w:r>
      <w:r w:rsidR="004A3948">
        <w:rPr>
          <w:rFonts w:ascii="Bookman Old Style" w:eastAsia="MS Mincho" w:hAnsi="Bookman Old Style" w:cs="Arial"/>
          <w:lang w:val="es-CO"/>
        </w:rPr>
        <w:t xml:space="preserve">las citadas obligaciones no le </w:t>
      </w:r>
      <w:r w:rsidR="00B35433">
        <w:rPr>
          <w:rFonts w:ascii="Bookman Old Style" w:eastAsia="MS Mincho" w:hAnsi="Bookman Old Style" w:cs="Arial"/>
          <w:lang w:val="es-CO"/>
        </w:rPr>
        <w:t>eran aplicables</w:t>
      </w:r>
      <w:r w:rsidR="00D74AE1">
        <w:rPr>
          <w:rFonts w:ascii="Bookman Old Style" w:eastAsia="MS Mincho" w:hAnsi="Bookman Old Style" w:cs="Arial"/>
          <w:lang w:val="es-CO"/>
        </w:rPr>
        <w:t>,</w:t>
      </w:r>
      <w:r w:rsidR="00B15ACA">
        <w:rPr>
          <w:rFonts w:ascii="Bookman Old Style" w:eastAsia="MS Mincho" w:hAnsi="Bookman Old Style" w:cs="Arial"/>
          <w:lang w:val="es-CO"/>
        </w:rPr>
        <w:t xml:space="preserve"> remit</w:t>
      </w:r>
      <w:r w:rsidR="009011B5">
        <w:rPr>
          <w:rFonts w:ascii="Bookman Old Style" w:eastAsia="MS Mincho" w:hAnsi="Bookman Old Style" w:cs="Arial"/>
          <w:lang w:val="es-CO"/>
        </w:rPr>
        <w:t>ió</w:t>
      </w:r>
      <w:r w:rsidR="00B15ACA">
        <w:rPr>
          <w:rFonts w:ascii="Bookman Old Style" w:eastAsia="MS Mincho" w:hAnsi="Bookman Old Style" w:cs="Arial"/>
          <w:lang w:val="es-CO"/>
        </w:rPr>
        <w:t xml:space="preserve"> a cambio </w:t>
      </w:r>
      <w:r w:rsidR="00240610">
        <w:rPr>
          <w:rFonts w:ascii="Bookman Old Style" w:eastAsia="MS Mincho" w:hAnsi="Bookman Old Style" w:cs="Arial"/>
          <w:lang w:val="es-CO"/>
        </w:rPr>
        <w:t xml:space="preserve">un </w:t>
      </w:r>
      <w:r w:rsidR="00B15ACA">
        <w:rPr>
          <w:rFonts w:ascii="Bookman Old Style" w:eastAsia="MS Mincho" w:hAnsi="Bookman Old Style" w:cs="Arial"/>
          <w:lang w:val="es-CO"/>
        </w:rPr>
        <w:t>con</w:t>
      </w:r>
      <w:r w:rsidR="00240610">
        <w:rPr>
          <w:rFonts w:ascii="Bookman Old Style" w:eastAsia="MS Mincho" w:hAnsi="Bookman Old Style" w:cs="Arial"/>
          <w:lang w:val="es-CO"/>
        </w:rPr>
        <w:t>trato de venta</w:t>
      </w:r>
      <w:r w:rsidR="00B35433">
        <w:rPr>
          <w:rFonts w:ascii="Bookman Old Style" w:eastAsia="MS Mincho" w:hAnsi="Bookman Old Style" w:cs="Arial"/>
          <w:lang w:val="es-CO"/>
        </w:rPr>
        <w:t xml:space="preserve"> </w:t>
      </w:r>
      <w:r w:rsidR="00C07DD9">
        <w:rPr>
          <w:rFonts w:ascii="Bookman Old Style" w:eastAsia="MS Mincho" w:hAnsi="Bookman Old Style" w:cs="Arial"/>
          <w:lang w:val="es-CO"/>
        </w:rPr>
        <w:t>de energía</w:t>
      </w:r>
      <w:r w:rsidR="00E5587A">
        <w:rPr>
          <w:rFonts w:ascii="Bookman Old Style" w:eastAsia="MS Mincho" w:hAnsi="Bookman Old Style" w:cs="Arial"/>
          <w:lang w:val="es-CO"/>
        </w:rPr>
        <w:t xml:space="preserve"> </w:t>
      </w:r>
      <w:r w:rsidR="00B35433">
        <w:rPr>
          <w:rFonts w:ascii="Bookman Old Style" w:eastAsia="MS Mincho" w:hAnsi="Bookman Old Style" w:cs="Arial"/>
          <w:lang w:val="es-CO"/>
        </w:rPr>
        <w:t>y</w:t>
      </w:r>
      <w:r w:rsidR="00093A8E">
        <w:rPr>
          <w:rFonts w:ascii="Bookman Old Style" w:eastAsia="MS Mincho" w:hAnsi="Bookman Old Style" w:cs="Arial"/>
          <w:lang w:val="es-CO"/>
        </w:rPr>
        <w:t>,</w:t>
      </w:r>
      <w:r w:rsidR="00B35433">
        <w:rPr>
          <w:rFonts w:ascii="Bookman Old Style" w:eastAsia="MS Mincho" w:hAnsi="Bookman Old Style" w:cs="Arial"/>
          <w:lang w:val="es-CO"/>
        </w:rPr>
        <w:t xml:space="preserve"> </w:t>
      </w:r>
      <w:r w:rsidR="00E5587A">
        <w:rPr>
          <w:rFonts w:ascii="Bookman Old Style" w:eastAsia="MS Mincho" w:hAnsi="Bookman Old Style" w:cs="Arial"/>
          <w:lang w:val="es-CO"/>
        </w:rPr>
        <w:t>en una segund</w:t>
      </w:r>
      <w:r w:rsidR="000911B3">
        <w:rPr>
          <w:rFonts w:ascii="Bookman Old Style" w:eastAsia="MS Mincho" w:hAnsi="Bookman Old Style" w:cs="Arial"/>
          <w:lang w:val="es-CO"/>
        </w:rPr>
        <w:t>a comunicación</w:t>
      </w:r>
      <w:r w:rsidR="00FC5242">
        <w:rPr>
          <w:rFonts w:ascii="Bookman Old Style" w:eastAsia="MS Mincho" w:hAnsi="Bookman Old Style" w:cs="Arial"/>
          <w:lang w:val="es-CO"/>
        </w:rPr>
        <w:t>,</w:t>
      </w:r>
      <w:r w:rsidR="002306B6">
        <w:rPr>
          <w:rFonts w:ascii="Bookman Old Style" w:eastAsia="MS Mincho" w:hAnsi="Bookman Old Style" w:cs="Arial"/>
          <w:lang w:val="es-CO"/>
        </w:rPr>
        <w:t xml:space="preserve"> inform</w:t>
      </w:r>
      <w:r w:rsidR="009836C5">
        <w:rPr>
          <w:rFonts w:ascii="Bookman Old Style" w:eastAsia="MS Mincho" w:hAnsi="Bookman Old Style" w:cs="Arial"/>
          <w:lang w:val="es-CO"/>
        </w:rPr>
        <w:t>ó</w:t>
      </w:r>
      <w:r w:rsidR="002306B6">
        <w:rPr>
          <w:rFonts w:ascii="Bookman Old Style" w:eastAsia="MS Mincho" w:hAnsi="Bookman Old Style" w:cs="Arial"/>
          <w:lang w:val="es-CO"/>
        </w:rPr>
        <w:t xml:space="preserve"> que </w:t>
      </w:r>
      <w:r w:rsidR="00BB7A42" w:rsidRPr="00BB7A42">
        <w:rPr>
          <w:rFonts w:ascii="Bookman Old Style" w:eastAsia="MS Mincho" w:hAnsi="Bookman Old Style" w:cs="Arial"/>
          <w:lang w:val="es-CO"/>
        </w:rPr>
        <w:t>no tiene firmado ningún contrato de conexión con el Distribuidor, en los términos de lo indicado en el parágrafo 2 del Artículo 5 de la Resolución CREG 038</w:t>
      </w:r>
      <w:r w:rsidR="00BE6F13">
        <w:rPr>
          <w:rFonts w:ascii="Bookman Old Style" w:eastAsia="MS Mincho" w:hAnsi="Bookman Old Style" w:cs="Arial"/>
          <w:lang w:val="es-CO"/>
        </w:rPr>
        <w:t xml:space="preserve"> de </w:t>
      </w:r>
      <w:r w:rsidR="00BB7A42" w:rsidRPr="00BB7A42">
        <w:rPr>
          <w:rFonts w:ascii="Bookman Old Style" w:eastAsia="MS Mincho" w:hAnsi="Bookman Old Style" w:cs="Arial"/>
          <w:lang w:val="es-CO"/>
        </w:rPr>
        <w:t>2018</w:t>
      </w:r>
      <w:r w:rsidR="000911B3">
        <w:rPr>
          <w:rFonts w:ascii="Bookman Old Style" w:eastAsia="MS Mincho" w:hAnsi="Bookman Old Style" w:cs="Arial"/>
          <w:lang w:val="es-CO"/>
        </w:rPr>
        <w:t>,</w:t>
      </w:r>
      <w:r w:rsidR="00E5587A">
        <w:rPr>
          <w:rFonts w:ascii="Bookman Old Style" w:eastAsia="MS Mincho" w:hAnsi="Bookman Old Style" w:cs="Arial"/>
          <w:lang w:val="es-CO"/>
        </w:rPr>
        <w:t xml:space="preserve"> </w:t>
      </w:r>
      <w:r w:rsidR="00E33431">
        <w:rPr>
          <w:rFonts w:ascii="Bookman Old Style" w:eastAsia="MS Mincho" w:hAnsi="Bookman Old Style" w:cs="Arial"/>
          <w:lang w:val="es-CO"/>
        </w:rPr>
        <w:t>insistiendo en que no l</w:t>
      </w:r>
      <w:r w:rsidR="00D3168F">
        <w:rPr>
          <w:rFonts w:ascii="Bookman Old Style" w:eastAsia="MS Mincho" w:hAnsi="Bookman Old Style" w:cs="Arial"/>
          <w:lang w:val="es-CO"/>
        </w:rPr>
        <w:t xml:space="preserve">e corresponde la suscripción de contratos de conexión, </w:t>
      </w:r>
      <w:r w:rsidR="00845A95">
        <w:rPr>
          <w:rFonts w:ascii="Bookman Old Style" w:eastAsia="MS Mincho" w:hAnsi="Bookman Old Style" w:cs="Arial"/>
          <w:lang w:val="es-CO"/>
        </w:rPr>
        <w:t xml:space="preserve">a pesar de que </w:t>
      </w:r>
      <w:r w:rsidR="00E5587A">
        <w:rPr>
          <w:rFonts w:ascii="Bookman Old Style" w:eastAsia="MS Mincho" w:hAnsi="Bookman Old Style" w:cs="Arial"/>
          <w:lang w:val="es-CO"/>
        </w:rPr>
        <w:t>la CREG</w:t>
      </w:r>
      <w:r w:rsidR="00B9277B">
        <w:rPr>
          <w:rFonts w:ascii="Bookman Old Style" w:eastAsia="MS Mincho" w:hAnsi="Bookman Old Style" w:cs="Arial"/>
          <w:lang w:val="es-CO"/>
        </w:rPr>
        <w:t>,</w:t>
      </w:r>
      <w:r w:rsidR="00E5587A">
        <w:rPr>
          <w:rFonts w:ascii="Bookman Old Style" w:eastAsia="MS Mincho" w:hAnsi="Bookman Old Style" w:cs="Arial"/>
          <w:lang w:val="es-CO"/>
        </w:rPr>
        <w:t xml:space="preserve"> en la segunda </w:t>
      </w:r>
      <w:r w:rsidR="00F070D0">
        <w:rPr>
          <w:rFonts w:ascii="Bookman Old Style" w:eastAsia="MS Mincho" w:hAnsi="Bookman Old Style" w:cs="Arial"/>
          <w:lang w:val="es-CO"/>
        </w:rPr>
        <w:t xml:space="preserve">oportunidad en </w:t>
      </w:r>
      <w:r w:rsidR="00E5587A">
        <w:rPr>
          <w:rFonts w:ascii="Bookman Old Style" w:eastAsia="MS Mincho" w:hAnsi="Bookman Old Style" w:cs="Arial"/>
          <w:lang w:val="es-CO"/>
        </w:rPr>
        <w:t xml:space="preserve">que se le </w:t>
      </w:r>
      <w:r w:rsidR="00F070D0">
        <w:rPr>
          <w:rFonts w:ascii="Bookman Old Style" w:eastAsia="MS Mincho" w:hAnsi="Bookman Old Style" w:cs="Arial"/>
          <w:lang w:val="es-CO"/>
        </w:rPr>
        <w:t xml:space="preserve">requiere </w:t>
      </w:r>
      <w:r w:rsidR="00663BB6">
        <w:rPr>
          <w:rFonts w:ascii="Bookman Old Style" w:eastAsia="MS Mincho" w:hAnsi="Bookman Old Style" w:cs="Arial"/>
          <w:lang w:val="es-CO"/>
        </w:rPr>
        <w:t>aportar los contratos de conexión</w:t>
      </w:r>
      <w:r w:rsidR="00B9277B">
        <w:rPr>
          <w:rFonts w:ascii="Bookman Old Style" w:eastAsia="MS Mincho" w:hAnsi="Bookman Old Style" w:cs="Arial"/>
          <w:lang w:val="es-CO"/>
        </w:rPr>
        <w:t>,</w:t>
      </w:r>
      <w:r w:rsidR="005D352E">
        <w:rPr>
          <w:rFonts w:ascii="Bookman Old Style" w:eastAsia="MS Mincho" w:hAnsi="Bookman Old Style" w:cs="Arial"/>
          <w:lang w:val="es-CO"/>
        </w:rPr>
        <w:t xml:space="preserve"> le informa</w:t>
      </w:r>
      <w:r w:rsidR="00227AE3">
        <w:rPr>
          <w:rFonts w:ascii="Bookman Old Style" w:eastAsia="MS Mincho" w:hAnsi="Bookman Old Style" w:cs="Arial"/>
          <w:lang w:val="es-CO"/>
        </w:rPr>
        <w:t xml:space="preserve"> sobre la obligación que tiene como generador de energía eléctrica en ZNI de tener suscritos los respectivos contratos de conexión</w:t>
      </w:r>
      <w:r w:rsidR="003E14AB">
        <w:rPr>
          <w:rFonts w:ascii="Bookman Old Style" w:eastAsia="MS Mincho" w:hAnsi="Bookman Old Style" w:cs="Arial"/>
          <w:lang w:val="es-CO"/>
        </w:rPr>
        <w:t>:</w:t>
      </w:r>
    </w:p>
    <w:p w14:paraId="5BCBA970" w14:textId="77777777" w:rsidR="003E14AB" w:rsidRDefault="003E14AB" w:rsidP="00B264DC">
      <w:pPr>
        <w:ind w:left="284"/>
        <w:contextualSpacing/>
        <w:jc w:val="both"/>
        <w:rPr>
          <w:rFonts w:ascii="Bookman Old Style" w:eastAsia="MS Mincho" w:hAnsi="Bookman Old Style" w:cs="Arial"/>
          <w:lang w:val="es-CO"/>
        </w:rPr>
      </w:pPr>
    </w:p>
    <w:p w14:paraId="2049EA5B" w14:textId="6952A6D7" w:rsidR="00BA52F1" w:rsidRDefault="00BA52F1"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Sobre lo mencionado por GENSA S.A. E.S.P. en su respuesta, en el caso particular</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de la generación de energía eléctrica con la que se atiende el mercado relevante de</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Mitú, y tal como se encuentra documentado en el expediente de esta actuación</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administrativa, además de encontrarse conectada al respectivo sistema de</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 xml:space="preserve">distribución, </w:t>
      </w:r>
      <w:r w:rsidRPr="002564CD">
        <w:rPr>
          <w:rFonts w:ascii="Bookman Old Style" w:eastAsia="MS Mincho" w:hAnsi="Bookman Old Style" w:cs="Arial"/>
          <w:b/>
          <w:bCs/>
          <w:i/>
          <w:iCs/>
          <w:sz w:val="20"/>
          <w:szCs w:val="20"/>
          <w:u w:val="single"/>
          <w:lang w:val="es-CO"/>
        </w:rPr>
        <w:t>se cuenta con generación diésel y generación de MCH, la primera ubicada dentro del perímetro urbano de la cabecera municipal de Mitú y la segunda en la rivera contraria del río Vaupés, a la rivera en donde se encuentra ubicada la comunidad de Santa Cruz</w:t>
      </w:r>
      <w:r w:rsidRPr="00C71379">
        <w:rPr>
          <w:rFonts w:ascii="Bookman Old Style" w:eastAsia="MS Mincho" w:hAnsi="Bookman Old Style" w:cs="Arial"/>
          <w:i/>
          <w:iCs/>
          <w:sz w:val="20"/>
          <w:szCs w:val="20"/>
          <w:lang w:val="es-CO"/>
        </w:rPr>
        <w:t>.</w:t>
      </w:r>
    </w:p>
    <w:p w14:paraId="4EB07010" w14:textId="77777777" w:rsidR="00BA52F1" w:rsidRPr="00C71379" w:rsidRDefault="00BA52F1" w:rsidP="00BA52F1">
      <w:pPr>
        <w:ind w:left="708"/>
        <w:contextualSpacing/>
        <w:jc w:val="both"/>
        <w:rPr>
          <w:rFonts w:ascii="Bookman Old Style" w:eastAsia="MS Mincho" w:hAnsi="Bookman Old Style" w:cs="Arial"/>
          <w:i/>
          <w:iCs/>
          <w:sz w:val="20"/>
          <w:szCs w:val="20"/>
          <w:lang w:val="es-CO"/>
        </w:rPr>
      </w:pPr>
    </w:p>
    <w:p w14:paraId="61C7E8D5" w14:textId="77777777" w:rsidR="00BA52F1" w:rsidRDefault="00BA52F1" w:rsidP="00B9277B">
      <w:pPr>
        <w:ind w:left="567"/>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En ese sentido, la generación de energía eléctrica con la que se atiende el mercado</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relevante de Mitú se encuentra ubicada cerca de los centros de consumo. En</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contraposición a lo que sucede en el Sistema Interconectado Nacional, SIN, en donde</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la energía generada debe ser transportada hasta los centros de consumo mediante el</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Sistema de Transmisión Nacional, STN, los Sistemas de Transmisión Regional, STR,</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y, posteriormente, los Sistemas de Distribución Local, SDL.</w:t>
      </w:r>
    </w:p>
    <w:p w14:paraId="4D3C171C" w14:textId="77777777" w:rsidR="00BA52F1" w:rsidRPr="00C71379" w:rsidRDefault="00BA52F1" w:rsidP="00B9277B">
      <w:pPr>
        <w:ind w:left="567"/>
        <w:contextualSpacing/>
        <w:jc w:val="both"/>
        <w:rPr>
          <w:rFonts w:ascii="Bookman Old Style" w:eastAsia="MS Mincho" w:hAnsi="Bookman Old Style" w:cs="Arial"/>
          <w:i/>
          <w:iCs/>
          <w:sz w:val="20"/>
          <w:szCs w:val="20"/>
          <w:lang w:val="es-CO"/>
        </w:rPr>
      </w:pPr>
    </w:p>
    <w:p w14:paraId="154F5DF3" w14:textId="77777777" w:rsidR="00BA52F1" w:rsidRDefault="00BA52F1" w:rsidP="00B9277B">
      <w:pPr>
        <w:ind w:left="567"/>
        <w:contextualSpacing/>
        <w:jc w:val="both"/>
        <w:rPr>
          <w:rFonts w:ascii="Bookman Old Style" w:eastAsia="MS Mincho" w:hAnsi="Bookman Old Style" w:cs="Arial"/>
          <w:i/>
          <w:iCs/>
          <w:sz w:val="20"/>
          <w:szCs w:val="20"/>
          <w:lang w:val="es-CO"/>
        </w:rPr>
      </w:pPr>
      <w:r w:rsidRPr="00C71379">
        <w:rPr>
          <w:rFonts w:ascii="Bookman Old Style" w:eastAsia="MS Mincho" w:hAnsi="Bookman Old Style" w:cs="Arial"/>
          <w:i/>
          <w:iCs/>
          <w:sz w:val="20"/>
          <w:szCs w:val="20"/>
          <w:lang w:val="es-CO"/>
        </w:rPr>
        <w:t>No obstante, debe tenerse en cuenta que la CREG se pronunció respecto de la</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generación de energía eléctrica en las ZNI, indicando que toda la generación en ZNI</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se entiendo como generación distribuida. En la parte considerativa de la Resolución</w:t>
      </w:r>
      <w:r>
        <w:rPr>
          <w:rFonts w:ascii="Bookman Old Style" w:eastAsia="MS Mincho" w:hAnsi="Bookman Old Style" w:cs="Arial"/>
          <w:i/>
          <w:iCs/>
          <w:sz w:val="20"/>
          <w:szCs w:val="20"/>
          <w:lang w:val="es-CO"/>
        </w:rPr>
        <w:t xml:space="preserve"> </w:t>
      </w:r>
      <w:r w:rsidRPr="00C71379">
        <w:rPr>
          <w:rFonts w:ascii="Bookman Old Style" w:eastAsia="MS Mincho" w:hAnsi="Bookman Old Style" w:cs="Arial"/>
          <w:i/>
          <w:iCs/>
          <w:sz w:val="20"/>
          <w:szCs w:val="20"/>
          <w:lang w:val="es-CO"/>
        </w:rPr>
        <w:t>CREG 038 de 2018, se señaló:</w:t>
      </w:r>
    </w:p>
    <w:p w14:paraId="20D3DF6A" w14:textId="77777777" w:rsidR="00BA52F1" w:rsidRDefault="00BA52F1" w:rsidP="00BA52F1">
      <w:pPr>
        <w:ind w:left="708"/>
        <w:contextualSpacing/>
        <w:jc w:val="both"/>
        <w:rPr>
          <w:rFonts w:ascii="Bookman Old Style" w:eastAsia="MS Mincho" w:hAnsi="Bookman Old Style" w:cs="Arial"/>
          <w:i/>
          <w:iCs/>
          <w:sz w:val="20"/>
          <w:szCs w:val="20"/>
          <w:lang w:val="es-CO"/>
        </w:rPr>
      </w:pPr>
    </w:p>
    <w:p w14:paraId="7B2E9875" w14:textId="77777777" w:rsidR="00BA52F1" w:rsidRPr="004234B0" w:rsidRDefault="00BA52F1" w:rsidP="00B9277B">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Pr="004234B0">
        <w:rPr>
          <w:rFonts w:ascii="Bookman Old Style" w:eastAsia="MS Mincho" w:hAnsi="Bookman Old Style" w:cs="Arial"/>
          <w:i/>
          <w:iCs/>
          <w:sz w:val="20"/>
          <w:szCs w:val="20"/>
          <w:lang w:val="es-CO"/>
        </w:rPr>
        <w:t xml:space="preserve">(…) Teniendo en cuenta que la </w:t>
      </w:r>
      <w:r w:rsidRPr="003E6534">
        <w:rPr>
          <w:rFonts w:ascii="Bookman Old Style" w:eastAsia="MS Mincho" w:hAnsi="Bookman Old Style" w:cs="Arial"/>
          <w:b/>
          <w:bCs/>
          <w:i/>
          <w:iCs/>
          <w:sz w:val="20"/>
          <w:szCs w:val="20"/>
          <w:u w:val="single"/>
          <w:lang w:val="es-CO"/>
        </w:rPr>
        <w:t>generación es una actividad complementaria del servicio público domiciliario de energía eléctrica y que en las zonas no interconectadas, ZNI, la producción de energía eléctrica se realiza cerca de los centros de consumo, encuentra esta</w:t>
      </w:r>
      <w:r>
        <w:rPr>
          <w:rFonts w:ascii="Bookman Old Style" w:eastAsia="MS Mincho" w:hAnsi="Bookman Old Style" w:cs="Arial"/>
          <w:b/>
          <w:bCs/>
          <w:i/>
          <w:iCs/>
          <w:sz w:val="20"/>
          <w:szCs w:val="20"/>
          <w:u w:val="single"/>
          <w:lang w:val="es-CO"/>
        </w:rPr>
        <w:t xml:space="preserve"> </w:t>
      </w:r>
      <w:r w:rsidRPr="003E6534">
        <w:rPr>
          <w:rFonts w:ascii="Bookman Old Style" w:eastAsia="MS Mincho" w:hAnsi="Bookman Old Style" w:cs="Arial"/>
          <w:b/>
          <w:bCs/>
          <w:i/>
          <w:iCs/>
          <w:sz w:val="20"/>
          <w:szCs w:val="20"/>
          <w:u w:val="single"/>
          <w:lang w:val="es-CO"/>
        </w:rPr>
        <w:t>Comisión que la regulación vigente, establecida en la Resolución CREG 091 de 2007 o aquella que la modifique o sustituya, contempla el mecanismo de remuneración para la actividad de generación distribuida</w:t>
      </w:r>
      <w:r w:rsidRPr="003E6534">
        <w:rPr>
          <w:rFonts w:ascii="Bookman Old Style" w:eastAsia="MS Mincho" w:hAnsi="Bookman Old Style" w:cs="Arial"/>
          <w:b/>
          <w:bCs/>
          <w:i/>
          <w:iCs/>
          <w:sz w:val="20"/>
          <w:szCs w:val="20"/>
          <w:lang w:val="es-CO"/>
        </w:rPr>
        <w:t xml:space="preserve"> </w:t>
      </w:r>
      <w:r w:rsidRPr="004234B0">
        <w:rPr>
          <w:rFonts w:ascii="Bookman Old Style" w:eastAsia="MS Mincho" w:hAnsi="Bookman Old Style" w:cs="Arial"/>
          <w:i/>
          <w:iCs/>
          <w:sz w:val="20"/>
          <w:szCs w:val="20"/>
          <w:lang w:val="es-CO"/>
        </w:rPr>
        <w:t>mediante la definición de un cargo máximo que resulta aplicable a los</w:t>
      </w:r>
      <w:r>
        <w:rPr>
          <w:rFonts w:ascii="Bookman Old Style" w:eastAsia="MS Mincho" w:hAnsi="Bookman Old Style" w:cs="Arial"/>
          <w:i/>
          <w:iCs/>
          <w:sz w:val="20"/>
          <w:szCs w:val="20"/>
          <w:lang w:val="es-CO"/>
        </w:rPr>
        <w:t xml:space="preserve"> </w:t>
      </w:r>
      <w:r w:rsidRPr="004234B0">
        <w:rPr>
          <w:rFonts w:ascii="Bookman Old Style" w:eastAsia="MS Mincho" w:hAnsi="Bookman Old Style" w:cs="Arial"/>
          <w:i/>
          <w:iCs/>
          <w:sz w:val="20"/>
          <w:szCs w:val="20"/>
          <w:lang w:val="es-CO"/>
        </w:rPr>
        <w:t>generadores distribuidos, nuevos o existentes, que se conecten a dichos sistemas de distribución.</w:t>
      </w:r>
    </w:p>
    <w:p w14:paraId="459BAE20" w14:textId="77777777" w:rsidR="00BA52F1" w:rsidRDefault="00BA52F1" w:rsidP="00B9277B">
      <w:pPr>
        <w:ind w:left="851"/>
        <w:contextualSpacing/>
        <w:jc w:val="both"/>
        <w:rPr>
          <w:rFonts w:ascii="Bookman Old Style" w:eastAsia="MS Mincho" w:hAnsi="Bookman Old Style" w:cs="Arial"/>
          <w:i/>
          <w:iCs/>
          <w:sz w:val="20"/>
          <w:szCs w:val="20"/>
          <w:lang w:val="es-CO"/>
        </w:rPr>
      </w:pPr>
    </w:p>
    <w:p w14:paraId="0073D194" w14:textId="77777777" w:rsidR="00BA52F1" w:rsidRDefault="00BA52F1" w:rsidP="00B9277B">
      <w:pPr>
        <w:ind w:left="851"/>
        <w:contextualSpacing/>
        <w:jc w:val="both"/>
        <w:rPr>
          <w:rFonts w:ascii="Bookman Old Style" w:eastAsia="MS Mincho" w:hAnsi="Bookman Old Style" w:cs="Arial"/>
          <w:i/>
          <w:iCs/>
          <w:sz w:val="20"/>
          <w:szCs w:val="20"/>
          <w:lang w:val="es-CO"/>
        </w:rPr>
      </w:pPr>
      <w:r w:rsidRPr="004234B0">
        <w:rPr>
          <w:rFonts w:ascii="Bookman Old Style" w:eastAsia="MS Mincho" w:hAnsi="Bookman Old Style" w:cs="Arial"/>
          <w:i/>
          <w:iCs/>
          <w:sz w:val="20"/>
          <w:szCs w:val="20"/>
          <w:lang w:val="es-CO"/>
        </w:rPr>
        <w:t>Así mismo, respecto a la venta de energía por parte de generadores distribuidos, la precitada Ley</w:t>
      </w:r>
      <w:r>
        <w:rPr>
          <w:rFonts w:ascii="Bookman Old Style" w:eastAsia="MS Mincho" w:hAnsi="Bookman Old Style" w:cs="Arial"/>
          <w:i/>
          <w:iCs/>
          <w:sz w:val="20"/>
          <w:szCs w:val="20"/>
          <w:lang w:val="es-CO"/>
        </w:rPr>
        <w:t xml:space="preserve"> </w:t>
      </w:r>
      <w:r w:rsidRPr="004234B0">
        <w:rPr>
          <w:rFonts w:ascii="Bookman Old Style" w:eastAsia="MS Mincho" w:hAnsi="Bookman Old Style" w:cs="Arial"/>
          <w:i/>
          <w:iCs/>
          <w:sz w:val="20"/>
          <w:szCs w:val="20"/>
          <w:lang w:val="es-CO"/>
        </w:rPr>
        <w:t>establece que ‘la energía generada por generadores distribuidos se remunerará teniendo en cuenta</w:t>
      </w:r>
      <w:r>
        <w:rPr>
          <w:rFonts w:ascii="Bookman Old Style" w:eastAsia="MS Mincho" w:hAnsi="Bookman Old Style" w:cs="Arial"/>
          <w:i/>
          <w:iCs/>
          <w:sz w:val="20"/>
          <w:szCs w:val="20"/>
          <w:lang w:val="es-CO"/>
        </w:rPr>
        <w:t xml:space="preserve"> </w:t>
      </w:r>
      <w:r w:rsidRPr="004234B0">
        <w:rPr>
          <w:rFonts w:ascii="Bookman Old Style" w:eastAsia="MS Mincho" w:hAnsi="Bookman Old Style" w:cs="Arial"/>
          <w:i/>
          <w:iCs/>
          <w:sz w:val="20"/>
          <w:szCs w:val="20"/>
          <w:lang w:val="es-CO"/>
        </w:rPr>
        <w:t>los beneficios que esta trae al sistema de distribución donde se conecta, entre los que se pueden</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mencionar las pérdidas evitadas, la vida útil de los activos de distribución, el soporte de energía</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reactiva, etc., según la regulación que expida la CREG para tal fin, conforme a los principios</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establecidos en las leyes 142 y 143 de 1994 y los lineamientos de política energética expedidos por</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el Ministerio de Minas y Energía para el mismo’.</w:t>
      </w:r>
    </w:p>
    <w:p w14:paraId="763BC6F8" w14:textId="77777777" w:rsidR="00BA52F1" w:rsidRPr="00D73F8C" w:rsidRDefault="00BA52F1" w:rsidP="00B9277B">
      <w:pPr>
        <w:ind w:left="851"/>
        <w:contextualSpacing/>
        <w:jc w:val="both"/>
        <w:rPr>
          <w:rFonts w:ascii="Bookman Old Style" w:eastAsia="MS Mincho" w:hAnsi="Bookman Old Style" w:cs="Arial"/>
          <w:i/>
          <w:iCs/>
          <w:sz w:val="20"/>
          <w:szCs w:val="20"/>
          <w:lang w:val="es-CO"/>
        </w:rPr>
      </w:pPr>
    </w:p>
    <w:p w14:paraId="6E4D1EBD" w14:textId="77777777" w:rsidR="00BA52F1" w:rsidRPr="00D73F8C" w:rsidRDefault="00BA52F1" w:rsidP="00B9277B">
      <w:pPr>
        <w:ind w:left="851"/>
        <w:contextualSpacing/>
        <w:jc w:val="both"/>
        <w:rPr>
          <w:rFonts w:ascii="Bookman Old Style" w:eastAsia="MS Mincho" w:hAnsi="Bookman Old Style" w:cs="Arial"/>
          <w:i/>
          <w:iCs/>
          <w:sz w:val="20"/>
          <w:szCs w:val="20"/>
          <w:lang w:val="es-CO"/>
        </w:rPr>
      </w:pPr>
      <w:r w:rsidRPr="008A1522">
        <w:rPr>
          <w:rFonts w:ascii="Bookman Old Style" w:eastAsia="MS Mincho" w:hAnsi="Bookman Old Style" w:cs="Arial"/>
          <w:b/>
          <w:bCs/>
          <w:i/>
          <w:iCs/>
          <w:sz w:val="20"/>
          <w:szCs w:val="20"/>
          <w:u w:val="single"/>
          <w:lang w:val="es-CO"/>
        </w:rPr>
        <w:t>Toda vez que en las ZNI la actividad de generación se lleva a cabo en los mismos términos</w:t>
      </w:r>
      <w:r>
        <w:rPr>
          <w:rFonts w:ascii="Bookman Old Style" w:eastAsia="MS Mincho" w:hAnsi="Bookman Old Style" w:cs="Arial"/>
          <w:b/>
          <w:bCs/>
          <w:i/>
          <w:iCs/>
          <w:sz w:val="20"/>
          <w:szCs w:val="20"/>
          <w:u w:val="single"/>
          <w:lang w:val="es-CO"/>
        </w:rPr>
        <w:t xml:space="preserve"> </w:t>
      </w:r>
      <w:r w:rsidRPr="008A1522">
        <w:rPr>
          <w:rFonts w:ascii="Bookman Old Style" w:eastAsia="MS Mincho" w:hAnsi="Bookman Old Style" w:cs="Arial"/>
          <w:b/>
          <w:bCs/>
          <w:i/>
          <w:iCs/>
          <w:sz w:val="20"/>
          <w:szCs w:val="20"/>
          <w:u w:val="single"/>
          <w:lang w:val="es-CO"/>
        </w:rPr>
        <w:t>descritos en la definición de generación distribuida contenida en la Ley 1715 de 2014</w:t>
      </w:r>
      <w:r w:rsidRPr="00D73F8C">
        <w:rPr>
          <w:rFonts w:ascii="Bookman Old Style" w:eastAsia="MS Mincho" w:hAnsi="Bookman Old Style" w:cs="Arial"/>
          <w:i/>
          <w:iCs/>
          <w:sz w:val="20"/>
          <w:szCs w:val="20"/>
          <w:lang w:val="es-CO"/>
        </w:rPr>
        <w:t>, no se</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evidencia que la conexión de nuevos generadores a los sistemas de distribución tenga como</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consecuencia los beneficios a los que se hace referencia en el literal c) del artículo 8 de la precitada</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ley. Por consiguiente, no se hace necesario modificar la metodología vigente para remunerar la</w:t>
      </w:r>
      <w:r>
        <w:rPr>
          <w:rFonts w:ascii="Bookman Old Style" w:eastAsia="MS Mincho" w:hAnsi="Bookman Old Style" w:cs="Arial"/>
          <w:i/>
          <w:iCs/>
          <w:sz w:val="20"/>
          <w:szCs w:val="20"/>
          <w:lang w:val="es-CO"/>
        </w:rPr>
        <w:t xml:space="preserve"> </w:t>
      </w:r>
      <w:r w:rsidRPr="00D73F8C">
        <w:rPr>
          <w:rFonts w:ascii="Bookman Old Style" w:eastAsia="MS Mincho" w:hAnsi="Bookman Old Style" w:cs="Arial"/>
          <w:i/>
          <w:iCs/>
          <w:sz w:val="20"/>
          <w:szCs w:val="20"/>
          <w:lang w:val="es-CO"/>
        </w:rPr>
        <w:t>actividad de generación en las ZNI. (…)</w:t>
      </w:r>
      <w:r>
        <w:rPr>
          <w:rFonts w:ascii="Bookman Old Style" w:eastAsia="MS Mincho" w:hAnsi="Bookman Old Style" w:cs="Arial"/>
          <w:i/>
          <w:iCs/>
          <w:sz w:val="20"/>
          <w:szCs w:val="20"/>
          <w:lang w:val="es-CO"/>
        </w:rPr>
        <w:t>’</w:t>
      </w:r>
      <w:r w:rsidRPr="00D73F8C">
        <w:rPr>
          <w:rFonts w:ascii="Bookman Old Style" w:eastAsia="MS Mincho" w:hAnsi="Bookman Old Style" w:cs="Arial"/>
          <w:i/>
          <w:iCs/>
          <w:sz w:val="20"/>
          <w:szCs w:val="20"/>
          <w:lang w:val="es-CO"/>
        </w:rPr>
        <w:t xml:space="preserve"> Resaltado y subrayado fuera de texto</w:t>
      </w:r>
    </w:p>
    <w:p w14:paraId="1FA12DC6" w14:textId="77777777" w:rsidR="00BA52F1" w:rsidRDefault="00BA52F1" w:rsidP="00BA52F1">
      <w:pPr>
        <w:ind w:left="708"/>
        <w:contextualSpacing/>
        <w:jc w:val="both"/>
        <w:rPr>
          <w:rFonts w:ascii="Bookman Old Style" w:eastAsia="MS Mincho" w:hAnsi="Bookman Old Style" w:cs="Arial"/>
          <w:i/>
          <w:iCs/>
          <w:sz w:val="20"/>
          <w:szCs w:val="20"/>
          <w:lang w:val="es-CO"/>
        </w:rPr>
      </w:pPr>
    </w:p>
    <w:p w14:paraId="0565DB2D" w14:textId="77777777" w:rsidR="00BA52F1" w:rsidRPr="00D73F8C" w:rsidRDefault="00BA52F1" w:rsidP="00B9277B">
      <w:pPr>
        <w:ind w:left="567"/>
        <w:contextualSpacing/>
        <w:jc w:val="both"/>
        <w:rPr>
          <w:rFonts w:ascii="Bookman Old Style" w:eastAsia="MS Mincho" w:hAnsi="Bookman Old Style" w:cs="Arial"/>
          <w:i/>
          <w:iCs/>
          <w:sz w:val="20"/>
          <w:szCs w:val="20"/>
          <w:lang w:val="es-CO"/>
        </w:rPr>
      </w:pPr>
      <w:r w:rsidRPr="00D73F8C">
        <w:rPr>
          <w:rFonts w:ascii="Bookman Old Style" w:eastAsia="MS Mincho" w:hAnsi="Bookman Old Style" w:cs="Arial"/>
          <w:i/>
          <w:iCs/>
          <w:sz w:val="20"/>
          <w:szCs w:val="20"/>
          <w:lang w:val="es-CO"/>
        </w:rPr>
        <w:t>Y en el artículo 19 de la precitada resolución, la Comisión señaló:</w:t>
      </w:r>
    </w:p>
    <w:p w14:paraId="2F960372" w14:textId="77777777" w:rsidR="00BA52F1" w:rsidRDefault="00BA52F1" w:rsidP="00BA52F1">
      <w:pPr>
        <w:ind w:left="708"/>
        <w:contextualSpacing/>
        <w:jc w:val="both"/>
        <w:rPr>
          <w:rFonts w:ascii="Bookman Old Style" w:eastAsia="MS Mincho" w:hAnsi="Bookman Old Style" w:cs="Arial"/>
          <w:i/>
          <w:iCs/>
          <w:sz w:val="20"/>
          <w:szCs w:val="20"/>
          <w:lang w:val="es-CO"/>
        </w:rPr>
      </w:pPr>
    </w:p>
    <w:p w14:paraId="290F0BCD" w14:textId="77777777" w:rsidR="00BA52F1" w:rsidRPr="00D73F8C" w:rsidRDefault="00BA52F1" w:rsidP="00B9277B">
      <w:pPr>
        <w:ind w:left="851"/>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Pr="00D73F8C">
        <w:rPr>
          <w:rFonts w:ascii="Bookman Old Style" w:eastAsia="MS Mincho" w:hAnsi="Bookman Old Style" w:cs="Arial"/>
          <w:i/>
          <w:iCs/>
          <w:sz w:val="20"/>
          <w:szCs w:val="20"/>
          <w:lang w:val="es-CO"/>
        </w:rPr>
        <w:t xml:space="preserve">(…) Artículo 19. Generación distribuida en ZNI. </w:t>
      </w:r>
      <w:r w:rsidRPr="002564CD">
        <w:rPr>
          <w:rFonts w:ascii="Bookman Old Style" w:eastAsia="MS Mincho" w:hAnsi="Bookman Old Style" w:cs="Arial"/>
          <w:b/>
          <w:bCs/>
          <w:i/>
          <w:iCs/>
          <w:sz w:val="20"/>
          <w:szCs w:val="20"/>
          <w:u w:val="single"/>
          <w:lang w:val="es-CO"/>
        </w:rPr>
        <w:t>La regulación de la actividad de generación distribuida en las zonas no interconectadas se encuentra contenida en la Resolución CREG 091 de 2007 o aquellas que la modifiquen, adicionen o sustituyan</w:t>
      </w:r>
      <w:r w:rsidRPr="00D73F8C">
        <w:rPr>
          <w:rFonts w:ascii="Bookman Old Style" w:eastAsia="MS Mincho" w:hAnsi="Bookman Old Style" w:cs="Arial"/>
          <w:i/>
          <w:iCs/>
          <w:sz w:val="20"/>
          <w:szCs w:val="20"/>
          <w:lang w:val="es-CO"/>
        </w:rPr>
        <w:t>. (…)</w:t>
      </w:r>
      <w:r>
        <w:rPr>
          <w:rFonts w:ascii="Bookman Old Style" w:eastAsia="MS Mincho" w:hAnsi="Bookman Old Style" w:cs="Arial"/>
          <w:i/>
          <w:iCs/>
          <w:sz w:val="20"/>
          <w:szCs w:val="20"/>
          <w:lang w:val="es-CO"/>
        </w:rPr>
        <w:t>’</w:t>
      </w:r>
    </w:p>
    <w:p w14:paraId="414473B7" w14:textId="77777777" w:rsidR="00BA52F1" w:rsidRDefault="00BA52F1" w:rsidP="00BA52F1">
      <w:pPr>
        <w:ind w:left="708"/>
        <w:contextualSpacing/>
        <w:jc w:val="both"/>
        <w:rPr>
          <w:rFonts w:ascii="Bookman Old Style" w:eastAsia="MS Mincho" w:hAnsi="Bookman Old Style" w:cs="Arial"/>
          <w:i/>
          <w:iCs/>
          <w:sz w:val="20"/>
          <w:szCs w:val="20"/>
          <w:lang w:val="es-CO"/>
        </w:rPr>
      </w:pPr>
    </w:p>
    <w:p w14:paraId="58ED43CE" w14:textId="01A95D5E" w:rsidR="006B6188" w:rsidRDefault="006B6188"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p>
    <w:p w14:paraId="1B2E252C" w14:textId="77777777" w:rsidR="006B6188" w:rsidRDefault="006B6188" w:rsidP="00B9277B">
      <w:pPr>
        <w:ind w:left="567"/>
        <w:contextualSpacing/>
        <w:jc w:val="both"/>
        <w:rPr>
          <w:rFonts w:ascii="Bookman Old Style" w:eastAsia="MS Mincho" w:hAnsi="Bookman Old Style" w:cs="Arial"/>
          <w:i/>
          <w:iCs/>
          <w:sz w:val="20"/>
          <w:szCs w:val="20"/>
          <w:lang w:val="es-CO"/>
        </w:rPr>
      </w:pPr>
    </w:p>
    <w:p w14:paraId="7A102877" w14:textId="4D5039BC" w:rsidR="006B6188" w:rsidRPr="00076445" w:rsidRDefault="006B6188" w:rsidP="00B9277B">
      <w:pPr>
        <w:ind w:left="567"/>
        <w:contextualSpacing/>
        <w:jc w:val="both"/>
        <w:rPr>
          <w:rFonts w:ascii="Bookman Old Style" w:eastAsia="MS Mincho" w:hAnsi="Bookman Old Style"/>
          <w:sz w:val="20"/>
          <w:lang w:val="es-CO"/>
        </w:rPr>
      </w:pPr>
      <w:r w:rsidRPr="00C534BE">
        <w:rPr>
          <w:rFonts w:ascii="Bookman Old Style" w:eastAsia="MS Mincho" w:hAnsi="Bookman Old Style" w:cs="Arial"/>
          <w:i/>
          <w:iCs/>
          <w:sz w:val="20"/>
          <w:szCs w:val="20"/>
          <w:lang w:val="es-CO"/>
        </w:rPr>
        <w:t xml:space="preserve">Considerando lo anteriormente expuesto, que </w:t>
      </w:r>
      <w:r w:rsidRPr="00674B44">
        <w:rPr>
          <w:rFonts w:ascii="Bookman Old Style" w:eastAsia="MS Mincho" w:hAnsi="Bookman Old Style" w:cs="Arial"/>
          <w:b/>
          <w:bCs/>
          <w:i/>
          <w:iCs/>
          <w:sz w:val="20"/>
          <w:szCs w:val="20"/>
          <w:u w:val="single"/>
          <w:lang w:val="es-CO"/>
        </w:rPr>
        <w:t>GENSA S.A. E.S.P. en su calidad de generador de energía eléctrica en las ZNI debía dar cumplimiento a lo previsto en el parágrafo 2 del artículo 5 de la Resolución CREG 038 de 2018</w:t>
      </w:r>
      <w:r w:rsidRPr="00C534BE">
        <w:rPr>
          <w:rFonts w:ascii="Bookman Old Style" w:eastAsia="MS Mincho" w:hAnsi="Bookman Old Style" w:cs="Arial"/>
          <w:i/>
          <w:iCs/>
          <w:sz w:val="20"/>
          <w:szCs w:val="20"/>
          <w:lang w:val="es-CO"/>
        </w:rPr>
        <w:t>, y que la información</w:t>
      </w:r>
      <w:r>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que relaciona en su respuesta de radicado CREG E-2021-007731 corresponde a</w:t>
      </w:r>
      <w:r>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contrato con el comercializador de la zona y no a los contratos de conexión solicitados</w:t>
      </w:r>
      <w:r>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en el Auto I-2021-001628, se evidencia que no se ha atendido el respectivo</w:t>
      </w:r>
      <w:r>
        <w:rPr>
          <w:rFonts w:ascii="Bookman Old Style" w:eastAsia="MS Mincho" w:hAnsi="Bookman Old Style" w:cs="Arial"/>
          <w:i/>
          <w:iCs/>
          <w:sz w:val="20"/>
          <w:szCs w:val="20"/>
          <w:lang w:val="es-CO"/>
        </w:rPr>
        <w:t xml:space="preserve"> </w:t>
      </w:r>
      <w:r w:rsidRPr="00C534BE">
        <w:rPr>
          <w:rFonts w:ascii="Bookman Old Style" w:eastAsia="MS Mincho" w:hAnsi="Bookman Old Style" w:cs="Arial"/>
          <w:i/>
          <w:iCs/>
          <w:sz w:val="20"/>
          <w:szCs w:val="20"/>
          <w:lang w:val="es-CO"/>
        </w:rPr>
        <w:t>requerimiento.</w:t>
      </w:r>
      <w:r>
        <w:rPr>
          <w:rFonts w:ascii="Bookman Old Style" w:eastAsia="MS Mincho" w:hAnsi="Bookman Old Style" w:cs="Arial"/>
          <w:i/>
          <w:iCs/>
          <w:sz w:val="20"/>
          <w:szCs w:val="20"/>
          <w:lang w:val="es-CO"/>
        </w:rPr>
        <w:t xml:space="preserve"> (…)</w:t>
      </w:r>
      <w:r w:rsidR="00674B44">
        <w:rPr>
          <w:rFonts w:ascii="Bookman Old Style" w:eastAsia="MS Mincho" w:hAnsi="Bookman Old Style" w:cs="Arial"/>
          <w:i/>
          <w:iCs/>
          <w:sz w:val="20"/>
          <w:szCs w:val="20"/>
          <w:lang w:val="es-CO"/>
        </w:rPr>
        <w:t>”</w:t>
      </w:r>
      <w:r w:rsidR="005D443C">
        <w:rPr>
          <w:rFonts w:ascii="Bookman Old Style" w:eastAsia="MS Mincho" w:hAnsi="Bookman Old Style" w:cs="Arial"/>
          <w:sz w:val="20"/>
          <w:szCs w:val="20"/>
          <w:lang w:val="es-CO"/>
        </w:rPr>
        <w:t xml:space="preserve"> Resaltado y subrayado fuera de texto</w:t>
      </w:r>
    </w:p>
    <w:p w14:paraId="6412EFE1" w14:textId="77777777" w:rsidR="003E14AB" w:rsidRDefault="003E14AB" w:rsidP="00B264DC">
      <w:pPr>
        <w:ind w:left="284"/>
        <w:contextualSpacing/>
        <w:jc w:val="both"/>
        <w:rPr>
          <w:rFonts w:ascii="Bookman Old Style" w:eastAsia="MS Mincho" w:hAnsi="Bookman Old Style" w:cs="Arial"/>
          <w:lang w:val="es-CO"/>
        </w:rPr>
      </w:pPr>
    </w:p>
    <w:p w14:paraId="37A0DF42" w14:textId="34BA4873" w:rsidR="007E41DE" w:rsidRDefault="002D4EA8" w:rsidP="00B264DC">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Encontrándose esta situación, no fue posible tener confirmación de los puntos de conexión entre el parque de </w:t>
      </w:r>
      <w:r w:rsidR="00B81CA1">
        <w:rPr>
          <w:rFonts w:ascii="Bookman Old Style" w:eastAsia="MS Mincho" w:hAnsi="Bookman Old Style" w:cs="Arial"/>
          <w:lang w:val="es-CO"/>
        </w:rPr>
        <w:t xml:space="preserve">generación </w:t>
      </w:r>
      <w:r w:rsidR="00485EDE">
        <w:rPr>
          <w:rFonts w:ascii="Bookman Old Style" w:eastAsia="MS Mincho" w:hAnsi="Bookman Old Style" w:cs="Arial"/>
          <w:lang w:val="es-CO"/>
        </w:rPr>
        <w:t>y el sistema de distribución del mercado relevante de comercialización de Mitú.</w:t>
      </w:r>
    </w:p>
    <w:p w14:paraId="29300F89" w14:textId="77777777" w:rsidR="00546105" w:rsidRDefault="00546105" w:rsidP="00546105">
      <w:pPr>
        <w:ind w:left="284"/>
        <w:contextualSpacing/>
        <w:jc w:val="both"/>
        <w:rPr>
          <w:rFonts w:ascii="Bookman Old Style" w:eastAsia="MS Mincho" w:hAnsi="Bookman Old Style" w:cs="Arial"/>
          <w:lang w:val="es-CO"/>
        </w:rPr>
      </w:pPr>
    </w:p>
    <w:p w14:paraId="39A89B4E" w14:textId="2329604C" w:rsidR="00F50D89" w:rsidRDefault="00546105"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El análisis </w:t>
      </w:r>
      <w:r w:rsidR="006D33A7">
        <w:rPr>
          <w:rFonts w:ascii="Bookman Old Style" w:eastAsia="MS Mincho" w:hAnsi="Bookman Old Style" w:cs="Arial"/>
          <w:lang w:val="es-CO"/>
        </w:rPr>
        <w:t>e identificación del sistema eléctric</w:t>
      </w:r>
      <w:r w:rsidR="00326FA9">
        <w:rPr>
          <w:rFonts w:ascii="Bookman Old Style" w:eastAsia="MS Mincho" w:hAnsi="Bookman Old Style" w:cs="Arial"/>
          <w:lang w:val="es-CO"/>
        </w:rPr>
        <w:t>o</w:t>
      </w:r>
      <w:r w:rsidR="006D33A7">
        <w:rPr>
          <w:rFonts w:ascii="Bookman Old Style" w:eastAsia="MS Mincho" w:hAnsi="Bookman Old Style" w:cs="Arial"/>
          <w:lang w:val="es-CO"/>
        </w:rPr>
        <w:t xml:space="preserve"> de Mitú </w:t>
      </w:r>
      <w:r w:rsidR="006B1803">
        <w:rPr>
          <w:rFonts w:ascii="Bookman Old Style" w:eastAsia="MS Mincho" w:hAnsi="Bookman Old Style" w:cs="Arial"/>
          <w:lang w:val="es-CO"/>
        </w:rPr>
        <w:t xml:space="preserve">adelantado por la CREG continuó </w:t>
      </w:r>
      <w:r w:rsidR="00A97657">
        <w:rPr>
          <w:rFonts w:ascii="Bookman Old Style" w:eastAsia="MS Mincho" w:hAnsi="Bookman Old Style" w:cs="Arial"/>
          <w:lang w:val="es-CO"/>
        </w:rPr>
        <w:t xml:space="preserve">con la </w:t>
      </w:r>
      <w:r w:rsidR="00CC1017">
        <w:rPr>
          <w:rFonts w:ascii="Bookman Old Style" w:eastAsia="MS Mincho" w:hAnsi="Bookman Old Style" w:cs="Arial"/>
          <w:lang w:val="es-CO"/>
        </w:rPr>
        <w:t>revis</w:t>
      </w:r>
      <w:r w:rsidR="00A97657">
        <w:rPr>
          <w:rFonts w:ascii="Bookman Old Style" w:eastAsia="MS Mincho" w:hAnsi="Bookman Old Style" w:cs="Arial"/>
          <w:lang w:val="es-CO"/>
        </w:rPr>
        <w:t xml:space="preserve">ión de </w:t>
      </w:r>
      <w:r>
        <w:rPr>
          <w:rFonts w:ascii="Bookman Old Style" w:eastAsia="MS Mincho" w:hAnsi="Bookman Old Style" w:cs="Arial"/>
          <w:lang w:val="es-CO"/>
        </w:rPr>
        <w:t>la regulación vigente</w:t>
      </w:r>
      <w:r w:rsidR="00CC1017">
        <w:rPr>
          <w:rFonts w:ascii="Bookman Old Style" w:eastAsia="MS Mincho" w:hAnsi="Bookman Old Style" w:cs="Arial"/>
          <w:lang w:val="es-CO"/>
        </w:rPr>
        <w:t>, análisis que</w:t>
      </w:r>
      <w:r w:rsidR="006D33A7">
        <w:rPr>
          <w:rFonts w:ascii="Bookman Old Style" w:eastAsia="MS Mincho" w:hAnsi="Bookman Old Style" w:cs="Arial"/>
          <w:lang w:val="es-CO"/>
        </w:rPr>
        <w:t xml:space="preserve"> combin</w:t>
      </w:r>
      <w:r w:rsidR="00CC1017">
        <w:rPr>
          <w:rFonts w:ascii="Bookman Old Style" w:eastAsia="MS Mincho" w:hAnsi="Bookman Old Style" w:cs="Arial"/>
          <w:lang w:val="es-CO"/>
        </w:rPr>
        <w:t>ó</w:t>
      </w:r>
      <w:r w:rsidR="006D33A7">
        <w:rPr>
          <w:rFonts w:ascii="Bookman Old Style" w:eastAsia="MS Mincho" w:hAnsi="Bookman Old Style" w:cs="Arial"/>
          <w:lang w:val="es-CO"/>
        </w:rPr>
        <w:t xml:space="preserve"> dos elementos: </w:t>
      </w:r>
      <w:r w:rsidR="00A14F0B">
        <w:rPr>
          <w:rFonts w:ascii="Bookman Old Style" w:eastAsia="MS Mincho" w:hAnsi="Bookman Old Style" w:cs="Arial"/>
          <w:lang w:val="es-CO"/>
        </w:rPr>
        <w:t xml:space="preserve">i) las definiciones y </w:t>
      </w:r>
      <w:r w:rsidR="00DD112F">
        <w:rPr>
          <w:rFonts w:ascii="Bookman Old Style" w:eastAsia="MS Mincho" w:hAnsi="Bookman Old Style" w:cs="Arial"/>
          <w:lang w:val="es-CO"/>
        </w:rPr>
        <w:t xml:space="preserve">metodología </w:t>
      </w:r>
      <w:r w:rsidR="000549FD">
        <w:rPr>
          <w:rFonts w:ascii="Bookman Old Style" w:eastAsia="MS Mincho" w:hAnsi="Bookman Old Style" w:cs="Arial"/>
          <w:lang w:val="es-CO"/>
        </w:rPr>
        <w:t xml:space="preserve">de </w:t>
      </w:r>
      <w:r w:rsidR="00A14F0B">
        <w:rPr>
          <w:rFonts w:ascii="Bookman Old Style" w:eastAsia="MS Mincho" w:hAnsi="Bookman Old Style" w:cs="Arial"/>
          <w:lang w:val="es-CO"/>
        </w:rPr>
        <w:t xml:space="preserve">remuneración de cada una de las </w:t>
      </w:r>
      <w:r>
        <w:rPr>
          <w:rFonts w:ascii="Bookman Old Style" w:eastAsia="MS Mincho" w:hAnsi="Bookman Old Style" w:cs="Arial"/>
          <w:lang w:val="es-CO"/>
        </w:rPr>
        <w:t>actividades</w:t>
      </w:r>
      <w:r w:rsidR="00A14F0B">
        <w:rPr>
          <w:rFonts w:ascii="Bookman Old Style" w:eastAsia="MS Mincho" w:hAnsi="Bookman Old Style" w:cs="Arial"/>
          <w:lang w:val="es-CO"/>
        </w:rPr>
        <w:t xml:space="preserve">, generación </w:t>
      </w:r>
      <w:r>
        <w:rPr>
          <w:rFonts w:ascii="Bookman Old Style" w:eastAsia="MS Mincho" w:hAnsi="Bookman Old Style" w:cs="Arial"/>
          <w:lang w:val="es-CO"/>
        </w:rPr>
        <w:t>y</w:t>
      </w:r>
      <w:r w:rsidR="00A14F0B">
        <w:rPr>
          <w:rFonts w:ascii="Bookman Old Style" w:eastAsia="MS Mincho" w:hAnsi="Bookman Old Style" w:cs="Arial"/>
          <w:lang w:val="es-CO"/>
        </w:rPr>
        <w:t xml:space="preserve"> distribución de energía eléctrica</w:t>
      </w:r>
      <w:r w:rsidR="00326FA9">
        <w:rPr>
          <w:rFonts w:ascii="Bookman Old Style" w:eastAsia="MS Mincho" w:hAnsi="Bookman Old Style" w:cs="Arial"/>
          <w:lang w:val="es-CO"/>
        </w:rPr>
        <w:t xml:space="preserve">; </w:t>
      </w:r>
      <w:r w:rsidR="000549FD">
        <w:rPr>
          <w:rFonts w:ascii="Bookman Old Style" w:eastAsia="MS Mincho" w:hAnsi="Bookman Old Style" w:cs="Arial"/>
          <w:lang w:val="es-CO"/>
        </w:rPr>
        <w:t xml:space="preserve">ii) </w:t>
      </w:r>
      <w:r w:rsidR="00326FA9">
        <w:rPr>
          <w:rFonts w:ascii="Bookman Old Style" w:eastAsia="MS Mincho" w:hAnsi="Bookman Old Style" w:cs="Arial"/>
          <w:lang w:val="es-CO"/>
        </w:rPr>
        <w:t xml:space="preserve">la </w:t>
      </w:r>
      <w:r w:rsidR="007B3718">
        <w:rPr>
          <w:rFonts w:ascii="Bookman Old Style" w:eastAsia="MS Mincho" w:hAnsi="Bookman Old Style" w:cs="Arial"/>
          <w:lang w:val="es-CO"/>
        </w:rPr>
        <w:t>revisión de los diagramas eléctricos que se aportaron como prueba dentro del trámite adelantado.</w:t>
      </w:r>
    </w:p>
    <w:p w14:paraId="3B99EFCD" w14:textId="77777777" w:rsidR="00D66E80" w:rsidRDefault="00D66E80" w:rsidP="00546105">
      <w:pPr>
        <w:ind w:left="284"/>
        <w:contextualSpacing/>
        <w:jc w:val="both"/>
        <w:rPr>
          <w:rFonts w:ascii="Bookman Old Style" w:eastAsia="MS Mincho" w:hAnsi="Bookman Old Style" w:cs="Arial"/>
          <w:lang w:val="es-CO"/>
        </w:rPr>
      </w:pPr>
    </w:p>
    <w:p w14:paraId="34C8B5A6" w14:textId="49D43E40" w:rsidR="00D66E80" w:rsidRDefault="00D66E80"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 GENSA, mediante Auto de pruebas con </w:t>
      </w:r>
      <w:r w:rsidRPr="0086458B">
        <w:rPr>
          <w:rFonts w:ascii="Bookman Old Style" w:hAnsi="Bookman Old Style" w:cs="Arial"/>
        </w:rPr>
        <w:t>radicado CREG I-2020-000792</w:t>
      </w:r>
      <w:r>
        <w:rPr>
          <w:rFonts w:ascii="Bookman Old Style" w:hAnsi="Bookman Old Style" w:cs="Arial"/>
        </w:rPr>
        <w:t>,</w:t>
      </w:r>
      <w:r>
        <w:rPr>
          <w:rFonts w:ascii="Bookman Old Style" w:eastAsia="MS Mincho" w:hAnsi="Bookman Old Style" w:cs="Arial"/>
          <w:lang w:val="es-CO"/>
        </w:rPr>
        <w:t xml:space="preserve"> se le </w:t>
      </w:r>
      <w:r w:rsidR="002C2C92">
        <w:rPr>
          <w:rFonts w:ascii="Bookman Old Style" w:eastAsia="MS Mincho" w:hAnsi="Bookman Old Style" w:cs="Arial"/>
          <w:lang w:val="es-CO"/>
        </w:rPr>
        <w:t xml:space="preserve">requirió </w:t>
      </w:r>
      <w:r>
        <w:rPr>
          <w:rFonts w:ascii="Bookman Old Style" w:eastAsia="MS Mincho" w:hAnsi="Bookman Old Style" w:cs="Arial"/>
          <w:lang w:val="es-CO"/>
        </w:rPr>
        <w:t>diagrama unifilar en los siguientes términos:</w:t>
      </w:r>
    </w:p>
    <w:p w14:paraId="09EBF26E" w14:textId="77777777" w:rsidR="00D66E80" w:rsidRDefault="00D66E80" w:rsidP="00546105">
      <w:pPr>
        <w:ind w:left="284"/>
        <w:contextualSpacing/>
        <w:jc w:val="both"/>
        <w:rPr>
          <w:rFonts w:ascii="Bookman Old Style" w:eastAsia="MS Mincho" w:hAnsi="Bookman Old Style" w:cs="Arial"/>
          <w:lang w:val="es-CO"/>
        </w:rPr>
      </w:pPr>
    </w:p>
    <w:p w14:paraId="55E1553C" w14:textId="088FD848" w:rsidR="00D66E80" w:rsidRDefault="00D66E80" w:rsidP="00BB0E2D">
      <w:pPr>
        <w:ind w:left="567"/>
        <w:contextualSpacing/>
        <w:jc w:val="both"/>
        <w:rPr>
          <w:rFonts w:ascii="Bookman Old Style" w:eastAsia="MS Mincho" w:hAnsi="Bookman Old Style" w:cs="Arial"/>
          <w:lang w:val="es-CO"/>
        </w:rPr>
      </w:pPr>
      <w:r>
        <w:rPr>
          <w:rFonts w:ascii="Bookman Old Style" w:hAnsi="Bookman Old Style" w:cs="Arial"/>
          <w:i/>
          <w:iCs/>
          <w:sz w:val="20"/>
          <w:szCs w:val="20"/>
        </w:rPr>
        <w:t>“(…)</w:t>
      </w:r>
      <w:r w:rsidRPr="00355214">
        <w:rPr>
          <w:rFonts w:ascii="Bookman Old Style" w:hAnsi="Bookman Old Style" w:cs="Arial"/>
          <w:i/>
          <w:iCs/>
          <w:sz w:val="20"/>
          <w:szCs w:val="20"/>
        </w:rPr>
        <w:t xml:space="preserve"> 1.</w:t>
      </w:r>
      <w:r>
        <w:rPr>
          <w:rFonts w:ascii="Bookman Old Style" w:hAnsi="Bookman Old Style" w:cs="Arial"/>
          <w:i/>
          <w:iCs/>
          <w:sz w:val="20"/>
          <w:szCs w:val="20"/>
        </w:rPr>
        <w:t xml:space="preserve"> </w:t>
      </w:r>
      <w:r w:rsidRPr="00355214">
        <w:rPr>
          <w:rFonts w:ascii="Bookman Old Style" w:hAnsi="Bookman Old Style" w:cs="Arial"/>
          <w:i/>
          <w:iCs/>
          <w:sz w:val="20"/>
          <w:szCs w:val="20"/>
        </w:rPr>
        <w:t xml:space="preserve">Diagrama unifilar, en el que se muestre la operación actual con todas sus conexiones y derivaciones, así como el nivel de tensión en el que opera, del activo denominado </w:t>
      </w:r>
      <w:r w:rsidR="009F52E8">
        <w:rPr>
          <w:rFonts w:ascii="Bookman Old Style" w:hAnsi="Bookman Old Style" w:cs="Arial"/>
          <w:i/>
          <w:iCs/>
          <w:sz w:val="20"/>
          <w:szCs w:val="20"/>
        </w:rPr>
        <w:t>‘</w:t>
      </w:r>
      <w:r w:rsidRPr="00355214">
        <w:rPr>
          <w:rFonts w:ascii="Bookman Old Style" w:hAnsi="Bookman Old Style" w:cs="Arial"/>
          <w:i/>
          <w:iCs/>
          <w:sz w:val="20"/>
          <w:szCs w:val="20"/>
        </w:rPr>
        <w:t>Línea de Transmisión de la MCH Mitú a la Subestación Eléctrica Mitú</w:t>
      </w:r>
      <w:r w:rsidR="009F52E8">
        <w:rPr>
          <w:rFonts w:ascii="Bookman Old Style" w:hAnsi="Bookman Old Style" w:cs="Arial"/>
          <w:i/>
          <w:iCs/>
          <w:sz w:val="20"/>
          <w:szCs w:val="20"/>
        </w:rPr>
        <w:t>’ (…)”</w:t>
      </w:r>
    </w:p>
    <w:p w14:paraId="395B25FB" w14:textId="77777777" w:rsidR="00D66E80" w:rsidRDefault="00D66E80" w:rsidP="00546105">
      <w:pPr>
        <w:ind w:left="284"/>
        <w:contextualSpacing/>
        <w:jc w:val="both"/>
        <w:rPr>
          <w:rFonts w:ascii="Bookman Old Style" w:eastAsia="MS Mincho" w:hAnsi="Bookman Old Style" w:cs="Arial"/>
          <w:lang w:val="es-CO"/>
        </w:rPr>
      </w:pPr>
    </w:p>
    <w:p w14:paraId="64E5E2C5" w14:textId="2E1855BE" w:rsidR="00D66E80" w:rsidRDefault="00D338E1"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Por su parte</w:t>
      </w:r>
      <w:r w:rsidR="000917D6">
        <w:rPr>
          <w:rFonts w:ascii="Bookman Old Style" w:eastAsia="MS Mincho" w:hAnsi="Bookman Old Style" w:cs="Arial"/>
          <w:lang w:val="es-CO"/>
        </w:rPr>
        <w:t>,</w:t>
      </w:r>
      <w:r>
        <w:rPr>
          <w:rFonts w:ascii="Bookman Old Style" w:eastAsia="MS Mincho" w:hAnsi="Bookman Old Style" w:cs="Arial"/>
          <w:lang w:val="es-CO"/>
        </w:rPr>
        <w:t xml:space="preserve"> a la Gobernación se le hace el requerimiento en los siguientes términos </w:t>
      </w:r>
    </w:p>
    <w:p w14:paraId="552415AE" w14:textId="77777777" w:rsidR="00F50D89" w:rsidRDefault="00F50D89" w:rsidP="00546105">
      <w:pPr>
        <w:ind w:left="284"/>
        <w:contextualSpacing/>
        <w:jc w:val="both"/>
        <w:rPr>
          <w:rFonts w:ascii="Bookman Old Style" w:eastAsia="MS Mincho" w:hAnsi="Bookman Old Style" w:cs="Arial"/>
          <w:lang w:val="es-CO"/>
        </w:rPr>
      </w:pPr>
    </w:p>
    <w:p w14:paraId="5E0E81CA" w14:textId="77777777" w:rsidR="00D338E1" w:rsidRPr="00930282" w:rsidRDefault="00D338E1" w:rsidP="00BB0E2D">
      <w:pPr>
        <w:ind w:left="567"/>
        <w:contextualSpacing/>
        <w:jc w:val="both"/>
        <w:rPr>
          <w:rFonts w:ascii="Bookman Old Style" w:hAnsi="Bookman Old Style" w:cs="Arial"/>
          <w:i/>
          <w:iCs/>
          <w:sz w:val="20"/>
          <w:szCs w:val="20"/>
        </w:rPr>
      </w:pPr>
      <w:r w:rsidRPr="00930282">
        <w:rPr>
          <w:rFonts w:ascii="Bookman Old Style" w:hAnsi="Bookman Old Style" w:cs="Arial"/>
          <w:i/>
          <w:iCs/>
          <w:sz w:val="20"/>
          <w:szCs w:val="20"/>
        </w:rPr>
        <w:t>“(…) Diagrama unifilar de la(s) red(es) de distribución que opere la Gobernación</w:t>
      </w:r>
      <w:r>
        <w:rPr>
          <w:rFonts w:ascii="Bookman Old Style" w:hAnsi="Bookman Old Style" w:cs="Arial"/>
          <w:i/>
          <w:iCs/>
          <w:sz w:val="20"/>
          <w:szCs w:val="20"/>
        </w:rPr>
        <w:t xml:space="preserve"> </w:t>
      </w:r>
      <w:r w:rsidRPr="00930282">
        <w:rPr>
          <w:rFonts w:ascii="Bookman Old Style" w:hAnsi="Bookman Old Style" w:cs="Arial"/>
          <w:i/>
          <w:iCs/>
          <w:sz w:val="20"/>
          <w:szCs w:val="20"/>
        </w:rPr>
        <w:t>del Vaupés en el Municipio de Mitú y se alimenten de la línea de 34,5 kV que conecta la MCH Mitú y la Subestación Eléctrica Mitú, en el que se muestre: la operación actual de este(os) activo(s), los niveles de tensión en los que opera, el punto de la línea de 34,5 kV del que se deriva y los usuarios servidos.</w:t>
      </w:r>
      <w:r>
        <w:rPr>
          <w:rFonts w:ascii="Bookman Old Style" w:hAnsi="Bookman Old Style" w:cs="Arial"/>
          <w:i/>
          <w:iCs/>
          <w:sz w:val="20"/>
          <w:szCs w:val="20"/>
        </w:rPr>
        <w:t xml:space="preserve"> (…)”</w:t>
      </w:r>
    </w:p>
    <w:p w14:paraId="54939406" w14:textId="77777777" w:rsidR="00D338E1" w:rsidRDefault="00D338E1" w:rsidP="00546105">
      <w:pPr>
        <w:ind w:left="284"/>
        <w:contextualSpacing/>
        <w:jc w:val="both"/>
        <w:rPr>
          <w:rFonts w:ascii="Bookman Old Style" w:eastAsia="MS Mincho" w:hAnsi="Bookman Old Style" w:cs="Arial"/>
          <w:lang w:val="es-CO"/>
        </w:rPr>
      </w:pPr>
    </w:p>
    <w:p w14:paraId="31E8FC3F" w14:textId="1F46B4F8" w:rsidR="002E0B49" w:rsidRDefault="00DD260A"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De otro lado, e</w:t>
      </w:r>
      <w:r w:rsidR="0035015B">
        <w:rPr>
          <w:rFonts w:ascii="Bookman Old Style" w:eastAsia="MS Mincho" w:hAnsi="Bookman Old Style" w:cs="Arial"/>
          <w:lang w:val="es-CO"/>
        </w:rPr>
        <w:t xml:space="preserve">n resolución CREG 091 de 2007, </w:t>
      </w:r>
      <w:r w:rsidR="00B92D63" w:rsidRPr="00B92D63">
        <w:rPr>
          <w:rFonts w:ascii="Bookman Old Style" w:eastAsia="MS Mincho" w:hAnsi="Bookman Old Style" w:cs="Arial"/>
          <w:i/>
          <w:iCs/>
          <w:lang w:val="es-CO"/>
        </w:rPr>
        <w:t>“Por la cual se establecen las metodologías generales para remunerar las actividades de generación, distribución y comercialización de energía eléctrica, y las fórmulas tarifarias generales para establecer el costo unitario de prestación del servicio público de energía eléctrica en Zonas No Interconectadas.”</w:t>
      </w:r>
      <w:r w:rsidR="00B92D63">
        <w:rPr>
          <w:rFonts w:ascii="Bookman Old Style" w:eastAsia="MS Mincho" w:hAnsi="Bookman Old Style" w:cs="Arial"/>
          <w:lang w:val="es-CO"/>
        </w:rPr>
        <w:t>, la CREG hizo las siguientes definiciones:</w:t>
      </w:r>
    </w:p>
    <w:p w14:paraId="615DC1E5" w14:textId="77777777" w:rsidR="00B92D63" w:rsidRPr="0086458B" w:rsidRDefault="00B92D63" w:rsidP="00B92D63">
      <w:pPr>
        <w:ind w:left="284"/>
        <w:contextualSpacing/>
        <w:jc w:val="both"/>
        <w:rPr>
          <w:rFonts w:ascii="Bookman Old Style" w:eastAsia="MS Mincho" w:hAnsi="Bookman Old Style" w:cs="Arial"/>
          <w:lang w:val="es-MX"/>
        </w:rPr>
      </w:pPr>
    </w:p>
    <w:p w14:paraId="30A7DD9E" w14:textId="0DB97F7B" w:rsidR="00554D86" w:rsidRDefault="00B92D63" w:rsidP="00B9277B">
      <w:pPr>
        <w:ind w:left="567"/>
        <w:contextualSpacing/>
        <w:jc w:val="both"/>
        <w:rPr>
          <w:rFonts w:ascii="Bookman Old Style" w:eastAsia="MS Mincho" w:hAnsi="Bookman Old Style" w:cs="Arial"/>
          <w:bCs/>
          <w:i/>
          <w:iCs/>
          <w:sz w:val="20"/>
          <w:szCs w:val="20"/>
        </w:rPr>
      </w:pPr>
      <w:r>
        <w:rPr>
          <w:rFonts w:ascii="Bookman Old Style" w:eastAsia="MS Mincho" w:hAnsi="Bookman Old Style" w:cs="Arial"/>
          <w:bCs/>
          <w:i/>
          <w:iCs/>
          <w:sz w:val="20"/>
          <w:szCs w:val="20"/>
        </w:rPr>
        <w:t xml:space="preserve">“(…) </w:t>
      </w:r>
      <w:r w:rsidR="00554D86" w:rsidRPr="00554D86">
        <w:rPr>
          <w:rFonts w:ascii="Bookman Old Style" w:eastAsia="MS Mincho" w:hAnsi="Bookman Old Style" w:cs="Arial"/>
          <w:bCs/>
          <w:i/>
          <w:iCs/>
          <w:sz w:val="20"/>
          <w:szCs w:val="20"/>
        </w:rPr>
        <w:t>Artículo 2.</w:t>
      </w:r>
      <w:r w:rsidR="00C8395B">
        <w:rPr>
          <w:rFonts w:ascii="Bookman Old Style" w:eastAsia="MS Mincho" w:hAnsi="Bookman Old Style" w:cs="Arial"/>
          <w:bCs/>
          <w:i/>
          <w:iCs/>
          <w:sz w:val="20"/>
          <w:szCs w:val="20"/>
        </w:rPr>
        <w:t xml:space="preserve"> </w:t>
      </w:r>
      <w:r w:rsidR="00554D86" w:rsidRPr="00554D86">
        <w:rPr>
          <w:rFonts w:ascii="Bookman Old Style" w:eastAsia="MS Mincho" w:hAnsi="Bookman Old Style" w:cs="Arial"/>
          <w:bCs/>
          <w:i/>
          <w:iCs/>
          <w:sz w:val="20"/>
          <w:szCs w:val="20"/>
        </w:rPr>
        <w:t>Definiciones. Para la interpretación y aplicación de esta Resolución se tendrán en cuenta, además de las definiciones contenidas en las Leyes 142 y 143 de 1994 y en las resoluciones vigentes de la CREG, las siguientes:</w:t>
      </w:r>
      <w:r w:rsidR="00C8395B">
        <w:rPr>
          <w:rFonts w:ascii="Bookman Old Style" w:eastAsia="MS Mincho" w:hAnsi="Bookman Old Style" w:cs="Arial"/>
          <w:bCs/>
          <w:i/>
          <w:iCs/>
          <w:sz w:val="20"/>
          <w:szCs w:val="20"/>
        </w:rPr>
        <w:t xml:space="preserve"> (…)</w:t>
      </w:r>
    </w:p>
    <w:p w14:paraId="34955FA1" w14:textId="77777777" w:rsidR="00554D86" w:rsidRDefault="00554D86" w:rsidP="00B9277B">
      <w:pPr>
        <w:ind w:left="567"/>
        <w:contextualSpacing/>
        <w:jc w:val="both"/>
        <w:rPr>
          <w:rFonts w:ascii="Bookman Old Style" w:eastAsia="MS Mincho" w:hAnsi="Bookman Old Style" w:cs="Arial"/>
          <w:bCs/>
          <w:i/>
          <w:iCs/>
          <w:sz w:val="20"/>
          <w:szCs w:val="20"/>
        </w:rPr>
      </w:pPr>
    </w:p>
    <w:p w14:paraId="729F4E92" w14:textId="219997F2" w:rsidR="00BD2834" w:rsidRDefault="00BD2834" w:rsidP="00B9277B">
      <w:pPr>
        <w:ind w:left="567"/>
        <w:contextualSpacing/>
        <w:jc w:val="both"/>
        <w:rPr>
          <w:rFonts w:ascii="Bookman Old Style" w:eastAsia="MS Mincho" w:hAnsi="Bookman Old Style" w:cs="Arial"/>
          <w:bCs/>
          <w:i/>
          <w:iCs/>
          <w:sz w:val="20"/>
          <w:szCs w:val="20"/>
        </w:rPr>
      </w:pPr>
      <w:r w:rsidRPr="00BD2834">
        <w:rPr>
          <w:rFonts w:ascii="Bookman Old Style" w:eastAsia="MS Mincho" w:hAnsi="Bookman Old Style" w:cs="Arial"/>
          <w:b/>
          <w:i/>
          <w:iCs/>
          <w:sz w:val="20"/>
          <w:szCs w:val="20"/>
        </w:rPr>
        <w:t>Distribución de Energía Eléctrica con Red Física en ZNI:</w:t>
      </w:r>
      <w:r w:rsidRPr="00BD2834">
        <w:rPr>
          <w:rFonts w:ascii="Bookman Old Style" w:eastAsia="MS Mincho" w:hAnsi="Bookman Old Style" w:cs="Arial"/>
          <w:bCs/>
          <w:i/>
          <w:iCs/>
          <w:sz w:val="20"/>
          <w:szCs w:val="20"/>
        </w:rPr>
        <w:t xml:space="preserve"> Es el </w:t>
      </w:r>
      <w:r w:rsidRPr="00BD2834">
        <w:rPr>
          <w:rFonts w:ascii="Bookman Old Style" w:eastAsia="MS Mincho" w:hAnsi="Bookman Old Style" w:cs="Arial"/>
          <w:b/>
          <w:i/>
          <w:iCs/>
          <w:sz w:val="20"/>
          <w:szCs w:val="20"/>
          <w:u w:val="single"/>
        </w:rPr>
        <w:t xml:space="preserve">transporte de energía eléctrica a través de redes físicas, desde </w:t>
      </w:r>
      <w:r w:rsidR="00F873CA" w:rsidRPr="00BD2834">
        <w:rPr>
          <w:rFonts w:ascii="Bookman Old Style" w:eastAsia="MS Mincho" w:hAnsi="Bookman Old Style" w:cs="Arial"/>
          <w:b/>
          <w:i/>
          <w:iCs/>
          <w:sz w:val="20"/>
          <w:szCs w:val="20"/>
          <w:u w:val="single"/>
        </w:rPr>
        <w:t>la barra de entrega de energía del Generador</w:t>
      </w:r>
      <w:r w:rsidRPr="00BD2834">
        <w:rPr>
          <w:rFonts w:ascii="Bookman Old Style" w:eastAsia="MS Mincho" w:hAnsi="Bookman Old Style" w:cs="Arial"/>
          <w:bCs/>
          <w:i/>
          <w:iCs/>
          <w:sz w:val="20"/>
          <w:szCs w:val="20"/>
        </w:rPr>
        <w:t xml:space="preserve"> al Sistema de Distribución, </w:t>
      </w:r>
      <w:r w:rsidRPr="00066D62">
        <w:rPr>
          <w:rFonts w:ascii="Bookman Old Style" w:eastAsia="MS Mincho" w:hAnsi="Bookman Old Style" w:cs="Arial"/>
          <w:b/>
          <w:i/>
          <w:iCs/>
          <w:sz w:val="20"/>
          <w:szCs w:val="20"/>
          <w:u w:val="single"/>
        </w:rPr>
        <w:t>hasta la conexión de un usuario</w:t>
      </w:r>
      <w:r w:rsidRPr="00BD2834">
        <w:rPr>
          <w:rFonts w:ascii="Bookman Old Style" w:eastAsia="MS Mincho" w:hAnsi="Bookman Old Style" w:cs="Arial"/>
          <w:bCs/>
          <w:i/>
          <w:iCs/>
          <w:sz w:val="20"/>
          <w:szCs w:val="20"/>
        </w:rPr>
        <w:t>, de conformidad con la definición del numeral 14.25 de la Ley 142 de 1994.</w:t>
      </w:r>
    </w:p>
    <w:p w14:paraId="71761B68" w14:textId="77777777" w:rsidR="00BD2834" w:rsidRDefault="00BD2834" w:rsidP="00B9277B">
      <w:pPr>
        <w:ind w:left="567"/>
        <w:contextualSpacing/>
        <w:jc w:val="both"/>
        <w:rPr>
          <w:rFonts w:ascii="Bookman Old Style" w:eastAsia="MS Mincho" w:hAnsi="Bookman Old Style" w:cs="Arial"/>
          <w:bCs/>
          <w:i/>
          <w:iCs/>
          <w:sz w:val="20"/>
          <w:szCs w:val="20"/>
        </w:rPr>
      </w:pPr>
    </w:p>
    <w:p w14:paraId="64E45930" w14:textId="0DACE9F1" w:rsidR="00B92D63" w:rsidRPr="00B92D63" w:rsidRDefault="00B92D63" w:rsidP="00B9277B">
      <w:pPr>
        <w:ind w:left="567"/>
        <w:contextualSpacing/>
        <w:jc w:val="both"/>
        <w:rPr>
          <w:rFonts w:ascii="Bookman Old Style" w:eastAsia="MS Mincho" w:hAnsi="Bookman Old Style" w:cs="Arial"/>
          <w:i/>
          <w:iCs/>
          <w:sz w:val="20"/>
          <w:szCs w:val="20"/>
          <w:lang w:val="es-MX"/>
        </w:rPr>
      </w:pPr>
      <w:r w:rsidRPr="00D04520">
        <w:rPr>
          <w:rFonts w:ascii="Bookman Old Style" w:eastAsia="MS Mincho" w:hAnsi="Bookman Old Style" w:cs="Arial"/>
          <w:b/>
          <w:i/>
          <w:iCs/>
          <w:sz w:val="20"/>
          <w:szCs w:val="20"/>
        </w:rPr>
        <w:t>Mercado Relevante de Comercialización:</w:t>
      </w:r>
      <w:r w:rsidRPr="00B92D63">
        <w:rPr>
          <w:rFonts w:ascii="Bookman Old Style" w:eastAsia="MS Mincho" w:hAnsi="Bookman Old Style" w:cs="Arial"/>
          <w:i/>
          <w:iCs/>
          <w:sz w:val="20"/>
          <w:szCs w:val="20"/>
        </w:rPr>
        <w:t xml:space="preserve"> </w:t>
      </w:r>
      <w:r w:rsidRPr="00B92D63">
        <w:rPr>
          <w:rFonts w:ascii="Bookman Old Style" w:eastAsia="MS Mincho" w:hAnsi="Bookman Old Style" w:cs="Arial"/>
          <w:bCs/>
          <w:i/>
          <w:iCs/>
          <w:sz w:val="20"/>
          <w:szCs w:val="20"/>
        </w:rPr>
        <w:t xml:space="preserve">Conjunto de usuarios conectados a un mismo Sistema de Distribución </w:t>
      </w:r>
      <w:r w:rsidRPr="00B92D63">
        <w:rPr>
          <w:rFonts w:ascii="Bookman Old Style" w:eastAsia="MS Mincho" w:hAnsi="Bookman Old Style" w:cs="Arial"/>
          <w:i/>
          <w:iCs/>
          <w:sz w:val="20"/>
          <w:szCs w:val="20"/>
        </w:rPr>
        <w:t>Local o atendido sin red física por un Distribuidor</w:t>
      </w:r>
      <w:r w:rsidR="0020645C">
        <w:rPr>
          <w:rFonts w:ascii="Bookman Old Style" w:eastAsia="MS Mincho" w:hAnsi="Bookman Old Style" w:cs="Arial"/>
          <w:i/>
          <w:iCs/>
          <w:sz w:val="20"/>
          <w:szCs w:val="20"/>
        </w:rPr>
        <w:t xml:space="preserve"> (…)</w:t>
      </w:r>
    </w:p>
    <w:p w14:paraId="250D7822" w14:textId="77777777" w:rsidR="00C8395B" w:rsidRDefault="00C8395B" w:rsidP="00B9277B">
      <w:pPr>
        <w:ind w:left="567"/>
        <w:contextualSpacing/>
        <w:jc w:val="both"/>
        <w:rPr>
          <w:rFonts w:ascii="Bookman Old Style" w:eastAsia="MS Mincho" w:hAnsi="Bookman Old Style" w:cs="Arial"/>
          <w:bCs/>
          <w:i/>
          <w:iCs/>
          <w:sz w:val="20"/>
          <w:szCs w:val="20"/>
          <w:lang w:val="es-CO"/>
        </w:rPr>
      </w:pPr>
    </w:p>
    <w:p w14:paraId="11A3599B" w14:textId="77777777" w:rsidR="00056362" w:rsidRDefault="00056362" w:rsidP="00B9277B">
      <w:pPr>
        <w:ind w:left="567"/>
        <w:contextualSpacing/>
        <w:jc w:val="both"/>
        <w:rPr>
          <w:rFonts w:ascii="Bookman Old Style" w:eastAsia="MS Mincho" w:hAnsi="Bookman Old Style" w:cs="Arial"/>
          <w:bCs/>
          <w:i/>
          <w:iCs/>
          <w:sz w:val="20"/>
          <w:szCs w:val="20"/>
          <w:lang w:val="es-CO"/>
        </w:rPr>
      </w:pPr>
      <w:r w:rsidRPr="00056362">
        <w:rPr>
          <w:rFonts w:ascii="Bookman Old Style" w:eastAsia="MS Mincho" w:hAnsi="Bookman Old Style" w:cs="Arial"/>
          <w:b/>
          <w:bCs/>
          <w:i/>
          <w:iCs/>
          <w:sz w:val="20"/>
          <w:szCs w:val="20"/>
          <w:lang w:val="es-CO"/>
        </w:rPr>
        <w:t>Parque de Generación:</w:t>
      </w:r>
      <w:r w:rsidRPr="00B92D63">
        <w:rPr>
          <w:rFonts w:ascii="Bookman Old Style" w:eastAsia="MS Mincho" w:hAnsi="Bookman Old Style" w:cs="Arial"/>
          <w:i/>
          <w:iCs/>
          <w:sz w:val="20"/>
          <w:szCs w:val="20"/>
          <w:lang w:val="es-CO"/>
        </w:rPr>
        <w:t xml:space="preserve"> </w:t>
      </w:r>
      <w:r w:rsidRPr="00B92D63">
        <w:rPr>
          <w:rFonts w:ascii="Bookman Old Style" w:eastAsia="MS Mincho" w:hAnsi="Bookman Old Style" w:cs="Arial"/>
          <w:bCs/>
          <w:i/>
          <w:iCs/>
          <w:sz w:val="20"/>
          <w:szCs w:val="20"/>
          <w:lang w:val="es-CO"/>
        </w:rPr>
        <w:t>Conjunto de unidades de generación con el que se atiende un Mercado Relevante de Comercialización.</w:t>
      </w:r>
    </w:p>
    <w:p w14:paraId="2DE6AA6E" w14:textId="77777777" w:rsidR="00056362" w:rsidRDefault="00056362" w:rsidP="00B9277B">
      <w:pPr>
        <w:ind w:left="567"/>
        <w:contextualSpacing/>
        <w:jc w:val="both"/>
        <w:rPr>
          <w:rFonts w:ascii="Bookman Old Style" w:eastAsia="MS Mincho" w:hAnsi="Bookman Old Style" w:cs="Arial"/>
          <w:bCs/>
          <w:i/>
          <w:iCs/>
          <w:sz w:val="20"/>
          <w:szCs w:val="20"/>
          <w:lang w:val="es-CO"/>
        </w:rPr>
      </w:pPr>
    </w:p>
    <w:p w14:paraId="47C8632D" w14:textId="430152C2" w:rsidR="00056362" w:rsidRPr="00076445" w:rsidRDefault="00B92D63" w:rsidP="00B9277B">
      <w:pPr>
        <w:ind w:left="567"/>
        <w:contextualSpacing/>
        <w:jc w:val="both"/>
        <w:rPr>
          <w:rFonts w:ascii="Bookman Old Style" w:eastAsia="MS Mincho" w:hAnsi="Bookman Old Style"/>
          <w:sz w:val="20"/>
          <w:lang w:val="es-MX"/>
        </w:rPr>
      </w:pPr>
      <w:r w:rsidRPr="007E411B">
        <w:rPr>
          <w:rFonts w:ascii="Bookman Old Style" w:eastAsia="MS Mincho" w:hAnsi="Bookman Old Style" w:cs="Arial"/>
          <w:b/>
          <w:i/>
          <w:iCs/>
          <w:sz w:val="20"/>
          <w:szCs w:val="20"/>
          <w:lang w:val="es-CO"/>
        </w:rPr>
        <w:t>Sistema de Distribución:</w:t>
      </w:r>
      <w:r w:rsidRPr="00B92D63">
        <w:rPr>
          <w:rFonts w:ascii="Bookman Old Style" w:eastAsia="MS Mincho" w:hAnsi="Bookman Old Style" w:cs="Arial"/>
          <w:i/>
          <w:iCs/>
          <w:sz w:val="20"/>
          <w:szCs w:val="20"/>
          <w:lang w:val="es-CO"/>
        </w:rPr>
        <w:t xml:space="preserve"> Es el </w:t>
      </w:r>
      <w:r w:rsidRPr="00DD0652">
        <w:rPr>
          <w:rFonts w:ascii="Bookman Old Style" w:eastAsia="MS Mincho" w:hAnsi="Bookman Old Style" w:cs="Arial"/>
          <w:b/>
          <w:bCs/>
          <w:i/>
          <w:iCs/>
          <w:sz w:val="20"/>
          <w:szCs w:val="20"/>
          <w:u w:val="single"/>
          <w:lang w:val="es-CO"/>
        </w:rPr>
        <w:t>conjunto de redes físicas</w:t>
      </w:r>
      <w:r w:rsidRPr="00B92D63">
        <w:rPr>
          <w:rFonts w:ascii="Bookman Old Style" w:eastAsia="MS Mincho" w:hAnsi="Bookman Old Style" w:cs="Arial"/>
          <w:i/>
          <w:iCs/>
          <w:sz w:val="20"/>
          <w:szCs w:val="20"/>
          <w:lang w:val="es-CO"/>
        </w:rPr>
        <w:t xml:space="preserve"> de uso público que transportan energía eléctrica </w:t>
      </w:r>
      <w:r w:rsidRPr="00DD0652">
        <w:rPr>
          <w:rFonts w:ascii="Bookman Old Style" w:eastAsia="MS Mincho" w:hAnsi="Bookman Old Style" w:cs="Arial"/>
          <w:b/>
          <w:i/>
          <w:iCs/>
          <w:sz w:val="20"/>
          <w:szCs w:val="20"/>
          <w:u w:val="single"/>
          <w:lang w:val="es-CO"/>
        </w:rPr>
        <w:t>desde la barra de un generador</w:t>
      </w:r>
      <w:r w:rsidRPr="00B92D63">
        <w:rPr>
          <w:rFonts w:ascii="Bookman Old Style" w:eastAsia="MS Mincho" w:hAnsi="Bookman Old Style" w:cs="Arial"/>
          <w:bCs/>
          <w:i/>
          <w:iCs/>
          <w:sz w:val="20"/>
          <w:szCs w:val="20"/>
          <w:lang w:val="es-CO"/>
        </w:rPr>
        <w:t xml:space="preserve"> </w:t>
      </w:r>
      <w:r w:rsidRPr="00B92D63">
        <w:rPr>
          <w:rFonts w:ascii="Bookman Old Style" w:eastAsia="MS Mincho" w:hAnsi="Bookman Old Style" w:cs="Arial"/>
          <w:i/>
          <w:iCs/>
          <w:sz w:val="20"/>
          <w:szCs w:val="20"/>
          <w:lang w:val="es-CO"/>
        </w:rPr>
        <w:t xml:space="preserve">hasta el punto de derivación de las acometidas de los inmuebles, sin incluir su conexión y medición. </w:t>
      </w:r>
      <w:r w:rsidRPr="00DD0652">
        <w:rPr>
          <w:rFonts w:ascii="Bookman Old Style" w:eastAsia="MS Mincho" w:hAnsi="Bookman Old Style" w:cs="Arial"/>
          <w:b/>
          <w:i/>
          <w:iCs/>
          <w:sz w:val="20"/>
          <w:szCs w:val="20"/>
          <w:u w:val="single"/>
          <w:lang w:val="es-CO"/>
        </w:rPr>
        <w:t>No se incluyen los transformadores elevadores ni servicios auxiliares del generador.</w:t>
      </w:r>
      <w:r w:rsidR="00F63BB6" w:rsidRPr="00F63BB6">
        <w:rPr>
          <w:rFonts w:ascii="Bookman Old Style" w:eastAsia="MS Mincho" w:hAnsi="Bookman Old Style" w:cs="Arial"/>
          <w:bCs/>
          <w:i/>
          <w:iCs/>
          <w:sz w:val="20"/>
          <w:szCs w:val="20"/>
          <w:lang w:val="es-CO"/>
        </w:rPr>
        <w:t xml:space="preserve"> (…)”</w:t>
      </w:r>
      <w:r w:rsidR="00F63BB6">
        <w:rPr>
          <w:rFonts w:ascii="Bookman Old Style" w:eastAsia="MS Mincho" w:hAnsi="Bookman Old Style" w:cs="Arial"/>
          <w:bCs/>
          <w:sz w:val="20"/>
          <w:szCs w:val="20"/>
          <w:lang w:val="es-CO"/>
        </w:rPr>
        <w:t xml:space="preserve"> </w:t>
      </w:r>
      <w:r w:rsidR="00F63BB6" w:rsidRPr="00076445">
        <w:rPr>
          <w:rFonts w:ascii="Bookman Old Style" w:eastAsia="MS Mincho" w:hAnsi="Bookman Old Style"/>
          <w:sz w:val="20"/>
          <w:lang w:val="es-CO"/>
        </w:rPr>
        <w:t>Resaltado y subrayado fuera de texto.</w:t>
      </w:r>
    </w:p>
    <w:p w14:paraId="0F7046EE" w14:textId="77777777" w:rsidR="00B92D63" w:rsidRDefault="00B92D63" w:rsidP="0060544A">
      <w:pPr>
        <w:ind w:left="284"/>
        <w:contextualSpacing/>
        <w:jc w:val="both"/>
        <w:rPr>
          <w:rFonts w:ascii="Bookman Old Style" w:eastAsia="MS Mincho" w:hAnsi="Bookman Old Style" w:cs="Arial"/>
          <w:lang w:val="es-MX"/>
        </w:rPr>
      </w:pPr>
    </w:p>
    <w:p w14:paraId="70EEBB12" w14:textId="29A20FBD" w:rsidR="00C51832" w:rsidRDefault="00C51832" w:rsidP="0060544A">
      <w:pPr>
        <w:ind w:left="284"/>
        <w:contextualSpacing/>
        <w:jc w:val="both"/>
        <w:rPr>
          <w:rFonts w:ascii="Bookman Old Style" w:eastAsia="MS Mincho" w:hAnsi="Bookman Old Style" w:cs="Arial"/>
          <w:lang w:val="es-MX"/>
        </w:rPr>
      </w:pPr>
      <w:r>
        <w:rPr>
          <w:rFonts w:ascii="Bookman Old Style" w:eastAsia="MS Mincho" w:hAnsi="Bookman Old Style" w:cs="Arial"/>
          <w:lang w:val="es-MX"/>
        </w:rPr>
        <w:t>Adicionalmente, sobre la remuneración de la actividad de generación de energía eléctrica se indica:</w:t>
      </w:r>
    </w:p>
    <w:p w14:paraId="16E3343F" w14:textId="77777777" w:rsidR="00C51832" w:rsidRDefault="00C51832" w:rsidP="0060544A">
      <w:pPr>
        <w:ind w:left="284"/>
        <w:contextualSpacing/>
        <w:jc w:val="both"/>
        <w:rPr>
          <w:rFonts w:ascii="Bookman Old Style" w:eastAsia="MS Mincho" w:hAnsi="Bookman Old Style" w:cs="Arial"/>
          <w:lang w:val="es-MX"/>
        </w:rPr>
      </w:pPr>
    </w:p>
    <w:p w14:paraId="3E06928B" w14:textId="62DE749D" w:rsidR="00C51832" w:rsidRPr="00076445" w:rsidRDefault="00977B79" w:rsidP="00B9277B">
      <w:pPr>
        <w:ind w:left="567"/>
        <w:contextualSpacing/>
        <w:jc w:val="both"/>
        <w:rPr>
          <w:rFonts w:ascii="Bookman Old Style" w:eastAsia="MS Mincho" w:hAnsi="Bookman Old Style"/>
          <w:sz w:val="20"/>
          <w:lang w:val="es-MX"/>
        </w:rPr>
      </w:pPr>
      <w:r>
        <w:rPr>
          <w:rFonts w:ascii="Bookman Old Style" w:eastAsia="MS Mincho" w:hAnsi="Bookman Old Style" w:cs="Arial"/>
          <w:i/>
          <w:iCs/>
          <w:sz w:val="20"/>
          <w:szCs w:val="20"/>
          <w:lang w:val="es-MX"/>
        </w:rPr>
        <w:t xml:space="preserve">“(…) </w:t>
      </w:r>
      <w:r w:rsidRPr="00977B79">
        <w:rPr>
          <w:rFonts w:ascii="Bookman Old Style" w:eastAsia="MS Mincho" w:hAnsi="Bookman Old Style" w:cs="Arial"/>
          <w:i/>
          <w:iCs/>
          <w:sz w:val="20"/>
          <w:szCs w:val="20"/>
          <w:lang w:val="es-MX"/>
        </w:rPr>
        <w:t xml:space="preserve">Artículo 22. </w:t>
      </w:r>
      <w:r w:rsidRPr="00200CED">
        <w:rPr>
          <w:rFonts w:ascii="Bookman Old Style" w:eastAsia="MS Mincho" w:hAnsi="Bookman Old Style" w:cs="Arial"/>
          <w:b/>
          <w:bCs/>
          <w:i/>
          <w:iCs/>
          <w:sz w:val="20"/>
          <w:szCs w:val="20"/>
          <w:u w:val="single"/>
          <w:lang w:val="es-MX"/>
        </w:rPr>
        <w:t>Remuneración de la componente de inversión y mantenimiento de tecnologías de Generación.</w:t>
      </w:r>
      <w:r w:rsidRPr="00977B79">
        <w:rPr>
          <w:rFonts w:ascii="Bookman Old Style" w:eastAsia="MS Mincho" w:hAnsi="Bookman Old Style" w:cs="Arial"/>
          <w:i/>
          <w:iCs/>
          <w:sz w:val="20"/>
          <w:szCs w:val="20"/>
          <w:lang w:val="es-MX"/>
        </w:rPr>
        <w:t xml:space="preserve"> La componente de inversión de los Cargos Regulados de Generación, expresada en ($/kWh), </w:t>
      </w:r>
      <w:r w:rsidRPr="00F838CF">
        <w:rPr>
          <w:rFonts w:ascii="Bookman Old Style" w:eastAsia="MS Mincho" w:hAnsi="Bookman Old Style" w:cs="Arial"/>
          <w:b/>
          <w:bCs/>
          <w:i/>
          <w:iCs/>
          <w:sz w:val="20"/>
          <w:szCs w:val="20"/>
          <w:u w:val="single"/>
          <w:lang w:val="es-MX"/>
        </w:rPr>
        <w:t>incluye los costos</w:t>
      </w:r>
      <w:r w:rsidRPr="00977B79">
        <w:rPr>
          <w:rFonts w:ascii="Bookman Old Style" w:eastAsia="MS Mincho" w:hAnsi="Bookman Old Style" w:cs="Arial"/>
          <w:i/>
          <w:iCs/>
          <w:sz w:val="20"/>
          <w:szCs w:val="20"/>
          <w:lang w:val="es-MX"/>
        </w:rPr>
        <w:t xml:space="preserve"> de adquisición, transporte, instalación, diseños, permisos ambientales, almacenamiento de combustible, transformadores elevadores, equipos de telemedida y los </w:t>
      </w:r>
      <w:r w:rsidRPr="00F838CF">
        <w:rPr>
          <w:rFonts w:ascii="Bookman Old Style" w:eastAsia="MS Mincho" w:hAnsi="Bookman Old Style" w:cs="Arial"/>
          <w:b/>
          <w:bCs/>
          <w:i/>
          <w:iCs/>
          <w:sz w:val="20"/>
          <w:szCs w:val="20"/>
          <w:u w:val="single"/>
          <w:lang w:val="es-MX"/>
        </w:rPr>
        <w:t>necesarios para la puesta en operación de una central de generación</w:t>
      </w:r>
      <w:r w:rsidRPr="00977B79">
        <w:rPr>
          <w:rFonts w:ascii="Bookman Old Style" w:eastAsia="MS Mincho" w:hAnsi="Bookman Old Style" w:cs="Arial"/>
          <w:i/>
          <w:iCs/>
          <w:sz w:val="20"/>
          <w:szCs w:val="20"/>
          <w:lang w:val="es-MX"/>
        </w:rPr>
        <w:t>, y dependerá del tamaño, tecnología, horas de prestación del servicio y el tipo de combustible de cada unidad de generación.</w:t>
      </w:r>
      <w:r w:rsidR="00F838CF">
        <w:rPr>
          <w:rFonts w:ascii="Bookman Old Style" w:eastAsia="MS Mincho" w:hAnsi="Bookman Old Style" w:cs="Arial"/>
          <w:i/>
          <w:iCs/>
          <w:sz w:val="20"/>
          <w:szCs w:val="20"/>
          <w:lang w:val="es-MX"/>
        </w:rPr>
        <w:t xml:space="preserve"> </w:t>
      </w:r>
      <w:r w:rsidR="00F838CF" w:rsidRPr="286CF6A9">
        <w:rPr>
          <w:rFonts w:ascii="Bookman Old Style" w:eastAsia="MS Mincho" w:hAnsi="Bookman Old Style" w:cs="Arial"/>
          <w:i/>
          <w:iCs/>
          <w:sz w:val="20"/>
          <w:szCs w:val="20"/>
          <w:lang w:val="es-MX"/>
        </w:rPr>
        <w:t>(…)”.</w:t>
      </w:r>
      <w:r w:rsidR="00F838CF">
        <w:rPr>
          <w:rFonts w:ascii="Bookman Old Style" w:eastAsia="MS Mincho" w:hAnsi="Bookman Old Style" w:cs="Arial"/>
          <w:sz w:val="20"/>
          <w:szCs w:val="20"/>
          <w:lang w:val="es-MX"/>
        </w:rPr>
        <w:t xml:space="preserve"> </w:t>
      </w:r>
      <w:r w:rsidR="00F838CF" w:rsidRPr="00076445">
        <w:rPr>
          <w:rFonts w:ascii="Bookman Old Style" w:eastAsia="MS Mincho" w:hAnsi="Bookman Old Style"/>
          <w:sz w:val="20"/>
          <w:lang w:val="es-MX"/>
        </w:rPr>
        <w:t>Resaltado y subrayado fuera de texto.</w:t>
      </w:r>
    </w:p>
    <w:p w14:paraId="77936B1A" w14:textId="77777777" w:rsidR="002E0B49" w:rsidRDefault="002E0B49" w:rsidP="0060544A">
      <w:pPr>
        <w:ind w:left="284"/>
        <w:contextualSpacing/>
        <w:jc w:val="both"/>
        <w:rPr>
          <w:rFonts w:ascii="Bookman Old Style" w:eastAsia="MS Mincho" w:hAnsi="Bookman Old Style" w:cs="Arial"/>
          <w:lang w:val="es-CO"/>
        </w:rPr>
      </w:pPr>
    </w:p>
    <w:p w14:paraId="2EC929AB" w14:textId="609ED67F" w:rsidR="008D6263" w:rsidRDefault="00C25D7C"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Sobre la disposición anterior se resalta que la remuneración de la componente de inversión de generación hace referencia a </w:t>
      </w:r>
      <w:r w:rsidR="00197E67">
        <w:rPr>
          <w:rFonts w:ascii="Bookman Old Style" w:eastAsia="MS Mincho" w:hAnsi="Bookman Old Style" w:cs="Arial"/>
          <w:lang w:val="es-CO"/>
        </w:rPr>
        <w:t xml:space="preserve">los costos necesarios para la puesta </w:t>
      </w:r>
      <w:r w:rsidR="003E08C8">
        <w:rPr>
          <w:rFonts w:ascii="Bookman Old Style" w:eastAsia="MS Mincho" w:hAnsi="Bookman Old Style" w:cs="Arial"/>
          <w:lang w:val="es-CO"/>
        </w:rPr>
        <w:t>e</w:t>
      </w:r>
      <w:r w:rsidR="00197E67">
        <w:rPr>
          <w:rFonts w:ascii="Bookman Old Style" w:eastAsia="MS Mincho" w:hAnsi="Bookman Old Style" w:cs="Arial"/>
          <w:lang w:val="es-CO"/>
        </w:rPr>
        <w:t xml:space="preserve">n operación de la central de </w:t>
      </w:r>
      <w:r w:rsidR="003E08C8">
        <w:rPr>
          <w:rFonts w:ascii="Bookman Old Style" w:eastAsia="MS Mincho" w:hAnsi="Bookman Old Style" w:cs="Arial"/>
          <w:lang w:val="es-CO"/>
        </w:rPr>
        <w:t>generación,</w:t>
      </w:r>
      <w:r w:rsidR="00197E67">
        <w:rPr>
          <w:rFonts w:ascii="Bookman Old Style" w:eastAsia="MS Mincho" w:hAnsi="Bookman Old Style" w:cs="Arial"/>
          <w:lang w:val="es-CO"/>
        </w:rPr>
        <w:t xml:space="preserve"> pero no hace referencia a costos de conexión.</w:t>
      </w:r>
    </w:p>
    <w:p w14:paraId="7FF6C779" w14:textId="77777777" w:rsidR="008D6263" w:rsidRDefault="008D6263" w:rsidP="0060544A">
      <w:pPr>
        <w:ind w:left="284"/>
        <w:contextualSpacing/>
        <w:jc w:val="both"/>
        <w:rPr>
          <w:rFonts w:ascii="Bookman Old Style" w:eastAsia="MS Mincho" w:hAnsi="Bookman Old Style" w:cs="Arial"/>
          <w:lang w:val="es-CO"/>
        </w:rPr>
      </w:pPr>
    </w:p>
    <w:p w14:paraId="7D6FC3CB" w14:textId="345C8B85" w:rsidR="002E0B49" w:rsidRDefault="00F838CF"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Así mismo, </w:t>
      </w:r>
      <w:r w:rsidRPr="00F838CF">
        <w:rPr>
          <w:rFonts w:ascii="Bookman Old Style" w:eastAsia="MS Mincho" w:hAnsi="Bookman Old Style" w:cs="Arial"/>
          <w:lang w:val="es-CO"/>
        </w:rPr>
        <w:t xml:space="preserve">sobre la remuneración de la actividad de </w:t>
      </w:r>
      <w:r>
        <w:rPr>
          <w:rFonts w:ascii="Bookman Old Style" w:eastAsia="MS Mincho" w:hAnsi="Bookman Old Style" w:cs="Arial"/>
          <w:lang w:val="es-CO"/>
        </w:rPr>
        <w:t xml:space="preserve">distribución </w:t>
      </w:r>
      <w:r w:rsidRPr="00F838CF">
        <w:rPr>
          <w:rFonts w:ascii="Bookman Old Style" w:eastAsia="MS Mincho" w:hAnsi="Bookman Old Style" w:cs="Arial"/>
          <w:lang w:val="es-CO"/>
        </w:rPr>
        <w:t>de energía eléctrica se indica:</w:t>
      </w:r>
    </w:p>
    <w:p w14:paraId="7C874B26" w14:textId="77777777" w:rsidR="00D771DA" w:rsidRDefault="00D771DA" w:rsidP="0060544A">
      <w:pPr>
        <w:ind w:left="284"/>
        <w:contextualSpacing/>
        <w:jc w:val="both"/>
        <w:rPr>
          <w:rFonts w:ascii="Bookman Old Style" w:eastAsia="MS Mincho" w:hAnsi="Bookman Old Style" w:cs="Arial"/>
          <w:lang w:val="es-CO"/>
        </w:rPr>
      </w:pPr>
    </w:p>
    <w:p w14:paraId="0F86ECB4" w14:textId="0F05C36B" w:rsidR="00D771DA" w:rsidRPr="003840C0" w:rsidRDefault="003840C0" w:rsidP="00B9277B">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00D771DA" w:rsidRPr="003840C0">
        <w:rPr>
          <w:rFonts w:ascii="Bookman Old Style" w:eastAsia="MS Mincho" w:hAnsi="Bookman Old Style" w:cs="Arial"/>
          <w:i/>
          <w:iCs/>
          <w:sz w:val="20"/>
          <w:szCs w:val="20"/>
          <w:lang w:val="es-CO"/>
        </w:rPr>
        <w:t>CARGOS POR USO DEL SISTEMA DE DISTRIBUCIÓN</w:t>
      </w:r>
    </w:p>
    <w:p w14:paraId="4633789A" w14:textId="77777777" w:rsidR="00D771DA" w:rsidRPr="003840C0" w:rsidRDefault="00D771DA" w:rsidP="00B9277B">
      <w:pPr>
        <w:ind w:left="567"/>
        <w:contextualSpacing/>
        <w:jc w:val="both"/>
        <w:rPr>
          <w:rFonts w:ascii="Bookman Old Style" w:eastAsia="MS Mincho" w:hAnsi="Bookman Old Style" w:cs="Arial"/>
          <w:i/>
          <w:iCs/>
          <w:sz w:val="20"/>
          <w:szCs w:val="20"/>
          <w:lang w:val="es-CO"/>
        </w:rPr>
      </w:pPr>
    </w:p>
    <w:p w14:paraId="52CBC345" w14:textId="0ADBF374" w:rsidR="00D771DA" w:rsidRDefault="00D771DA" w:rsidP="00B9277B">
      <w:pPr>
        <w:ind w:left="567"/>
        <w:contextualSpacing/>
        <w:jc w:val="both"/>
        <w:rPr>
          <w:rFonts w:ascii="Bookman Old Style" w:eastAsia="MS Mincho" w:hAnsi="Bookman Old Style" w:cs="Arial"/>
          <w:i/>
          <w:iCs/>
          <w:sz w:val="20"/>
          <w:szCs w:val="20"/>
          <w:lang w:val="es-CO"/>
        </w:rPr>
      </w:pPr>
      <w:r w:rsidRPr="003840C0">
        <w:rPr>
          <w:rFonts w:ascii="Bookman Old Style" w:eastAsia="MS Mincho" w:hAnsi="Bookman Old Style" w:cs="Arial"/>
          <w:i/>
          <w:iCs/>
          <w:sz w:val="20"/>
          <w:szCs w:val="20"/>
          <w:lang w:val="es-CO"/>
        </w:rPr>
        <w:t>Artículo 28.</w:t>
      </w:r>
      <w:r w:rsidR="003840C0">
        <w:rPr>
          <w:rFonts w:ascii="Bookman Old Style" w:eastAsia="MS Mincho" w:hAnsi="Bookman Old Style" w:cs="Arial"/>
          <w:i/>
          <w:iCs/>
          <w:sz w:val="20"/>
          <w:szCs w:val="20"/>
          <w:lang w:val="es-CO"/>
        </w:rPr>
        <w:t xml:space="preserve"> </w:t>
      </w:r>
      <w:r w:rsidRPr="003840C0">
        <w:rPr>
          <w:rFonts w:ascii="Bookman Old Style" w:eastAsia="MS Mincho" w:hAnsi="Bookman Old Style" w:cs="Arial"/>
          <w:i/>
          <w:iCs/>
          <w:sz w:val="20"/>
          <w:szCs w:val="20"/>
          <w:lang w:val="es-CO"/>
        </w:rPr>
        <w:t>Principios Generales. La aplicación de los cargos por uso de los Sistemas de Distribución tendrá en cuenta los siguientes principios generales:</w:t>
      </w:r>
      <w:r w:rsidR="009E02FB">
        <w:rPr>
          <w:rFonts w:ascii="Bookman Old Style" w:eastAsia="MS Mincho" w:hAnsi="Bookman Old Style" w:cs="Arial"/>
          <w:i/>
          <w:iCs/>
          <w:sz w:val="20"/>
          <w:szCs w:val="20"/>
          <w:lang w:val="es-CO"/>
        </w:rPr>
        <w:t xml:space="preserve"> (…)</w:t>
      </w:r>
    </w:p>
    <w:p w14:paraId="22F46AD3" w14:textId="77777777" w:rsidR="00BF4835" w:rsidRPr="00BF4835" w:rsidRDefault="00BF4835" w:rsidP="00BF4835">
      <w:pPr>
        <w:ind w:left="709"/>
        <w:contextualSpacing/>
        <w:jc w:val="both"/>
        <w:rPr>
          <w:rFonts w:ascii="Bookman Old Style" w:eastAsia="MS Mincho" w:hAnsi="Bookman Old Style" w:cs="Arial"/>
          <w:i/>
          <w:iCs/>
          <w:sz w:val="20"/>
          <w:szCs w:val="20"/>
          <w:lang w:val="es-CO"/>
        </w:rPr>
      </w:pPr>
    </w:p>
    <w:p w14:paraId="64105B58" w14:textId="1DCE4063" w:rsidR="003840C0" w:rsidRPr="0096365B" w:rsidRDefault="00BF4835" w:rsidP="00B9277B">
      <w:pPr>
        <w:ind w:left="851" w:hanging="284"/>
        <w:contextualSpacing/>
        <w:jc w:val="both"/>
        <w:rPr>
          <w:rFonts w:ascii="Bookman Old Style" w:eastAsia="MS Mincho" w:hAnsi="Bookman Old Style" w:cs="Arial"/>
          <w:lang w:val="es-CO"/>
        </w:rPr>
      </w:pPr>
      <w:r w:rsidRPr="00BF4835">
        <w:rPr>
          <w:rFonts w:ascii="Bookman Old Style" w:eastAsia="MS Mincho" w:hAnsi="Bookman Old Style" w:cs="Arial"/>
          <w:i/>
          <w:iCs/>
          <w:sz w:val="20"/>
          <w:szCs w:val="20"/>
          <w:lang w:val="es-CO"/>
        </w:rPr>
        <w:t>b)</w:t>
      </w:r>
      <w:r>
        <w:rPr>
          <w:rFonts w:eastAsia="MS Mincho"/>
        </w:rPr>
        <w:tab/>
      </w:r>
      <w:r w:rsidRPr="0096365B">
        <w:rPr>
          <w:rFonts w:ascii="Bookman Old Style" w:eastAsia="MS Mincho" w:hAnsi="Bookman Old Style" w:cs="Arial"/>
          <w:b/>
          <w:bCs/>
          <w:i/>
          <w:iCs/>
          <w:sz w:val="20"/>
          <w:szCs w:val="20"/>
          <w:u w:val="single"/>
          <w:lang w:val="es-CO"/>
        </w:rPr>
        <w:t>Los cargos por uso del Sistema de Distribución remunerarán</w:t>
      </w:r>
      <w:r w:rsidRPr="00D362FD">
        <w:rPr>
          <w:rFonts w:ascii="Bookman Old Style" w:eastAsia="MS Mincho" w:hAnsi="Bookman Old Style" w:cs="Arial"/>
          <w:i/>
          <w:iCs/>
          <w:sz w:val="20"/>
          <w:szCs w:val="20"/>
          <w:lang w:val="es-CO"/>
        </w:rPr>
        <w:t xml:space="preserve"> al Distribuidor la infraestructura necesaria para llevar el suministro</w:t>
      </w:r>
      <w:r w:rsidRPr="0096365B">
        <w:rPr>
          <w:rFonts w:ascii="Bookman Old Style" w:eastAsia="MS Mincho" w:hAnsi="Bookman Old Style" w:cs="Arial"/>
          <w:b/>
          <w:bCs/>
          <w:i/>
          <w:iCs/>
          <w:sz w:val="20"/>
          <w:szCs w:val="20"/>
          <w:u w:val="single"/>
          <w:lang w:val="es-CO"/>
        </w:rPr>
        <w:t xml:space="preserve"> desde el Punto de Salida del Generador</w:t>
      </w:r>
      <w:r w:rsidRPr="00BF4835">
        <w:rPr>
          <w:rFonts w:ascii="Bookman Old Style" w:eastAsia="MS Mincho" w:hAnsi="Bookman Old Style" w:cs="Arial"/>
          <w:i/>
          <w:iCs/>
          <w:sz w:val="20"/>
          <w:szCs w:val="20"/>
          <w:lang w:val="es-CO"/>
        </w:rPr>
        <w:t xml:space="preserve">, hasta el punto de entrega al usuario. </w:t>
      </w:r>
      <w:r w:rsidRPr="006F00F7">
        <w:rPr>
          <w:rFonts w:ascii="Bookman Old Style" w:eastAsia="MS Mincho" w:hAnsi="Bookman Old Style" w:cs="Arial"/>
          <w:b/>
          <w:bCs/>
          <w:i/>
          <w:iCs/>
          <w:sz w:val="20"/>
          <w:szCs w:val="20"/>
          <w:u w:val="single"/>
          <w:lang w:val="es-CO"/>
        </w:rPr>
        <w:t>Incluyen los costos de conexión del Sistema de Distribución al Generador, pero no incluyen</w:t>
      </w:r>
      <w:r w:rsidRPr="00BF4835">
        <w:rPr>
          <w:rFonts w:ascii="Bookman Old Style" w:eastAsia="MS Mincho" w:hAnsi="Bookman Old Style" w:cs="Arial"/>
          <w:i/>
          <w:iCs/>
          <w:sz w:val="20"/>
          <w:szCs w:val="20"/>
          <w:lang w:val="es-CO"/>
        </w:rPr>
        <w:t xml:space="preserve"> los costos de conexión del usuario al respectivo Sistema de Distribución ni </w:t>
      </w:r>
      <w:r w:rsidRPr="006F00F7">
        <w:rPr>
          <w:rFonts w:ascii="Bookman Old Style" w:eastAsia="MS Mincho" w:hAnsi="Bookman Old Style" w:cs="Arial"/>
          <w:b/>
          <w:bCs/>
          <w:i/>
          <w:iCs/>
          <w:sz w:val="20"/>
          <w:szCs w:val="20"/>
          <w:u w:val="single"/>
          <w:lang w:val="es-CO"/>
        </w:rPr>
        <w:t>los costos de los equipos auxiliares y transformadores elevadores que requiera el generador para conectarse al Sistema de Distribución</w:t>
      </w:r>
      <w:r w:rsidRPr="00BF4835">
        <w:rPr>
          <w:rFonts w:ascii="Bookman Old Style" w:eastAsia="MS Mincho" w:hAnsi="Bookman Old Style" w:cs="Arial"/>
          <w:i/>
          <w:iCs/>
          <w:sz w:val="20"/>
          <w:szCs w:val="20"/>
          <w:lang w:val="es-CO"/>
        </w:rPr>
        <w:t>.</w:t>
      </w:r>
      <w:r w:rsidR="0096365B">
        <w:rPr>
          <w:rFonts w:ascii="Bookman Old Style" w:eastAsia="MS Mincho" w:hAnsi="Bookman Old Style" w:cs="Arial"/>
          <w:i/>
          <w:iCs/>
          <w:sz w:val="20"/>
          <w:szCs w:val="20"/>
          <w:lang w:val="es-CO"/>
        </w:rPr>
        <w:t xml:space="preserve"> (…)”</w:t>
      </w:r>
      <w:r w:rsidR="0096365B">
        <w:rPr>
          <w:rFonts w:ascii="Bookman Old Style" w:eastAsia="MS Mincho" w:hAnsi="Bookman Old Style" w:cs="Arial"/>
          <w:sz w:val="20"/>
          <w:szCs w:val="20"/>
          <w:lang w:val="es-CO"/>
        </w:rPr>
        <w:t xml:space="preserve"> </w:t>
      </w:r>
      <w:r w:rsidR="0096365B" w:rsidRPr="00076445">
        <w:rPr>
          <w:rFonts w:ascii="Bookman Old Style" w:eastAsia="MS Mincho" w:hAnsi="Bookman Old Style"/>
          <w:sz w:val="20"/>
          <w:lang w:val="es-CO"/>
        </w:rPr>
        <w:t>Resaltado y subrayado fuera de texto.</w:t>
      </w:r>
    </w:p>
    <w:p w14:paraId="67DDFE0A" w14:textId="77777777" w:rsidR="002E0B49" w:rsidRDefault="002E0B49" w:rsidP="0060544A">
      <w:pPr>
        <w:ind w:left="284"/>
        <w:contextualSpacing/>
        <w:jc w:val="both"/>
        <w:rPr>
          <w:rFonts w:ascii="Bookman Old Style" w:eastAsia="MS Mincho" w:hAnsi="Bookman Old Style" w:cs="Arial"/>
          <w:sz w:val="22"/>
          <w:szCs w:val="22"/>
          <w:lang w:val="es-CO"/>
        </w:rPr>
      </w:pPr>
    </w:p>
    <w:p w14:paraId="09235FAB" w14:textId="76E8B55F" w:rsidR="002E0B49" w:rsidRDefault="00287F9F"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Partiendo de las definiciones anteriores y la forma en que se determinó </w:t>
      </w:r>
      <w:r w:rsidR="00F873CA">
        <w:rPr>
          <w:rFonts w:ascii="Bookman Old Style" w:eastAsia="MS Mincho" w:hAnsi="Bookman Old Style" w:cs="Arial"/>
          <w:lang w:val="es-CO"/>
        </w:rPr>
        <w:t xml:space="preserve">la remuneración de las actividades de generación y distribución de energía eléctrica para las ZNI, </w:t>
      </w:r>
      <w:r w:rsidR="00D5723A">
        <w:rPr>
          <w:rFonts w:ascii="Bookman Old Style" w:eastAsia="MS Mincho" w:hAnsi="Bookman Old Style" w:cs="Arial"/>
          <w:lang w:val="es-CO"/>
        </w:rPr>
        <w:t xml:space="preserve">para determinar el inicio del sistema de </w:t>
      </w:r>
      <w:r w:rsidR="007063FE">
        <w:rPr>
          <w:rFonts w:ascii="Bookman Old Style" w:eastAsia="MS Mincho" w:hAnsi="Bookman Old Style" w:cs="Arial"/>
          <w:lang w:val="es-CO"/>
        </w:rPr>
        <w:t xml:space="preserve">distribución </w:t>
      </w:r>
      <w:r w:rsidR="004610D8">
        <w:rPr>
          <w:rFonts w:ascii="Bookman Old Style" w:eastAsia="MS Mincho" w:hAnsi="Bookman Old Style" w:cs="Arial"/>
          <w:lang w:val="es-CO"/>
        </w:rPr>
        <w:t>debe identificarse</w:t>
      </w:r>
      <w:r w:rsidR="007063FE">
        <w:rPr>
          <w:rFonts w:ascii="Bookman Old Style" w:eastAsia="MS Mincho" w:hAnsi="Bookman Old Style" w:cs="Arial"/>
          <w:lang w:val="es-CO"/>
        </w:rPr>
        <w:t xml:space="preserve"> </w:t>
      </w:r>
      <w:r w:rsidR="007063FE" w:rsidRPr="007063FE">
        <w:rPr>
          <w:rFonts w:ascii="Bookman Old Style" w:eastAsia="MS Mincho" w:hAnsi="Bookman Old Style" w:cs="Arial"/>
          <w:i/>
          <w:iCs/>
          <w:lang w:val="es-CO"/>
        </w:rPr>
        <w:t>“la barra de entrega de energía del Generador”</w:t>
      </w:r>
      <w:r w:rsidR="007063FE">
        <w:rPr>
          <w:rFonts w:ascii="Bookman Old Style" w:eastAsia="MS Mincho" w:hAnsi="Bookman Old Style" w:cs="Arial"/>
          <w:lang w:val="es-CO"/>
        </w:rPr>
        <w:t>.</w:t>
      </w:r>
    </w:p>
    <w:p w14:paraId="372298CA" w14:textId="77777777" w:rsidR="007063FE" w:rsidRDefault="007063FE" w:rsidP="0060544A">
      <w:pPr>
        <w:ind w:left="284"/>
        <w:contextualSpacing/>
        <w:jc w:val="both"/>
        <w:rPr>
          <w:rFonts w:ascii="Bookman Old Style" w:eastAsia="MS Mincho" w:hAnsi="Bookman Old Style" w:cs="Arial"/>
          <w:lang w:val="es-CO"/>
        </w:rPr>
      </w:pPr>
    </w:p>
    <w:p w14:paraId="3D684D03" w14:textId="4EEF26B1" w:rsidR="00E951E0" w:rsidRDefault="00690D51"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Ahora</w:t>
      </w:r>
      <w:r w:rsidR="007036B6">
        <w:rPr>
          <w:rFonts w:ascii="Bookman Old Style" w:eastAsia="MS Mincho" w:hAnsi="Bookman Old Style" w:cs="Arial"/>
          <w:lang w:val="es-CO"/>
        </w:rPr>
        <w:t>,</w:t>
      </w:r>
      <w:r>
        <w:rPr>
          <w:rFonts w:ascii="Bookman Old Style" w:eastAsia="MS Mincho" w:hAnsi="Bookman Old Style" w:cs="Arial"/>
          <w:lang w:val="es-CO"/>
        </w:rPr>
        <w:t xml:space="preserve"> sobre la configuración del sistema eléctrico de Mitú, </w:t>
      </w:r>
      <w:r w:rsidR="000E3FA6">
        <w:rPr>
          <w:rFonts w:ascii="Bookman Old Style" w:eastAsia="MS Mincho" w:hAnsi="Bookman Old Style" w:cs="Arial"/>
          <w:lang w:val="es-CO"/>
        </w:rPr>
        <w:t>e</w:t>
      </w:r>
      <w:r w:rsidR="004D2503">
        <w:rPr>
          <w:rFonts w:ascii="Bookman Old Style" w:eastAsia="MS Mincho" w:hAnsi="Bookman Old Style" w:cs="Arial"/>
          <w:lang w:val="es-CO"/>
        </w:rPr>
        <w:t xml:space="preserve">n </w:t>
      </w:r>
      <w:r w:rsidR="00E951E0">
        <w:rPr>
          <w:rFonts w:ascii="Bookman Old Style" w:eastAsia="MS Mincho" w:hAnsi="Bookman Old Style" w:cs="Arial"/>
          <w:lang w:val="es-CO"/>
        </w:rPr>
        <w:t xml:space="preserve">el informe del MME, </w:t>
      </w:r>
      <w:r w:rsidR="008D3BF4">
        <w:rPr>
          <w:rFonts w:ascii="Bookman Old Style" w:eastAsia="MS Mincho" w:hAnsi="Bookman Old Style" w:cs="Arial"/>
          <w:lang w:val="es-CO"/>
        </w:rPr>
        <w:t>comunicación con radicado CREG E-2021-</w:t>
      </w:r>
      <w:r>
        <w:rPr>
          <w:rFonts w:ascii="Bookman Old Style" w:eastAsia="MS Mincho" w:hAnsi="Bookman Old Style" w:cs="Arial"/>
          <w:lang w:val="es-CO"/>
        </w:rPr>
        <w:t>003201</w:t>
      </w:r>
      <w:r w:rsidR="00E951E0">
        <w:rPr>
          <w:rFonts w:ascii="Bookman Old Style" w:eastAsia="MS Mincho" w:hAnsi="Bookman Old Style" w:cs="Arial"/>
          <w:lang w:val="es-CO"/>
        </w:rPr>
        <w:t xml:space="preserve">, </w:t>
      </w:r>
      <w:r w:rsidR="007036B6">
        <w:rPr>
          <w:rFonts w:ascii="Bookman Old Style" w:eastAsia="MS Mincho" w:hAnsi="Bookman Old Style" w:cs="Arial"/>
          <w:lang w:val="es-CO"/>
        </w:rPr>
        <w:t xml:space="preserve">se </w:t>
      </w:r>
      <w:r w:rsidR="00E951E0">
        <w:rPr>
          <w:rFonts w:ascii="Bookman Old Style" w:eastAsia="MS Mincho" w:hAnsi="Bookman Old Style" w:cs="Arial"/>
          <w:lang w:val="es-CO"/>
        </w:rPr>
        <w:t>informa</w:t>
      </w:r>
      <w:r w:rsidR="007036B6">
        <w:rPr>
          <w:rFonts w:ascii="Bookman Old Style" w:eastAsia="MS Mincho" w:hAnsi="Bookman Old Style" w:cs="Arial"/>
          <w:lang w:val="es-CO"/>
        </w:rPr>
        <w:t>:</w:t>
      </w:r>
    </w:p>
    <w:p w14:paraId="13AFD5BD" w14:textId="77777777" w:rsidR="00E951E0" w:rsidRDefault="00E951E0" w:rsidP="0060544A">
      <w:pPr>
        <w:ind w:left="284"/>
        <w:contextualSpacing/>
        <w:jc w:val="both"/>
        <w:rPr>
          <w:rFonts w:ascii="Bookman Old Style" w:eastAsia="MS Mincho" w:hAnsi="Bookman Old Style" w:cs="Arial"/>
          <w:lang w:val="es-CO"/>
        </w:rPr>
      </w:pPr>
    </w:p>
    <w:p w14:paraId="6C99BB7C" w14:textId="71B01A8B" w:rsidR="00005948" w:rsidRDefault="00AF16D6" w:rsidP="00B9277B">
      <w:pPr>
        <w:ind w:left="567"/>
        <w:contextualSpacing/>
        <w:jc w:val="both"/>
        <w:rPr>
          <w:rFonts w:ascii="Bookman Old Style" w:hAnsi="Bookman Old Style" w:cs="Arial"/>
          <w:i/>
          <w:iCs/>
          <w:sz w:val="20"/>
          <w:szCs w:val="20"/>
        </w:rPr>
      </w:pPr>
      <w:r>
        <w:rPr>
          <w:rFonts w:ascii="Bookman Old Style" w:hAnsi="Bookman Old Style" w:cs="Arial"/>
          <w:i/>
          <w:iCs/>
          <w:sz w:val="20"/>
          <w:szCs w:val="20"/>
        </w:rPr>
        <w:t xml:space="preserve">“(…) </w:t>
      </w:r>
      <w:r w:rsidR="009E5D7C" w:rsidRPr="0019114F">
        <w:rPr>
          <w:rFonts w:ascii="Bookman Old Style" w:hAnsi="Bookman Old Style" w:cs="Arial"/>
          <w:b/>
          <w:bCs/>
          <w:i/>
          <w:iCs/>
          <w:sz w:val="20"/>
          <w:szCs w:val="20"/>
          <w:u w:val="single"/>
        </w:rPr>
        <w:t>La planta de generación Diésel, está</w:t>
      </w:r>
      <w:r w:rsidR="009E5D7C" w:rsidRPr="009E5D7C">
        <w:rPr>
          <w:rFonts w:ascii="Bookman Old Style" w:hAnsi="Bookman Old Style" w:cs="Arial"/>
          <w:i/>
          <w:iCs/>
          <w:sz w:val="20"/>
          <w:szCs w:val="20"/>
        </w:rPr>
        <w:t xml:space="preserve"> conformado por 5 generadores </w:t>
      </w:r>
      <w:r w:rsidR="009E5D7C" w:rsidRPr="0019114F">
        <w:rPr>
          <w:rFonts w:ascii="Bookman Old Style" w:hAnsi="Bookman Old Style" w:cs="Arial"/>
          <w:b/>
          <w:bCs/>
          <w:i/>
          <w:iCs/>
          <w:sz w:val="20"/>
          <w:szCs w:val="20"/>
          <w:u w:val="single"/>
        </w:rPr>
        <w:t>alimentando un tablero de 480 VAC</w:t>
      </w:r>
      <w:r w:rsidR="009E5D7C" w:rsidRPr="005A2616">
        <w:rPr>
          <w:rFonts w:ascii="Bookman Old Style" w:hAnsi="Bookman Old Style" w:cs="Arial"/>
          <w:b/>
          <w:bCs/>
          <w:i/>
          <w:iCs/>
          <w:sz w:val="20"/>
          <w:szCs w:val="20"/>
          <w:u w:val="single"/>
        </w:rPr>
        <w:t>. Este a su vez</w:t>
      </w:r>
      <w:r w:rsidR="009E5D7C" w:rsidRPr="009E5D7C">
        <w:rPr>
          <w:rFonts w:ascii="Bookman Old Style" w:hAnsi="Bookman Old Style" w:cs="Arial"/>
          <w:i/>
          <w:iCs/>
          <w:sz w:val="20"/>
          <w:szCs w:val="20"/>
        </w:rPr>
        <w:t xml:space="preserve"> alimenta 2 transformadores de 1.6 y 2.5 MVA respectivamente que se </w:t>
      </w:r>
      <w:r w:rsidR="009E5D7C" w:rsidRPr="005A2616">
        <w:rPr>
          <w:rFonts w:ascii="Bookman Old Style" w:hAnsi="Bookman Old Style" w:cs="Arial"/>
          <w:b/>
          <w:bCs/>
          <w:i/>
          <w:iCs/>
          <w:sz w:val="20"/>
          <w:szCs w:val="20"/>
          <w:u w:val="single"/>
        </w:rPr>
        <w:t>conectan a un pórtico</w:t>
      </w:r>
      <w:r w:rsidR="009E5D7C" w:rsidRPr="00453316">
        <w:rPr>
          <w:rFonts w:ascii="Bookman Old Style" w:hAnsi="Bookman Old Style" w:cs="Arial"/>
          <w:b/>
          <w:bCs/>
          <w:i/>
          <w:iCs/>
          <w:sz w:val="20"/>
          <w:szCs w:val="20"/>
          <w:u w:val="single"/>
        </w:rPr>
        <w:t xml:space="preserve"> con un barraje de 13.8 kv </w:t>
      </w:r>
      <w:r w:rsidR="009E5D7C" w:rsidRPr="009E5D7C">
        <w:rPr>
          <w:rFonts w:ascii="Bookman Old Style" w:hAnsi="Bookman Old Style" w:cs="Arial"/>
          <w:i/>
          <w:iCs/>
          <w:sz w:val="20"/>
          <w:szCs w:val="20"/>
        </w:rPr>
        <w:t>y donde salen dos circuitos uno llamado alimentación CENTRO y el otro alimentación INAYA.</w:t>
      </w:r>
    </w:p>
    <w:p w14:paraId="6C59B50D" w14:textId="77777777" w:rsidR="00005948" w:rsidRDefault="00005948" w:rsidP="00B9277B">
      <w:pPr>
        <w:ind w:left="567"/>
        <w:contextualSpacing/>
        <w:jc w:val="both"/>
        <w:rPr>
          <w:rFonts w:ascii="Bookman Old Style" w:hAnsi="Bookman Old Style" w:cs="Arial"/>
          <w:i/>
          <w:iCs/>
          <w:sz w:val="20"/>
          <w:szCs w:val="20"/>
        </w:rPr>
      </w:pPr>
    </w:p>
    <w:p w14:paraId="64228BC4" w14:textId="56C8F8BA" w:rsidR="00AF16D6" w:rsidRPr="00076445" w:rsidRDefault="00AF16D6" w:rsidP="00B9277B">
      <w:pPr>
        <w:ind w:left="567"/>
        <w:contextualSpacing/>
        <w:jc w:val="both"/>
        <w:rPr>
          <w:rFonts w:ascii="Bookman Old Style" w:hAnsi="Bookman Old Style"/>
          <w:sz w:val="20"/>
        </w:rPr>
      </w:pPr>
      <w:r w:rsidRPr="00FE2887">
        <w:rPr>
          <w:rFonts w:ascii="Bookman Old Style" w:hAnsi="Bookman Old Style" w:cs="Arial"/>
          <w:i/>
          <w:iCs/>
          <w:sz w:val="20"/>
          <w:szCs w:val="20"/>
        </w:rPr>
        <w:t xml:space="preserve">La subestación de </w:t>
      </w:r>
      <w:r w:rsidRPr="00264DD3">
        <w:rPr>
          <w:rFonts w:ascii="Bookman Old Style" w:hAnsi="Bookman Old Style" w:cs="Arial"/>
          <w:b/>
          <w:bCs/>
          <w:i/>
          <w:iCs/>
          <w:sz w:val="20"/>
          <w:szCs w:val="20"/>
          <w:u w:val="single"/>
        </w:rPr>
        <w:t xml:space="preserve">la pequeña central hidroeléctrica está </w:t>
      </w:r>
      <w:r w:rsidRPr="00FE2887">
        <w:rPr>
          <w:rFonts w:ascii="Bookman Old Style" w:hAnsi="Bookman Old Style" w:cs="Arial"/>
          <w:i/>
          <w:iCs/>
          <w:sz w:val="20"/>
          <w:szCs w:val="20"/>
        </w:rPr>
        <w:t xml:space="preserve">conformada por 4 generadores de 500 Kw a 440 VAC, que alimentan 4 transformadores de 750 KVA con relación 440VAC / 36.000 VAC, </w:t>
      </w:r>
      <w:r w:rsidRPr="000B334D">
        <w:rPr>
          <w:rFonts w:ascii="Bookman Old Style" w:hAnsi="Bookman Old Style" w:cs="Arial"/>
          <w:b/>
          <w:bCs/>
          <w:i/>
          <w:iCs/>
          <w:sz w:val="20"/>
          <w:szCs w:val="20"/>
          <w:u w:val="single"/>
        </w:rPr>
        <w:t>alimentando un tablero de 34.5 Kv, y este tablero alimenta el circuito de 34.5 Kv</w:t>
      </w:r>
      <w:r w:rsidRPr="00FE2887">
        <w:rPr>
          <w:rFonts w:ascii="Bookman Old Style" w:hAnsi="Bookman Old Style" w:cs="Arial"/>
          <w:i/>
          <w:iCs/>
          <w:sz w:val="20"/>
          <w:szCs w:val="20"/>
        </w:rPr>
        <w:t xml:space="preserve">, este circuito es de aproximadamente 36 Km y conformado por 130 torres </w:t>
      </w:r>
      <w:r w:rsidRPr="00485B18">
        <w:rPr>
          <w:rFonts w:ascii="Bookman Old Style" w:hAnsi="Bookman Old Style" w:cs="Arial"/>
          <w:b/>
          <w:bCs/>
          <w:i/>
          <w:iCs/>
          <w:sz w:val="20"/>
          <w:szCs w:val="20"/>
          <w:u w:val="single"/>
        </w:rPr>
        <w:t>llegando a un pórtico de 34.5 kv</w:t>
      </w:r>
      <w:r w:rsidRPr="00FE2887">
        <w:rPr>
          <w:rFonts w:ascii="Bookman Old Style" w:hAnsi="Bookman Old Style" w:cs="Arial"/>
          <w:i/>
          <w:iCs/>
          <w:sz w:val="20"/>
          <w:szCs w:val="20"/>
        </w:rPr>
        <w:t xml:space="preserve"> en la planta de generación diésel. </w:t>
      </w:r>
      <w:r w:rsidRPr="00485B18">
        <w:rPr>
          <w:rFonts w:ascii="Bookman Old Style" w:hAnsi="Bookman Old Style" w:cs="Arial"/>
          <w:b/>
          <w:bCs/>
          <w:i/>
          <w:iCs/>
          <w:sz w:val="20"/>
          <w:szCs w:val="20"/>
          <w:u w:val="single"/>
        </w:rPr>
        <w:t>Este pórtico de 34.5 Kv se conecta</w:t>
      </w:r>
      <w:r w:rsidRPr="00FE2887">
        <w:rPr>
          <w:rFonts w:ascii="Bookman Old Style" w:hAnsi="Bookman Old Style" w:cs="Arial"/>
          <w:i/>
          <w:iCs/>
          <w:sz w:val="20"/>
          <w:szCs w:val="20"/>
        </w:rPr>
        <w:t xml:space="preserve"> por medio de 2 transformadores de 1.5 MVA con relación de transformación de 34.5 Kv / 13.8 Kv, </w:t>
      </w:r>
      <w:r w:rsidRPr="000B334D">
        <w:rPr>
          <w:rFonts w:ascii="Bookman Old Style" w:hAnsi="Bookman Old Style" w:cs="Arial"/>
          <w:b/>
          <w:bCs/>
          <w:i/>
          <w:iCs/>
          <w:sz w:val="20"/>
          <w:szCs w:val="20"/>
          <w:u w:val="single"/>
        </w:rPr>
        <w:t>al barraje de 13.8 kv situado en la planta generadora diésel</w:t>
      </w:r>
      <w:r w:rsidRPr="00FE2887">
        <w:rPr>
          <w:rFonts w:ascii="Bookman Old Style" w:hAnsi="Bookman Old Style" w:cs="Arial"/>
          <w:i/>
          <w:iCs/>
          <w:sz w:val="20"/>
          <w:szCs w:val="20"/>
        </w:rPr>
        <w:t>.</w:t>
      </w:r>
      <w:r>
        <w:rPr>
          <w:rFonts w:ascii="Bookman Old Style" w:hAnsi="Bookman Old Style" w:cs="Arial"/>
          <w:i/>
          <w:iCs/>
          <w:sz w:val="20"/>
          <w:szCs w:val="20"/>
        </w:rPr>
        <w:t xml:space="preserve"> (…) </w:t>
      </w:r>
      <w:r w:rsidRPr="00076445">
        <w:rPr>
          <w:rFonts w:ascii="Bookman Old Style" w:hAnsi="Bookman Old Style"/>
          <w:sz w:val="20"/>
        </w:rPr>
        <w:t>Resaltado y subrayado fuera de texto.</w:t>
      </w:r>
    </w:p>
    <w:p w14:paraId="55360723" w14:textId="77777777" w:rsidR="002E0B49" w:rsidRDefault="002E0B49" w:rsidP="0060544A">
      <w:pPr>
        <w:ind w:left="284"/>
        <w:contextualSpacing/>
        <w:jc w:val="both"/>
        <w:rPr>
          <w:rFonts w:ascii="Bookman Old Style" w:eastAsia="MS Mincho" w:hAnsi="Bookman Old Style" w:cs="Arial"/>
          <w:lang w:val="es-CO"/>
        </w:rPr>
      </w:pPr>
    </w:p>
    <w:p w14:paraId="1C1B21D5" w14:textId="5A373C27" w:rsidR="00FA7AB1" w:rsidRDefault="00901E89"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Al respecto, </w:t>
      </w:r>
      <w:r w:rsidR="004A297C">
        <w:rPr>
          <w:rFonts w:ascii="Bookman Old Style" w:eastAsia="MS Mincho" w:hAnsi="Bookman Old Style" w:cs="Arial"/>
          <w:lang w:val="es-CO"/>
        </w:rPr>
        <w:t>al revisar el diagrama unifilar aportado por GENSA</w:t>
      </w:r>
      <w:r w:rsidR="0081791B">
        <w:rPr>
          <w:rFonts w:ascii="Bookman Old Style" w:eastAsia="MS Mincho" w:hAnsi="Bookman Old Style" w:cs="Arial"/>
          <w:lang w:val="es-CO"/>
        </w:rPr>
        <w:t>,</w:t>
      </w:r>
      <w:r w:rsidR="004A297C">
        <w:rPr>
          <w:rFonts w:ascii="Bookman Old Style" w:eastAsia="MS Mincho" w:hAnsi="Bookman Old Style" w:cs="Arial"/>
          <w:lang w:val="es-CO"/>
        </w:rPr>
        <w:t xml:space="preserve"> mediante comunicación con radicado CREG E-202</w:t>
      </w:r>
      <w:r w:rsidR="00030095">
        <w:rPr>
          <w:rFonts w:ascii="Bookman Old Style" w:eastAsia="MS Mincho" w:hAnsi="Bookman Old Style" w:cs="Arial"/>
          <w:lang w:val="es-CO"/>
        </w:rPr>
        <w:t>0-001520</w:t>
      </w:r>
      <w:r w:rsidR="00E7324F">
        <w:rPr>
          <w:rFonts w:ascii="Bookman Old Style" w:eastAsia="MS Mincho" w:hAnsi="Bookman Old Style" w:cs="Arial"/>
          <w:lang w:val="es-CO"/>
        </w:rPr>
        <w:t xml:space="preserve">, </w:t>
      </w:r>
      <w:r w:rsidR="00686E04">
        <w:rPr>
          <w:rFonts w:ascii="Bookman Old Style" w:eastAsia="MS Mincho" w:hAnsi="Bookman Old Style" w:cs="Arial"/>
          <w:lang w:val="es-CO"/>
        </w:rPr>
        <w:t xml:space="preserve">la CREG </w:t>
      </w:r>
      <w:r w:rsidR="00E7324F">
        <w:rPr>
          <w:rFonts w:ascii="Bookman Old Style" w:eastAsia="MS Mincho" w:hAnsi="Bookman Old Style" w:cs="Arial"/>
          <w:lang w:val="es-CO"/>
        </w:rPr>
        <w:t xml:space="preserve">puede </w:t>
      </w:r>
      <w:r w:rsidR="00843D6B">
        <w:rPr>
          <w:rFonts w:ascii="Bookman Old Style" w:eastAsia="MS Mincho" w:hAnsi="Bookman Old Style" w:cs="Arial"/>
          <w:lang w:val="es-CO"/>
        </w:rPr>
        <w:t xml:space="preserve">determinar </w:t>
      </w:r>
      <w:r w:rsidR="00E7324F">
        <w:rPr>
          <w:rFonts w:ascii="Bookman Old Style" w:eastAsia="MS Mincho" w:hAnsi="Bookman Old Style" w:cs="Arial"/>
          <w:lang w:val="es-CO"/>
        </w:rPr>
        <w:t>que</w:t>
      </w:r>
      <w:r w:rsidR="00A8001B">
        <w:rPr>
          <w:rFonts w:ascii="Bookman Old Style" w:eastAsia="MS Mincho" w:hAnsi="Bookman Old Style" w:cs="Arial"/>
          <w:lang w:val="es-CO"/>
        </w:rPr>
        <w:t>,</w:t>
      </w:r>
      <w:r w:rsidR="00E7324F">
        <w:rPr>
          <w:rFonts w:ascii="Bookman Old Style" w:eastAsia="MS Mincho" w:hAnsi="Bookman Old Style" w:cs="Arial"/>
          <w:lang w:val="es-CO"/>
        </w:rPr>
        <w:t xml:space="preserve"> </w:t>
      </w:r>
      <w:r w:rsidR="00843D6B">
        <w:rPr>
          <w:rFonts w:ascii="Bookman Old Style" w:eastAsia="MS Mincho" w:hAnsi="Bookman Old Style" w:cs="Arial"/>
          <w:lang w:val="es-CO"/>
        </w:rPr>
        <w:t xml:space="preserve">tanto </w:t>
      </w:r>
      <w:r w:rsidR="00E7324F">
        <w:rPr>
          <w:rFonts w:ascii="Bookman Old Style" w:eastAsia="MS Mincho" w:hAnsi="Bookman Old Style" w:cs="Arial"/>
          <w:lang w:val="es-CO"/>
        </w:rPr>
        <w:t xml:space="preserve">el </w:t>
      </w:r>
      <w:r w:rsidR="00E7324F" w:rsidRPr="00E7324F">
        <w:rPr>
          <w:rFonts w:ascii="Bookman Old Style" w:eastAsia="MS Mincho" w:hAnsi="Bookman Old Style" w:cs="Arial"/>
          <w:i/>
          <w:iCs/>
          <w:lang w:val="es-CO"/>
        </w:rPr>
        <w:t>“pórtico con un barraje de 13.8 kv”</w:t>
      </w:r>
      <w:r w:rsidR="00E7324F">
        <w:rPr>
          <w:rFonts w:ascii="Bookman Old Style" w:eastAsia="MS Mincho" w:hAnsi="Bookman Old Style" w:cs="Arial"/>
          <w:lang w:val="es-CO"/>
        </w:rPr>
        <w:t xml:space="preserve"> </w:t>
      </w:r>
      <w:r w:rsidR="00843D6B">
        <w:rPr>
          <w:rFonts w:ascii="Bookman Old Style" w:eastAsia="MS Mincho" w:hAnsi="Bookman Old Style" w:cs="Arial"/>
          <w:lang w:val="es-CO"/>
        </w:rPr>
        <w:t>como</w:t>
      </w:r>
      <w:r w:rsidR="000D1FCD">
        <w:rPr>
          <w:rFonts w:ascii="Bookman Old Style" w:eastAsia="MS Mincho" w:hAnsi="Bookman Old Style" w:cs="Arial"/>
          <w:lang w:val="es-CO"/>
        </w:rPr>
        <w:t xml:space="preserve"> </w:t>
      </w:r>
      <w:r w:rsidR="00E7324F">
        <w:rPr>
          <w:rFonts w:ascii="Bookman Old Style" w:eastAsia="MS Mincho" w:hAnsi="Bookman Old Style" w:cs="Arial"/>
          <w:lang w:val="es-CO"/>
        </w:rPr>
        <w:t xml:space="preserve">el </w:t>
      </w:r>
      <w:r w:rsidR="00E7324F" w:rsidRPr="001712D4">
        <w:rPr>
          <w:rFonts w:ascii="Bookman Old Style" w:eastAsia="MS Mincho" w:hAnsi="Bookman Old Style" w:cs="Arial"/>
          <w:i/>
          <w:iCs/>
          <w:lang w:val="es-CO"/>
        </w:rPr>
        <w:t>“</w:t>
      </w:r>
      <w:r w:rsidR="001712D4" w:rsidRPr="001712D4">
        <w:rPr>
          <w:rFonts w:ascii="Bookman Old Style" w:eastAsia="MS Mincho" w:hAnsi="Bookman Old Style" w:cs="Arial"/>
          <w:i/>
          <w:iCs/>
          <w:lang w:val="es-CO"/>
        </w:rPr>
        <w:t>pórtico de 34.5 kv”</w:t>
      </w:r>
      <w:r w:rsidR="000D1FCD">
        <w:rPr>
          <w:rFonts w:ascii="Bookman Old Style" w:eastAsia="MS Mincho" w:hAnsi="Bookman Old Style" w:cs="Arial"/>
          <w:lang w:val="es-CO"/>
        </w:rPr>
        <w:t xml:space="preserve">, </w:t>
      </w:r>
      <w:r w:rsidR="005E62CC">
        <w:rPr>
          <w:rFonts w:ascii="Bookman Old Style" w:eastAsia="MS Mincho" w:hAnsi="Bookman Old Style" w:cs="Arial"/>
          <w:lang w:val="es-CO"/>
        </w:rPr>
        <w:t>sobre los que el MME indica que</w:t>
      </w:r>
      <w:r w:rsidR="00A8001B">
        <w:rPr>
          <w:rFonts w:ascii="Bookman Old Style" w:eastAsia="MS Mincho" w:hAnsi="Bookman Old Style" w:cs="Arial"/>
          <w:lang w:val="es-CO"/>
        </w:rPr>
        <w:t>,</w:t>
      </w:r>
      <w:r w:rsidR="005E62CC">
        <w:rPr>
          <w:rFonts w:ascii="Bookman Old Style" w:eastAsia="MS Mincho" w:hAnsi="Bookman Old Style" w:cs="Arial"/>
          <w:lang w:val="es-CO"/>
        </w:rPr>
        <w:t xml:space="preserve"> </w:t>
      </w:r>
      <w:r w:rsidR="002D2555">
        <w:rPr>
          <w:rFonts w:ascii="Bookman Old Style" w:eastAsia="MS Mincho" w:hAnsi="Bookman Old Style" w:cs="Arial"/>
          <w:lang w:val="es-CO"/>
        </w:rPr>
        <w:t xml:space="preserve">uno </w:t>
      </w:r>
      <w:r w:rsidR="000D1FCD">
        <w:rPr>
          <w:rFonts w:ascii="Bookman Old Style" w:eastAsia="MS Mincho" w:hAnsi="Bookman Old Style" w:cs="Arial"/>
          <w:lang w:val="es-CO"/>
        </w:rPr>
        <w:t>está l</w:t>
      </w:r>
      <w:r w:rsidR="00C33CA3">
        <w:rPr>
          <w:rFonts w:ascii="Bookman Old Style" w:eastAsia="MS Mincho" w:hAnsi="Bookman Old Style" w:cs="Arial"/>
          <w:lang w:val="es-CO"/>
        </w:rPr>
        <w:t xml:space="preserve">legando a </w:t>
      </w:r>
      <w:r w:rsidR="00C33CA3" w:rsidRPr="005E62CC">
        <w:rPr>
          <w:rFonts w:ascii="Bookman Old Style" w:eastAsia="MS Mincho" w:hAnsi="Bookman Old Style" w:cs="Arial"/>
          <w:i/>
          <w:iCs/>
          <w:lang w:val="es-CO"/>
        </w:rPr>
        <w:t>“</w:t>
      </w:r>
      <w:r w:rsidR="001712D4" w:rsidRPr="005E62CC">
        <w:rPr>
          <w:rFonts w:ascii="Bookman Old Style" w:eastAsia="MS Mincho" w:hAnsi="Bookman Old Style" w:cs="Arial"/>
          <w:i/>
          <w:iCs/>
          <w:lang w:val="es-CO"/>
        </w:rPr>
        <w:t>la planta de generación diésel</w:t>
      </w:r>
      <w:r w:rsidR="00C33CA3" w:rsidRPr="005E62CC">
        <w:rPr>
          <w:rFonts w:ascii="Bookman Old Style" w:eastAsia="MS Mincho" w:hAnsi="Bookman Old Style" w:cs="Arial"/>
          <w:i/>
          <w:iCs/>
          <w:lang w:val="es-CO"/>
        </w:rPr>
        <w:t>”</w:t>
      </w:r>
      <w:r w:rsidR="00A8001B">
        <w:rPr>
          <w:rFonts w:ascii="Bookman Old Style" w:eastAsia="MS Mincho" w:hAnsi="Bookman Old Style" w:cs="Arial"/>
          <w:i/>
          <w:iCs/>
          <w:lang w:val="es-CO"/>
        </w:rPr>
        <w:t>,</w:t>
      </w:r>
      <w:r w:rsidR="00C33CA3">
        <w:rPr>
          <w:rFonts w:ascii="Bookman Old Style" w:eastAsia="MS Mincho" w:hAnsi="Bookman Old Style" w:cs="Arial"/>
          <w:lang w:val="es-CO"/>
        </w:rPr>
        <w:t xml:space="preserve"> y que </w:t>
      </w:r>
      <w:r w:rsidR="002D2555">
        <w:rPr>
          <w:rFonts w:ascii="Bookman Old Style" w:eastAsia="MS Mincho" w:hAnsi="Bookman Old Style" w:cs="Arial"/>
          <w:lang w:val="es-CO"/>
        </w:rPr>
        <w:t xml:space="preserve">el otro </w:t>
      </w:r>
      <w:r w:rsidR="001712D4">
        <w:rPr>
          <w:rFonts w:ascii="Bookman Old Style" w:eastAsia="MS Mincho" w:hAnsi="Bookman Old Style" w:cs="Arial"/>
          <w:lang w:val="es-CO"/>
        </w:rPr>
        <w:t xml:space="preserve">se encuentra </w:t>
      </w:r>
      <w:r w:rsidR="001712D4" w:rsidRPr="001712D4">
        <w:rPr>
          <w:rFonts w:ascii="Bookman Old Style" w:eastAsia="MS Mincho" w:hAnsi="Bookman Old Style" w:cs="Arial"/>
          <w:i/>
          <w:iCs/>
          <w:lang w:val="es-CO"/>
        </w:rPr>
        <w:t>“situado en la planta generadora diésel”</w:t>
      </w:r>
      <w:r w:rsidR="00C33CA3">
        <w:rPr>
          <w:rFonts w:ascii="Bookman Old Style" w:eastAsia="MS Mincho" w:hAnsi="Bookman Old Style" w:cs="Arial"/>
          <w:lang w:val="es-CO"/>
        </w:rPr>
        <w:t xml:space="preserve">, respectivamente, </w:t>
      </w:r>
      <w:r w:rsidR="00F95AA0">
        <w:rPr>
          <w:rFonts w:ascii="Bookman Old Style" w:eastAsia="MS Mincho" w:hAnsi="Bookman Old Style" w:cs="Arial"/>
          <w:lang w:val="es-CO"/>
        </w:rPr>
        <w:t>hacen parte de</w:t>
      </w:r>
      <w:r w:rsidR="00AF33FF">
        <w:rPr>
          <w:rFonts w:ascii="Bookman Old Style" w:eastAsia="MS Mincho" w:hAnsi="Bookman Old Style" w:cs="Arial"/>
          <w:lang w:val="es-CO"/>
        </w:rPr>
        <w:t xml:space="preserve">l activo denominado </w:t>
      </w:r>
      <w:r w:rsidR="003B789E">
        <w:rPr>
          <w:rFonts w:ascii="Bookman Old Style" w:eastAsia="MS Mincho" w:hAnsi="Bookman Old Style" w:cs="Arial"/>
          <w:lang w:val="es-CO"/>
        </w:rPr>
        <w:t xml:space="preserve">como </w:t>
      </w:r>
      <w:r w:rsidR="003B789E" w:rsidRPr="003B789E">
        <w:rPr>
          <w:rFonts w:ascii="Bookman Old Style" w:eastAsia="MS Mincho" w:hAnsi="Bookman Old Style" w:cs="Arial"/>
          <w:i/>
          <w:iCs/>
          <w:lang w:val="es-CO"/>
        </w:rPr>
        <w:t>“</w:t>
      </w:r>
      <w:r w:rsidR="00AF33FF" w:rsidRPr="003B789E">
        <w:rPr>
          <w:rFonts w:ascii="Bookman Old Style" w:eastAsia="MS Mincho" w:hAnsi="Bookman Old Style" w:cs="Arial"/>
          <w:i/>
          <w:iCs/>
          <w:lang w:val="es-CO"/>
        </w:rPr>
        <w:t>S</w:t>
      </w:r>
      <w:r w:rsidR="00F95AA0" w:rsidRPr="003B789E">
        <w:rPr>
          <w:rFonts w:ascii="Bookman Old Style" w:eastAsia="MS Mincho" w:hAnsi="Bookman Old Style" w:cs="Arial"/>
          <w:i/>
          <w:iCs/>
          <w:lang w:val="es-CO"/>
        </w:rPr>
        <w:t>ubestación Mitú</w:t>
      </w:r>
      <w:r w:rsidR="003B789E" w:rsidRPr="003B789E">
        <w:rPr>
          <w:rFonts w:ascii="Bookman Old Style" w:eastAsia="MS Mincho" w:hAnsi="Bookman Old Style" w:cs="Arial"/>
          <w:i/>
          <w:iCs/>
          <w:lang w:val="es-CO"/>
        </w:rPr>
        <w:t>”</w:t>
      </w:r>
      <w:r w:rsidR="00A725E6">
        <w:rPr>
          <w:rFonts w:ascii="Bookman Old Style" w:eastAsia="MS Mincho" w:hAnsi="Bookman Old Style" w:cs="Arial"/>
          <w:lang w:val="es-CO"/>
        </w:rPr>
        <w:t xml:space="preserve"> en el contrato </w:t>
      </w:r>
      <w:r w:rsidR="0020064C">
        <w:rPr>
          <w:rFonts w:ascii="Bookman Old Style" w:eastAsia="MS Mincho" w:hAnsi="Bookman Old Style" w:cs="Arial"/>
          <w:lang w:val="es-CO"/>
        </w:rPr>
        <w:t xml:space="preserve">especial </w:t>
      </w:r>
      <w:r w:rsidR="0092020A">
        <w:rPr>
          <w:rFonts w:ascii="Bookman Old Style" w:eastAsia="MS Mincho" w:hAnsi="Bookman Old Style" w:cs="Arial"/>
          <w:lang w:val="es-CO"/>
        </w:rPr>
        <w:t>GGC 209</w:t>
      </w:r>
      <w:r w:rsidR="00AD079B">
        <w:rPr>
          <w:rFonts w:ascii="Bookman Old Style" w:eastAsia="MS Mincho" w:hAnsi="Bookman Old Style" w:cs="Arial"/>
          <w:lang w:val="es-CO"/>
        </w:rPr>
        <w:t>-2013</w:t>
      </w:r>
      <w:r w:rsidR="003E49F6">
        <w:rPr>
          <w:rFonts w:ascii="Bookman Old Style" w:eastAsia="MS Mincho" w:hAnsi="Bookman Old Style" w:cs="Arial"/>
          <w:lang w:val="es-CO"/>
        </w:rPr>
        <w:t>.</w:t>
      </w:r>
    </w:p>
    <w:p w14:paraId="1D647BAA" w14:textId="77777777" w:rsidR="00634D3C" w:rsidRDefault="00634D3C" w:rsidP="0060544A">
      <w:pPr>
        <w:ind w:left="284"/>
        <w:contextualSpacing/>
        <w:jc w:val="both"/>
        <w:rPr>
          <w:rFonts w:ascii="Bookman Old Style" w:eastAsia="MS Mincho" w:hAnsi="Bookman Old Style" w:cs="Arial"/>
          <w:lang w:val="es-CO"/>
        </w:rPr>
      </w:pPr>
    </w:p>
    <w:p w14:paraId="2AC016AF" w14:textId="422AC2C7" w:rsidR="00634D3C" w:rsidRDefault="0067590D" w:rsidP="0060544A">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De lo descrito anteriormente</w:t>
      </w:r>
      <w:r w:rsidR="00D555AB">
        <w:rPr>
          <w:rFonts w:ascii="Bookman Old Style" w:eastAsia="MS Mincho" w:hAnsi="Bookman Old Style" w:cs="Arial"/>
          <w:lang w:val="es-CO"/>
        </w:rPr>
        <w:t>,</w:t>
      </w:r>
      <w:r>
        <w:rPr>
          <w:rFonts w:ascii="Bookman Old Style" w:eastAsia="MS Mincho" w:hAnsi="Bookman Old Style" w:cs="Arial"/>
          <w:lang w:val="es-CO"/>
        </w:rPr>
        <w:t xml:space="preserve"> </w:t>
      </w:r>
      <w:r w:rsidR="00D555AB">
        <w:rPr>
          <w:rFonts w:ascii="Bookman Old Style" w:eastAsia="MS Mincho" w:hAnsi="Bookman Old Style" w:cs="Arial"/>
          <w:lang w:val="es-CO"/>
        </w:rPr>
        <w:t xml:space="preserve">se identifican </w:t>
      </w:r>
      <w:r w:rsidR="00CD600C">
        <w:rPr>
          <w:rFonts w:ascii="Bookman Old Style" w:eastAsia="MS Mincho" w:hAnsi="Bookman Old Style" w:cs="Arial"/>
          <w:lang w:val="es-CO"/>
        </w:rPr>
        <w:t xml:space="preserve">dos posibles escenarios sobre </w:t>
      </w:r>
      <w:r w:rsidR="00973D0E">
        <w:rPr>
          <w:rFonts w:ascii="Bookman Old Style" w:eastAsia="MS Mincho" w:hAnsi="Bookman Old Style" w:cs="Arial"/>
          <w:lang w:val="es-CO"/>
        </w:rPr>
        <w:t xml:space="preserve">la barra de entrega de energía del generador, siendo </w:t>
      </w:r>
      <w:r w:rsidR="00E843C6">
        <w:rPr>
          <w:rFonts w:ascii="Bookman Old Style" w:eastAsia="MS Mincho" w:hAnsi="Bookman Old Style" w:cs="Arial"/>
          <w:lang w:val="es-CO"/>
        </w:rPr>
        <w:t xml:space="preserve">este el punto de conexión </w:t>
      </w:r>
      <w:r w:rsidR="00CD600C">
        <w:rPr>
          <w:rFonts w:ascii="Bookman Old Style" w:eastAsia="MS Mincho" w:hAnsi="Bookman Old Style" w:cs="Arial"/>
          <w:lang w:val="es-CO"/>
        </w:rPr>
        <w:t>entre el parque de generación y el sistema de</w:t>
      </w:r>
      <w:r w:rsidR="00634D3C">
        <w:rPr>
          <w:rFonts w:ascii="Bookman Old Style" w:eastAsia="MS Mincho" w:hAnsi="Bookman Old Style" w:cs="Arial"/>
          <w:lang w:val="es-CO"/>
        </w:rPr>
        <w:t xml:space="preserve"> </w:t>
      </w:r>
      <w:r w:rsidR="00CD600C">
        <w:rPr>
          <w:rFonts w:ascii="Bookman Old Style" w:eastAsia="MS Mincho" w:hAnsi="Bookman Old Style" w:cs="Arial"/>
          <w:lang w:val="es-CO"/>
        </w:rPr>
        <w:t>distribución</w:t>
      </w:r>
      <w:r w:rsidR="00044283">
        <w:rPr>
          <w:rFonts w:ascii="Bookman Old Style" w:eastAsia="MS Mincho" w:hAnsi="Bookman Old Style" w:cs="Arial"/>
          <w:lang w:val="es-CO"/>
        </w:rPr>
        <w:t xml:space="preserve">. </w:t>
      </w:r>
      <w:r w:rsidR="00A8001B">
        <w:rPr>
          <w:rFonts w:ascii="Bookman Old Style" w:eastAsia="MS Mincho" w:hAnsi="Bookman Old Style" w:cs="Arial"/>
          <w:lang w:val="es-CO"/>
        </w:rPr>
        <w:t>El</w:t>
      </w:r>
      <w:r w:rsidR="00044283">
        <w:rPr>
          <w:rFonts w:ascii="Bookman Old Style" w:eastAsia="MS Mincho" w:hAnsi="Bookman Old Style" w:cs="Arial"/>
          <w:lang w:val="es-CO"/>
        </w:rPr>
        <w:t xml:space="preserve"> caso uno</w:t>
      </w:r>
      <w:r w:rsidR="00A8001B">
        <w:rPr>
          <w:rFonts w:ascii="Bookman Old Style" w:eastAsia="MS Mincho" w:hAnsi="Bookman Old Style" w:cs="Arial"/>
          <w:lang w:val="es-CO"/>
        </w:rPr>
        <w:t>,</w:t>
      </w:r>
      <w:r w:rsidR="00044283">
        <w:rPr>
          <w:rFonts w:ascii="Bookman Old Style" w:eastAsia="MS Mincho" w:hAnsi="Bookman Old Style" w:cs="Arial"/>
          <w:lang w:val="es-CO"/>
        </w:rPr>
        <w:t xml:space="preserve"> con </w:t>
      </w:r>
      <w:r w:rsidR="00111650">
        <w:rPr>
          <w:rFonts w:ascii="Bookman Old Style" w:eastAsia="MS Mincho" w:hAnsi="Bookman Old Style" w:cs="Arial"/>
          <w:lang w:val="es-CO"/>
        </w:rPr>
        <w:t xml:space="preserve">un punto </w:t>
      </w:r>
      <w:r w:rsidR="00027FFE">
        <w:rPr>
          <w:rFonts w:ascii="Bookman Old Style" w:eastAsia="MS Mincho" w:hAnsi="Bookman Old Style" w:cs="Arial"/>
          <w:lang w:val="es-CO"/>
        </w:rPr>
        <w:t xml:space="preserve">de conexión </w:t>
      </w:r>
      <w:r w:rsidR="001028BF">
        <w:rPr>
          <w:rFonts w:ascii="Bookman Old Style" w:eastAsia="MS Mincho" w:hAnsi="Bookman Old Style" w:cs="Arial"/>
          <w:lang w:val="es-CO"/>
        </w:rPr>
        <w:t>correspondiente a</w:t>
      </w:r>
      <w:r w:rsidR="00865928">
        <w:rPr>
          <w:rFonts w:ascii="Bookman Old Style" w:eastAsia="MS Mincho" w:hAnsi="Bookman Old Style" w:cs="Arial"/>
          <w:lang w:val="es-CO"/>
        </w:rPr>
        <w:t>l barraje de 13.8 kV</w:t>
      </w:r>
      <w:r w:rsidR="004F4D4A">
        <w:rPr>
          <w:rFonts w:ascii="Bookman Old Style" w:eastAsia="MS Mincho" w:hAnsi="Bookman Old Style" w:cs="Arial"/>
          <w:lang w:val="es-CO"/>
        </w:rPr>
        <w:t xml:space="preserve"> ubicado en la </w:t>
      </w:r>
      <w:r w:rsidR="00EE5F0E">
        <w:rPr>
          <w:rFonts w:ascii="Bookman Old Style" w:eastAsia="MS Mincho" w:hAnsi="Bookman Old Style" w:cs="Arial"/>
          <w:lang w:val="es-CO"/>
        </w:rPr>
        <w:t xml:space="preserve">Subestación Mitú, </w:t>
      </w:r>
      <w:r w:rsidR="00865928">
        <w:rPr>
          <w:rFonts w:ascii="Bookman Old Style" w:eastAsia="MS Mincho" w:hAnsi="Bookman Old Style" w:cs="Arial"/>
          <w:lang w:val="es-CO"/>
        </w:rPr>
        <w:t>en el que se re</w:t>
      </w:r>
      <w:r w:rsidR="0014503B">
        <w:rPr>
          <w:rFonts w:ascii="Bookman Old Style" w:eastAsia="MS Mincho" w:hAnsi="Bookman Old Style" w:cs="Arial"/>
          <w:lang w:val="es-CO"/>
        </w:rPr>
        <w:t>cogería la generación diésel e hídrica</w:t>
      </w:r>
      <w:r w:rsidR="008255DC">
        <w:rPr>
          <w:rFonts w:ascii="Bookman Old Style" w:eastAsia="MS Mincho" w:hAnsi="Bookman Old Style" w:cs="Arial"/>
          <w:lang w:val="es-CO"/>
        </w:rPr>
        <w:t>. Un caso dos</w:t>
      </w:r>
      <w:r w:rsidR="00A8001B">
        <w:rPr>
          <w:rFonts w:ascii="Bookman Old Style" w:eastAsia="MS Mincho" w:hAnsi="Bookman Old Style" w:cs="Arial"/>
          <w:lang w:val="es-CO"/>
        </w:rPr>
        <w:t>,</w:t>
      </w:r>
      <w:r w:rsidR="008255DC">
        <w:rPr>
          <w:rFonts w:ascii="Bookman Old Style" w:eastAsia="MS Mincho" w:hAnsi="Bookman Old Style" w:cs="Arial"/>
          <w:lang w:val="es-CO"/>
        </w:rPr>
        <w:t xml:space="preserve"> con </w:t>
      </w:r>
      <w:r w:rsidR="00293E94">
        <w:rPr>
          <w:rFonts w:ascii="Bookman Old Style" w:eastAsia="MS Mincho" w:hAnsi="Bookman Old Style" w:cs="Arial"/>
          <w:lang w:val="es-CO"/>
        </w:rPr>
        <w:t xml:space="preserve">dos puntos de conexión, uno en el </w:t>
      </w:r>
      <w:r w:rsidR="00293E94" w:rsidRPr="00293E94">
        <w:rPr>
          <w:rFonts w:ascii="Bookman Old Style" w:eastAsia="MS Mincho" w:hAnsi="Bookman Old Style" w:cs="Arial"/>
          <w:lang w:val="es-CO"/>
        </w:rPr>
        <w:t>tablero de 480V</w:t>
      </w:r>
      <w:r w:rsidR="00FC41A2">
        <w:rPr>
          <w:rFonts w:ascii="Bookman Old Style" w:eastAsia="MS Mincho" w:hAnsi="Bookman Old Style" w:cs="Arial"/>
          <w:lang w:val="es-CO"/>
        </w:rPr>
        <w:t xml:space="preserve"> que recoge la generación diésel</w:t>
      </w:r>
      <w:r w:rsidR="00A8001B">
        <w:rPr>
          <w:rFonts w:ascii="Bookman Old Style" w:eastAsia="MS Mincho" w:hAnsi="Bookman Old Style" w:cs="Arial"/>
          <w:lang w:val="es-CO"/>
        </w:rPr>
        <w:t>,</w:t>
      </w:r>
      <w:r w:rsidR="00FC41A2">
        <w:rPr>
          <w:rFonts w:ascii="Bookman Old Style" w:eastAsia="MS Mincho" w:hAnsi="Bookman Old Style" w:cs="Arial"/>
          <w:lang w:val="es-CO"/>
        </w:rPr>
        <w:t xml:space="preserve"> y dos</w:t>
      </w:r>
      <w:r w:rsidR="005234F3">
        <w:rPr>
          <w:rFonts w:ascii="Bookman Old Style" w:eastAsia="MS Mincho" w:hAnsi="Bookman Old Style" w:cs="Arial"/>
          <w:lang w:val="es-CO"/>
        </w:rPr>
        <w:t xml:space="preserve"> en </w:t>
      </w:r>
      <w:r w:rsidR="00BC623C">
        <w:rPr>
          <w:rFonts w:ascii="Bookman Old Style" w:eastAsia="MS Mincho" w:hAnsi="Bookman Old Style" w:cs="Arial"/>
          <w:lang w:val="es-CO"/>
        </w:rPr>
        <w:t xml:space="preserve">el </w:t>
      </w:r>
      <w:r w:rsidR="00683C1F" w:rsidRPr="00683C1F">
        <w:rPr>
          <w:rFonts w:ascii="Bookman Old Style" w:eastAsia="MS Mincho" w:hAnsi="Bookman Old Style" w:cs="Arial"/>
          <w:lang w:val="es-CO"/>
        </w:rPr>
        <w:t xml:space="preserve">tablero de 34.5 </w:t>
      </w:r>
      <w:r w:rsidR="00BC623C">
        <w:rPr>
          <w:rFonts w:ascii="Bookman Old Style" w:eastAsia="MS Mincho" w:hAnsi="Bookman Old Style" w:cs="Arial"/>
          <w:lang w:val="es-CO"/>
        </w:rPr>
        <w:t xml:space="preserve">kV que recoge la generación </w:t>
      </w:r>
      <w:r w:rsidR="004C2BEB">
        <w:rPr>
          <w:rFonts w:ascii="Bookman Old Style" w:eastAsia="MS Mincho" w:hAnsi="Bookman Old Style" w:cs="Arial"/>
          <w:lang w:val="es-CO"/>
        </w:rPr>
        <w:t>hídrica</w:t>
      </w:r>
      <w:r w:rsidR="00222E7C">
        <w:rPr>
          <w:rFonts w:ascii="Bookman Old Style" w:eastAsia="MS Mincho" w:hAnsi="Bookman Old Style" w:cs="Arial"/>
          <w:lang w:val="es-CO"/>
        </w:rPr>
        <w:t>.</w:t>
      </w:r>
    </w:p>
    <w:p w14:paraId="56213CF2" w14:textId="77777777" w:rsidR="00FA7AB1" w:rsidRDefault="00FA7AB1" w:rsidP="0060544A">
      <w:pPr>
        <w:ind w:left="284"/>
        <w:contextualSpacing/>
        <w:jc w:val="both"/>
        <w:rPr>
          <w:rFonts w:ascii="Bookman Old Style" w:eastAsia="MS Mincho" w:hAnsi="Bookman Old Style" w:cs="Arial"/>
          <w:lang w:val="es-CO"/>
        </w:rPr>
      </w:pPr>
    </w:p>
    <w:p w14:paraId="68005BB2" w14:textId="4784114C" w:rsidR="00422ADB" w:rsidRDefault="00C56C8F"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Se entiende que antes de </w:t>
      </w:r>
      <w:r w:rsidR="0021614E">
        <w:rPr>
          <w:rFonts w:ascii="Bookman Old Style" w:eastAsia="MS Mincho" w:hAnsi="Bookman Old Style" w:cs="Arial"/>
          <w:lang w:val="es-CO"/>
        </w:rPr>
        <w:t>la barra de entrega del generador todavía no se ha</w:t>
      </w:r>
      <w:r w:rsidR="00B818F9">
        <w:rPr>
          <w:rFonts w:ascii="Bookman Old Style" w:eastAsia="MS Mincho" w:hAnsi="Bookman Old Style" w:cs="Arial"/>
          <w:lang w:val="es-CO"/>
        </w:rPr>
        <w:t xml:space="preserve"> dado el </w:t>
      </w:r>
      <w:r w:rsidR="00C805D3">
        <w:rPr>
          <w:rFonts w:ascii="Bookman Old Style" w:eastAsia="MS Mincho" w:hAnsi="Bookman Old Style" w:cs="Arial"/>
          <w:lang w:val="es-CO"/>
        </w:rPr>
        <w:t>transport</w:t>
      </w:r>
      <w:r w:rsidR="00B818F9">
        <w:rPr>
          <w:rFonts w:ascii="Bookman Old Style" w:eastAsia="MS Mincho" w:hAnsi="Bookman Old Style" w:cs="Arial"/>
          <w:lang w:val="es-CO"/>
        </w:rPr>
        <w:t>e de</w:t>
      </w:r>
      <w:r w:rsidR="00C805D3">
        <w:rPr>
          <w:rFonts w:ascii="Bookman Old Style" w:eastAsia="MS Mincho" w:hAnsi="Bookman Old Style" w:cs="Arial"/>
          <w:lang w:val="es-CO"/>
        </w:rPr>
        <w:t xml:space="preserve"> energía que </w:t>
      </w:r>
      <w:r w:rsidR="00B818F9">
        <w:rPr>
          <w:rFonts w:ascii="Bookman Old Style" w:eastAsia="MS Mincho" w:hAnsi="Bookman Old Style" w:cs="Arial"/>
          <w:lang w:val="es-CO"/>
        </w:rPr>
        <w:t xml:space="preserve">tiene </w:t>
      </w:r>
      <w:r w:rsidR="00C805D3">
        <w:rPr>
          <w:rFonts w:ascii="Bookman Old Style" w:eastAsia="MS Mincho" w:hAnsi="Bookman Old Style" w:cs="Arial"/>
          <w:lang w:val="es-CO"/>
        </w:rPr>
        <w:t xml:space="preserve">como destino </w:t>
      </w:r>
      <w:r w:rsidR="00B818F9">
        <w:rPr>
          <w:rFonts w:ascii="Bookman Old Style" w:eastAsia="MS Mincho" w:hAnsi="Bookman Old Style" w:cs="Arial"/>
          <w:lang w:val="es-CO"/>
        </w:rPr>
        <w:t xml:space="preserve">a </w:t>
      </w:r>
      <w:r w:rsidR="009344ED">
        <w:rPr>
          <w:rFonts w:ascii="Bookman Old Style" w:eastAsia="MS Mincho" w:hAnsi="Bookman Old Style" w:cs="Arial"/>
          <w:lang w:val="es-CO"/>
        </w:rPr>
        <w:t xml:space="preserve">usuarios, toda vez que </w:t>
      </w:r>
      <w:r w:rsidR="00541396">
        <w:rPr>
          <w:rFonts w:ascii="Bookman Old Style" w:eastAsia="MS Mincho" w:hAnsi="Bookman Old Style" w:cs="Arial"/>
          <w:lang w:val="es-CO"/>
        </w:rPr>
        <w:t xml:space="preserve">el transporte de energía a </w:t>
      </w:r>
      <w:r w:rsidR="009D3EFE">
        <w:rPr>
          <w:rFonts w:ascii="Bookman Old Style" w:eastAsia="MS Mincho" w:hAnsi="Bookman Old Style" w:cs="Arial"/>
          <w:lang w:val="es-CO"/>
        </w:rPr>
        <w:t>usuarios est</w:t>
      </w:r>
      <w:r w:rsidR="00076445">
        <w:rPr>
          <w:rFonts w:ascii="Bookman Old Style" w:eastAsia="MS Mincho" w:hAnsi="Bookman Old Style" w:cs="Arial"/>
          <w:lang w:val="es-CO"/>
        </w:rPr>
        <w:t>á</w:t>
      </w:r>
      <w:r w:rsidR="009D3EFE">
        <w:rPr>
          <w:rFonts w:ascii="Bookman Old Style" w:eastAsia="MS Mincho" w:hAnsi="Bookman Old Style" w:cs="Arial"/>
          <w:lang w:val="es-CO"/>
        </w:rPr>
        <w:t xml:space="preserve"> contemplado</w:t>
      </w:r>
      <w:r w:rsidR="009344ED">
        <w:rPr>
          <w:rFonts w:ascii="Bookman Old Style" w:eastAsia="MS Mincho" w:hAnsi="Bookman Old Style" w:cs="Arial"/>
          <w:lang w:val="es-CO"/>
        </w:rPr>
        <w:t xml:space="preserve"> en </w:t>
      </w:r>
      <w:r w:rsidR="009D3EFE">
        <w:rPr>
          <w:rFonts w:ascii="Bookman Old Style" w:eastAsia="MS Mincho" w:hAnsi="Bookman Old Style" w:cs="Arial"/>
          <w:lang w:val="es-CO"/>
        </w:rPr>
        <w:t>las definiciones</w:t>
      </w:r>
      <w:r w:rsidR="009344ED">
        <w:rPr>
          <w:rFonts w:ascii="Bookman Old Style" w:eastAsia="MS Mincho" w:hAnsi="Bookman Old Style" w:cs="Arial"/>
          <w:lang w:val="es-CO"/>
        </w:rPr>
        <w:t xml:space="preserve"> de la actividad de distribución de energía eléctrica, de </w:t>
      </w:r>
      <w:r w:rsidR="00A24CD7">
        <w:rPr>
          <w:rFonts w:ascii="Bookman Old Style" w:eastAsia="MS Mincho" w:hAnsi="Bookman Old Style" w:cs="Arial"/>
          <w:lang w:val="es-CO"/>
        </w:rPr>
        <w:t xml:space="preserve">sistema de distribución y de </w:t>
      </w:r>
      <w:r w:rsidR="00A504C3">
        <w:rPr>
          <w:rFonts w:ascii="Bookman Old Style" w:eastAsia="MS Mincho" w:hAnsi="Bookman Old Style" w:cs="Arial"/>
          <w:lang w:val="es-CO"/>
        </w:rPr>
        <w:t>los p</w:t>
      </w:r>
      <w:r w:rsidR="00A504C3" w:rsidRPr="00A504C3">
        <w:rPr>
          <w:rFonts w:ascii="Bookman Old Style" w:eastAsia="MS Mincho" w:hAnsi="Bookman Old Style" w:cs="Arial"/>
          <w:lang w:val="es-CO"/>
        </w:rPr>
        <w:t xml:space="preserve">rincipios </w:t>
      </w:r>
      <w:r w:rsidR="00A504C3">
        <w:rPr>
          <w:rFonts w:ascii="Bookman Old Style" w:eastAsia="MS Mincho" w:hAnsi="Bookman Old Style" w:cs="Arial"/>
          <w:lang w:val="es-CO"/>
        </w:rPr>
        <w:t>g</w:t>
      </w:r>
      <w:r w:rsidR="00A504C3" w:rsidRPr="00A504C3">
        <w:rPr>
          <w:rFonts w:ascii="Bookman Old Style" w:eastAsia="MS Mincho" w:hAnsi="Bookman Old Style" w:cs="Arial"/>
          <w:lang w:val="es-CO"/>
        </w:rPr>
        <w:t>enerales</w:t>
      </w:r>
      <w:r w:rsidR="00A504C3">
        <w:rPr>
          <w:rFonts w:ascii="Bookman Old Style" w:eastAsia="MS Mincho" w:hAnsi="Bookman Old Style" w:cs="Arial"/>
          <w:lang w:val="es-CO"/>
        </w:rPr>
        <w:t xml:space="preserve"> para l</w:t>
      </w:r>
      <w:r w:rsidR="00A504C3" w:rsidRPr="00A504C3">
        <w:rPr>
          <w:rFonts w:ascii="Bookman Old Style" w:eastAsia="MS Mincho" w:hAnsi="Bookman Old Style" w:cs="Arial"/>
          <w:lang w:val="es-CO"/>
        </w:rPr>
        <w:t xml:space="preserve">a aplicación de los cargos por uso de los </w:t>
      </w:r>
      <w:r w:rsidR="00A504C3">
        <w:rPr>
          <w:rFonts w:ascii="Bookman Old Style" w:eastAsia="MS Mincho" w:hAnsi="Bookman Old Style" w:cs="Arial"/>
          <w:lang w:val="es-CO"/>
        </w:rPr>
        <w:t>s</w:t>
      </w:r>
      <w:r w:rsidR="00A504C3" w:rsidRPr="00A504C3">
        <w:rPr>
          <w:rFonts w:ascii="Bookman Old Style" w:eastAsia="MS Mincho" w:hAnsi="Bookman Old Style" w:cs="Arial"/>
          <w:lang w:val="es-CO"/>
        </w:rPr>
        <w:t xml:space="preserve">istemas de </w:t>
      </w:r>
      <w:r w:rsidR="00A504C3">
        <w:rPr>
          <w:rFonts w:ascii="Bookman Old Style" w:eastAsia="MS Mincho" w:hAnsi="Bookman Old Style" w:cs="Arial"/>
          <w:lang w:val="es-CO"/>
        </w:rPr>
        <w:t>d</w:t>
      </w:r>
      <w:r w:rsidR="00A504C3" w:rsidRPr="00A504C3">
        <w:rPr>
          <w:rFonts w:ascii="Bookman Old Style" w:eastAsia="MS Mincho" w:hAnsi="Bookman Old Style" w:cs="Arial"/>
          <w:lang w:val="es-CO"/>
        </w:rPr>
        <w:t>istribución</w:t>
      </w:r>
      <w:r w:rsidR="00A504C3">
        <w:rPr>
          <w:rFonts w:ascii="Bookman Old Style" w:eastAsia="MS Mincho" w:hAnsi="Bookman Old Style" w:cs="Arial"/>
          <w:lang w:val="es-CO"/>
        </w:rPr>
        <w:t>, citados anteriormente.</w:t>
      </w:r>
    </w:p>
    <w:p w14:paraId="4F492171" w14:textId="77777777" w:rsidR="00422ADB" w:rsidRDefault="00422ADB" w:rsidP="00546105">
      <w:pPr>
        <w:ind w:left="284"/>
        <w:contextualSpacing/>
        <w:jc w:val="both"/>
        <w:rPr>
          <w:rFonts w:ascii="Bookman Old Style" w:eastAsia="MS Mincho" w:hAnsi="Bookman Old Style" w:cs="Arial"/>
          <w:lang w:val="es-CO"/>
        </w:rPr>
      </w:pPr>
    </w:p>
    <w:p w14:paraId="39D0EDA3" w14:textId="7D7F1AE4" w:rsidR="00631FC1" w:rsidRDefault="001611BE" w:rsidP="004963DE">
      <w:pPr>
        <w:ind w:left="284"/>
        <w:contextualSpacing/>
        <w:jc w:val="both"/>
        <w:rPr>
          <w:rFonts w:ascii="Bookman Old Style" w:hAnsi="Bookman Old Style" w:cs="Arial"/>
        </w:rPr>
      </w:pPr>
      <w:r>
        <w:rPr>
          <w:rFonts w:ascii="Bookman Old Style" w:hAnsi="Bookman Old Style" w:cs="Arial"/>
        </w:rPr>
        <w:t xml:space="preserve">Respecto de </w:t>
      </w:r>
      <w:r w:rsidR="00E5002E">
        <w:rPr>
          <w:rFonts w:ascii="Bookman Old Style" w:hAnsi="Bookman Old Style" w:cs="Arial"/>
        </w:rPr>
        <w:t xml:space="preserve">las condiciones en que opera </w:t>
      </w:r>
      <w:r w:rsidR="00E56BCA">
        <w:rPr>
          <w:rFonts w:ascii="Bookman Old Style" w:hAnsi="Bookman Old Style" w:cs="Arial"/>
        </w:rPr>
        <w:t xml:space="preserve">el activo </w:t>
      </w:r>
      <w:r>
        <w:rPr>
          <w:rFonts w:ascii="Bookman Old Style" w:hAnsi="Bookman Old Style" w:cs="Arial"/>
        </w:rPr>
        <w:t xml:space="preserve">sobre el </w:t>
      </w:r>
      <w:r w:rsidR="00E56BCA">
        <w:rPr>
          <w:rFonts w:ascii="Bookman Old Style" w:hAnsi="Bookman Old Style" w:cs="Arial"/>
        </w:rPr>
        <w:t xml:space="preserve">que se solicita </w:t>
      </w:r>
      <w:r>
        <w:rPr>
          <w:rFonts w:ascii="Bookman Old Style" w:hAnsi="Bookman Old Style" w:cs="Arial"/>
        </w:rPr>
        <w:t>la imposición de servidumbre</w:t>
      </w:r>
      <w:r w:rsidR="00A8001B">
        <w:rPr>
          <w:rFonts w:ascii="Bookman Old Style" w:hAnsi="Bookman Old Style" w:cs="Arial"/>
        </w:rPr>
        <w:t>,</w:t>
      </w:r>
      <w:r>
        <w:rPr>
          <w:rFonts w:ascii="Bookman Old Style" w:hAnsi="Bookman Old Style" w:cs="Arial"/>
        </w:rPr>
        <w:t xml:space="preserve"> y</w:t>
      </w:r>
      <w:r w:rsidR="004769C9">
        <w:rPr>
          <w:rFonts w:ascii="Bookman Old Style" w:hAnsi="Bookman Old Style" w:cs="Arial"/>
        </w:rPr>
        <w:t xml:space="preserve"> </w:t>
      </w:r>
      <w:r w:rsidR="00D83DB8">
        <w:rPr>
          <w:rFonts w:ascii="Bookman Old Style" w:hAnsi="Bookman Old Style" w:cs="Arial"/>
        </w:rPr>
        <w:t xml:space="preserve">según lo informado </w:t>
      </w:r>
      <w:r w:rsidR="00851020">
        <w:rPr>
          <w:rFonts w:ascii="Bookman Old Style" w:hAnsi="Bookman Old Style" w:cs="Arial"/>
        </w:rPr>
        <w:t>m</w:t>
      </w:r>
      <w:r w:rsidR="00851020" w:rsidRPr="0086458B">
        <w:rPr>
          <w:rFonts w:ascii="Bookman Old Style" w:hAnsi="Bookman Old Style" w:cs="Arial"/>
        </w:rPr>
        <w:t xml:space="preserve">ediante </w:t>
      </w:r>
      <w:r w:rsidR="00851020">
        <w:rPr>
          <w:rFonts w:ascii="Bookman Old Style" w:hAnsi="Bookman Old Style" w:cs="Arial"/>
        </w:rPr>
        <w:t xml:space="preserve">comunicación con </w:t>
      </w:r>
      <w:r w:rsidR="00851020" w:rsidRPr="0086458B">
        <w:rPr>
          <w:rFonts w:ascii="Bookman Old Style" w:hAnsi="Bookman Old Style" w:cs="Arial"/>
        </w:rPr>
        <w:t xml:space="preserve">radicado CREG </w:t>
      </w:r>
      <w:r w:rsidR="0011251B" w:rsidRPr="0086458B">
        <w:rPr>
          <w:rFonts w:ascii="Bookman Old Style" w:hAnsi="Bookman Old Style" w:cs="Arial"/>
        </w:rPr>
        <w:t>E-2020-</w:t>
      </w:r>
      <w:r w:rsidR="00631FC1" w:rsidRPr="00756EB0">
        <w:rPr>
          <w:rFonts w:ascii="Bookman Old Style" w:hAnsi="Bookman Old Style" w:cs="Arial"/>
        </w:rPr>
        <w:t>001587</w:t>
      </w:r>
      <w:r w:rsidR="004769C9">
        <w:rPr>
          <w:rFonts w:ascii="Bookman Old Style" w:hAnsi="Bookman Old Style" w:cs="Arial"/>
        </w:rPr>
        <w:t>, relacionada en el título 6</w:t>
      </w:r>
      <w:r w:rsidR="00631FC1">
        <w:rPr>
          <w:rFonts w:ascii="Bookman Old Style" w:hAnsi="Bookman Old Style" w:cs="Arial"/>
        </w:rPr>
        <w:t xml:space="preserve">, DUE </w:t>
      </w:r>
      <w:r w:rsidR="00B55A48">
        <w:rPr>
          <w:rFonts w:ascii="Bookman Old Style" w:hAnsi="Bookman Old Style" w:cs="Arial"/>
        </w:rPr>
        <w:t>manifest</w:t>
      </w:r>
      <w:r w:rsidR="000114CB">
        <w:rPr>
          <w:rFonts w:ascii="Bookman Old Style" w:hAnsi="Bookman Old Style" w:cs="Arial"/>
        </w:rPr>
        <w:t>ó</w:t>
      </w:r>
      <w:r w:rsidR="00B55A48">
        <w:rPr>
          <w:rFonts w:ascii="Bookman Old Style" w:hAnsi="Bookman Old Style" w:cs="Arial"/>
        </w:rPr>
        <w:t>:</w:t>
      </w:r>
    </w:p>
    <w:p w14:paraId="1F394C0D" w14:textId="77777777" w:rsidR="00631FC1" w:rsidRDefault="00631FC1" w:rsidP="00631FC1">
      <w:pPr>
        <w:ind w:left="284"/>
        <w:contextualSpacing/>
        <w:jc w:val="both"/>
        <w:rPr>
          <w:rFonts w:ascii="Bookman Old Style" w:hAnsi="Bookman Old Style" w:cs="Arial"/>
        </w:rPr>
      </w:pPr>
    </w:p>
    <w:p w14:paraId="22CCDD10" w14:textId="4C87DADC" w:rsidR="00431D4D" w:rsidRDefault="00431D4D" w:rsidP="00A8001B">
      <w:pPr>
        <w:ind w:left="567"/>
        <w:contextualSpacing/>
        <w:jc w:val="both"/>
        <w:rPr>
          <w:rFonts w:ascii="Bookman Old Style" w:hAnsi="Bookman Old Style" w:cs="Arial"/>
          <w:i/>
          <w:iCs/>
          <w:sz w:val="20"/>
          <w:szCs w:val="20"/>
        </w:rPr>
      </w:pPr>
      <w:r>
        <w:rPr>
          <w:rFonts w:ascii="Bookman Old Style" w:hAnsi="Bookman Old Style" w:cs="Arial"/>
          <w:i/>
          <w:iCs/>
          <w:sz w:val="20"/>
          <w:szCs w:val="20"/>
        </w:rPr>
        <w:t>“(…)</w:t>
      </w:r>
      <w:r w:rsidR="0011251B" w:rsidRPr="00076445">
        <w:rPr>
          <w:rFonts w:ascii="Bookman Old Style" w:hAnsi="Bookman Old Style"/>
          <w:i/>
          <w:sz w:val="20"/>
        </w:rPr>
        <w:t xml:space="preserve"> GENSA </w:t>
      </w:r>
      <w:r w:rsidRPr="00F839B8">
        <w:rPr>
          <w:rFonts w:ascii="Bookman Old Style" w:hAnsi="Bookman Old Style" w:cs="Arial"/>
          <w:i/>
          <w:iCs/>
          <w:sz w:val="20"/>
          <w:szCs w:val="20"/>
        </w:rPr>
        <w:t xml:space="preserve">E.S.P S.A. (en adelante </w:t>
      </w:r>
      <w:r>
        <w:rPr>
          <w:rFonts w:ascii="Bookman Old Style" w:hAnsi="Bookman Old Style" w:cs="Arial"/>
          <w:i/>
          <w:iCs/>
          <w:sz w:val="20"/>
          <w:szCs w:val="20"/>
        </w:rPr>
        <w:t>‘</w:t>
      </w:r>
      <w:r w:rsidRPr="00F839B8">
        <w:rPr>
          <w:rFonts w:ascii="Bookman Old Style" w:hAnsi="Bookman Old Style" w:cs="Arial"/>
          <w:i/>
          <w:iCs/>
          <w:sz w:val="20"/>
          <w:szCs w:val="20"/>
        </w:rPr>
        <w:t>GENSA</w:t>
      </w:r>
      <w:r>
        <w:rPr>
          <w:rFonts w:ascii="Bookman Old Style" w:hAnsi="Bookman Old Style" w:cs="Arial"/>
          <w:i/>
          <w:iCs/>
          <w:sz w:val="20"/>
          <w:szCs w:val="20"/>
        </w:rPr>
        <w:t>’</w:t>
      </w:r>
      <w:r w:rsidRPr="00F839B8">
        <w:rPr>
          <w:rFonts w:ascii="Bookman Old Style" w:hAnsi="Bookman Old Style" w:cs="Arial"/>
          <w:i/>
          <w:iCs/>
          <w:sz w:val="20"/>
          <w:szCs w:val="20"/>
        </w:rPr>
        <w:t xml:space="preserve">) en sus pronunciamientos, no solo en este procedimiento administrativo sino también en el Expediente 2019-00031, ha sostenido que la línea de interconexión a 34.5 kV entre la PCH Mitú a la Subestación Eléctrica de la generación diésel de Mitú no hace parte de una sistema de distribución, sino que es una línea de </w:t>
      </w:r>
      <w:r>
        <w:rPr>
          <w:rFonts w:ascii="Bookman Old Style" w:hAnsi="Bookman Old Style" w:cs="Arial"/>
          <w:i/>
          <w:iCs/>
          <w:sz w:val="20"/>
          <w:szCs w:val="20"/>
        </w:rPr>
        <w:t>‘</w:t>
      </w:r>
      <w:r w:rsidRPr="00F839B8">
        <w:rPr>
          <w:rFonts w:ascii="Bookman Old Style" w:hAnsi="Bookman Old Style" w:cs="Arial"/>
          <w:i/>
          <w:iCs/>
          <w:sz w:val="20"/>
          <w:szCs w:val="20"/>
        </w:rPr>
        <w:t>transmisión</w:t>
      </w:r>
      <w:r>
        <w:rPr>
          <w:rFonts w:ascii="Bookman Old Style" w:hAnsi="Bookman Old Style" w:cs="Arial"/>
          <w:i/>
          <w:iCs/>
          <w:sz w:val="20"/>
          <w:szCs w:val="20"/>
        </w:rPr>
        <w:t>’</w:t>
      </w:r>
      <w:r w:rsidRPr="00F839B8">
        <w:rPr>
          <w:rFonts w:ascii="Bookman Old Style" w:hAnsi="Bookman Old Style" w:cs="Arial"/>
          <w:i/>
          <w:iCs/>
          <w:sz w:val="20"/>
          <w:szCs w:val="20"/>
        </w:rPr>
        <w:t xml:space="preserve">. </w:t>
      </w:r>
      <w:r w:rsidRPr="00B55A48">
        <w:rPr>
          <w:rFonts w:ascii="Bookman Old Style" w:hAnsi="Bookman Old Style" w:cs="Arial"/>
          <w:b/>
          <w:bCs/>
          <w:i/>
          <w:iCs/>
          <w:sz w:val="20"/>
          <w:szCs w:val="20"/>
          <w:u w:val="single"/>
        </w:rPr>
        <w:t>Como se ha dejando en evidencia la misma línea tiene un número plural de derivaciones a usuarios regulados (20 en total)</w:t>
      </w:r>
      <w:r w:rsidRPr="00F839B8">
        <w:rPr>
          <w:rFonts w:ascii="Bookman Old Style" w:hAnsi="Bookman Old Style" w:cs="Arial"/>
          <w:i/>
          <w:iCs/>
          <w:sz w:val="20"/>
          <w:szCs w:val="20"/>
        </w:rPr>
        <w:t>, lo que tal y como lo estipula el Artículo 2 CRE091 de 20071, complementada por la definición de Sistema de Distribución en ZNI del Articulo 4 de la CREG038/2018 la cual es</w:t>
      </w:r>
      <w:r>
        <w:rPr>
          <w:rFonts w:ascii="Bookman Old Style" w:hAnsi="Bookman Old Style" w:cs="Arial"/>
          <w:i/>
          <w:iCs/>
          <w:sz w:val="20"/>
          <w:szCs w:val="20"/>
        </w:rPr>
        <w:t xml:space="preserve"> ‘</w:t>
      </w:r>
      <w:r w:rsidRPr="00F839B8">
        <w:rPr>
          <w:rFonts w:ascii="Bookman Old Style" w:hAnsi="Bookman Old Style" w:cs="Arial"/>
          <w:i/>
          <w:iCs/>
          <w:sz w:val="20"/>
          <w:szCs w:val="20"/>
        </w:rPr>
        <w:t xml:space="preserve">.. el conjunto de redes físicas de uso público que transporta energía eléctrica desde la barra de un generador hasta el punto de derivación de </w:t>
      </w:r>
      <w:r w:rsidRPr="00AC0589">
        <w:rPr>
          <w:rFonts w:ascii="Bookman Old Style" w:hAnsi="Bookman Old Style" w:cs="Arial"/>
          <w:i/>
          <w:iCs/>
          <w:sz w:val="20"/>
          <w:szCs w:val="20"/>
          <w:u w:val="single"/>
        </w:rPr>
        <w:t>las acometidas de los inmuebles</w:t>
      </w:r>
      <w:r w:rsidRPr="00F839B8">
        <w:rPr>
          <w:rFonts w:ascii="Bookman Old Style" w:hAnsi="Bookman Old Style" w:cs="Arial"/>
          <w:i/>
          <w:iCs/>
          <w:sz w:val="20"/>
          <w:szCs w:val="20"/>
        </w:rPr>
        <w:t>, sin incluir su conexión y medición. No se incluyen los transformadores elevadores ni servicios auxiliares del</w:t>
      </w:r>
      <w:r>
        <w:rPr>
          <w:rFonts w:ascii="Bookman Old Style" w:hAnsi="Bookman Old Style" w:cs="Arial"/>
          <w:i/>
          <w:iCs/>
          <w:sz w:val="20"/>
          <w:szCs w:val="20"/>
        </w:rPr>
        <w:t xml:space="preserve"> </w:t>
      </w:r>
      <w:r w:rsidRPr="00AC0589">
        <w:rPr>
          <w:rFonts w:ascii="Bookman Old Style" w:hAnsi="Bookman Old Style" w:cs="Arial"/>
          <w:i/>
          <w:iCs/>
          <w:sz w:val="20"/>
          <w:szCs w:val="20"/>
        </w:rPr>
        <w:t>generador</w:t>
      </w:r>
      <w:r>
        <w:rPr>
          <w:rFonts w:ascii="Bookman Old Style" w:hAnsi="Bookman Old Style" w:cs="Arial"/>
          <w:i/>
          <w:iCs/>
          <w:sz w:val="20"/>
          <w:szCs w:val="20"/>
        </w:rPr>
        <w:t>’</w:t>
      </w:r>
      <w:r w:rsidRPr="00AC0589">
        <w:rPr>
          <w:rFonts w:ascii="Bookman Old Style" w:hAnsi="Bookman Old Style" w:cs="Arial"/>
          <w:i/>
          <w:iCs/>
          <w:sz w:val="20"/>
          <w:szCs w:val="20"/>
        </w:rPr>
        <w:t xml:space="preserve"> (negrilla y subrayado fuera del texto original); por tanto, la misma ya es de hecho una red de distribución.</w:t>
      </w:r>
      <w:r w:rsidR="004963DE">
        <w:rPr>
          <w:rFonts w:ascii="Bookman Old Style" w:hAnsi="Bookman Old Style" w:cs="Arial"/>
          <w:i/>
          <w:iCs/>
          <w:sz w:val="20"/>
          <w:szCs w:val="20"/>
        </w:rPr>
        <w:t xml:space="preserve"> (…)</w:t>
      </w:r>
    </w:p>
    <w:p w14:paraId="284965E3" w14:textId="77777777" w:rsidR="004963DE" w:rsidRDefault="004963DE" w:rsidP="00A8001B">
      <w:pPr>
        <w:ind w:left="567"/>
        <w:contextualSpacing/>
        <w:jc w:val="both"/>
        <w:rPr>
          <w:rFonts w:ascii="Bookman Old Style" w:hAnsi="Bookman Old Style" w:cs="Arial"/>
          <w:i/>
          <w:iCs/>
          <w:sz w:val="20"/>
          <w:szCs w:val="20"/>
        </w:rPr>
      </w:pPr>
    </w:p>
    <w:p w14:paraId="22D67C59" w14:textId="77777777" w:rsidR="004963DE" w:rsidRPr="005D4DF6" w:rsidRDefault="004963DE" w:rsidP="00A8001B">
      <w:pPr>
        <w:ind w:left="567"/>
        <w:contextualSpacing/>
        <w:jc w:val="both"/>
        <w:rPr>
          <w:rFonts w:ascii="Bookman Old Style" w:hAnsi="Bookman Old Style" w:cs="Arial"/>
          <w:sz w:val="20"/>
          <w:szCs w:val="20"/>
        </w:rPr>
      </w:pPr>
      <w:r w:rsidRPr="00194554">
        <w:rPr>
          <w:rFonts w:ascii="Bookman Old Style" w:hAnsi="Bookman Old Style" w:cs="Arial"/>
          <w:b/>
          <w:bCs/>
          <w:i/>
          <w:iCs/>
          <w:sz w:val="20"/>
          <w:szCs w:val="20"/>
          <w:u w:val="single"/>
        </w:rPr>
        <w:t>Se adjunta para mayor claridad de la Comisión evidencia fotográfica de las derivaciones</w:t>
      </w:r>
      <w:r w:rsidRPr="00F203B4">
        <w:rPr>
          <w:rFonts w:ascii="Bookman Old Style" w:hAnsi="Bookman Old Style" w:cs="Arial"/>
          <w:i/>
          <w:iCs/>
          <w:sz w:val="20"/>
          <w:szCs w:val="20"/>
        </w:rPr>
        <w:t xml:space="preserve"> que presenta la mencionada línea y se hace notar que dichas derivaciones fueron realizadas profesionalmente y conllevan poste de cemento de 12 mts, transformador, cruceta, aisladores, cañuela y cables de alta, lo que las hace por lo menos si no consentidas muy difíciles de desconocer.</w:t>
      </w:r>
      <w:r>
        <w:rPr>
          <w:rFonts w:ascii="Bookman Old Style" w:hAnsi="Bookman Old Style" w:cs="Arial"/>
          <w:i/>
          <w:iCs/>
          <w:sz w:val="20"/>
          <w:szCs w:val="20"/>
        </w:rPr>
        <w:t xml:space="preserve"> (…)”</w:t>
      </w:r>
      <w:r w:rsidR="005D4DF6">
        <w:rPr>
          <w:rFonts w:ascii="Bookman Old Style" w:hAnsi="Bookman Old Style" w:cs="Arial"/>
          <w:i/>
          <w:iCs/>
          <w:sz w:val="20"/>
          <w:szCs w:val="20"/>
        </w:rPr>
        <w:t xml:space="preserve"> </w:t>
      </w:r>
      <w:r w:rsidR="005D4DF6">
        <w:rPr>
          <w:rFonts w:ascii="Bookman Old Style" w:hAnsi="Bookman Old Style" w:cs="Arial"/>
          <w:sz w:val="20"/>
          <w:szCs w:val="20"/>
        </w:rPr>
        <w:t>Resaltado y subrayado fuera de texto</w:t>
      </w:r>
    </w:p>
    <w:p w14:paraId="196D35BB" w14:textId="77777777" w:rsidR="009608E0" w:rsidRDefault="009608E0" w:rsidP="00546105">
      <w:pPr>
        <w:ind w:left="284"/>
        <w:contextualSpacing/>
        <w:jc w:val="both"/>
        <w:rPr>
          <w:rFonts w:ascii="Bookman Old Style" w:eastAsia="MS Mincho" w:hAnsi="Bookman Old Style" w:cs="Arial"/>
          <w:lang w:val="es-CO"/>
        </w:rPr>
      </w:pPr>
    </w:p>
    <w:p w14:paraId="01549223" w14:textId="0DB300C8" w:rsidR="00851020" w:rsidRPr="0086458B" w:rsidRDefault="00194554" w:rsidP="00851020">
      <w:pPr>
        <w:ind w:left="284"/>
        <w:contextualSpacing/>
        <w:jc w:val="both"/>
        <w:rPr>
          <w:rFonts w:ascii="Bookman Old Style" w:hAnsi="Bookman Old Style" w:cs="Arial"/>
        </w:rPr>
      </w:pPr>
      <w:r>
        <w:rPr>
          <w:rFonts w:ascii="Bookman Old Style" w:hAnsi="Bookman Old Style" w:cs="Arial"/>
        </w:rPr>
        <w:t xml:space="preserve">Sobre </w:t>
      </w:r>
      <w:r w:rsidR="002B0551">
        <w:rPr>
          <w:rFonts w:ascii="Bookman Old Style" w:hAnsi="Bookman Old Style" w:cs="Arial"/>
        </w:rPr>
        <w:t xml:space="preserve">la información </w:t>
      </w:r>
      <w:r w:rsidR="00B9151B">
        <w:rPr>
          <w:rFonts w:ascii="Bookman Old Style" w:hAnsi="Bookman Old Style" w:cs="Arial"/>
        </w:rPr>
        <w:t xml:space="preserve">y pruebas </w:t>
      </w:r>
      <w:r w:rsidR="002B0551">
        <w:rPr>
          <w:rFonts w:ascii="Bookman Old Style" w:hAnsi="Bookman Old Style" w:cs="Arial"/>
        </w:rPr>
        <w:t>aportada</w:t>
      </w:r>
      <w:r w:rsidR="00B9151B">
        <w:rPr>
          <w:rFonts w:ascii="Bookman Old Style" w:hAnsi="Bookman Old Style" w:cs="Arial"/>
        </w:rPr>
        <w:t>s</w:t>
      </w:r>
      <w:r w:rsidR="002B0551">
        <w:rPr>
          <w:rFonts w:ascii="Bookman Old Style" w:hAnsi="Bookman Old Style" w:cs="Arial"/>
        </w:rPr>
        <w:t xml:space="preserve"> por DUE, GENSA, </w:t>
      </w:r>
      <w:r w:rsidR="00851020">
        <w:rPr>
          <w:rFonts w:ascii="Bookman Old Style" w:hAnsi="Bookman Old Style" w:cs="Arial"/>
        </w:rPr>
        <w:t>m</w:t>
      </w:r>
      <w:r w:rsidR="00851020" w:rsidRPr="0086458B">
        <w:rPr>
          <w:rFonts w:ascii="Bookman Old Style" w:hAnsi="Bookman Old Style" w:cs="Arial"/>
        </w:rPr>
        <w:t xml:space="preserve">ediante </w:t>
      </w:r>
      <w:r w:rsidR="00851020">
        <w:rPr>
          <w:rFonts w:ascii="Bookman Old Style" w:hAnsi="Bookman Old Style" w:cs="Arial"/>
        </w:rPr>
        <w:t xml:space="preserve">comunicación con </w:t>
      </w:r>
      <w:r w:rsidR="00851020" w:rsidRPr="0086458B">
        <w:rPr>
          <w:rFonts w:ascii="Bookman Old Style" w:hAnsi="Bookman Old Style" w:cs="Arial"/>
        </w:rPr>
        <w:t xml:space="preserve">radicado CREG </w:t>
      </w:r>
      <w:r w:rsidR="0011251B" w:rsidRPr="0086458B">
        <w:rPr>
          <w:rFonts w:ascii="Bookman Old Style" w:hAnsi="Bookman Old Style" w:cs="Arial"/>
        </w:rPr>
        <w:t>E-2020-003389</w:t>
      </w:r>
      <w:r w:rsidR="002B0551">
        <w:rPr>
          <w:rFonts w:ascii="Bookman Old Style" w:hAnsi="Bookman Old Style" w:cs="Arial"/>
        </w:rPr>
        <w:t xml:space="preserve">, </w:t>
      </w:r>
      <w:r w:rsidR="00851020">
        <w:rPr>
          <w:rFonts w:ascii="Bookman Old Style" w:hAnsi="Bookman Old Style" w:cs="Arial"/>
        </w:rPr>
        <w:t>indicó</w:t>
      </w:r>
      <w:r w:rsidR="00851020" w:rsidRPr="0086458B">
        <w:rPr>
          <w:rFonts w:ascii="Bookman Old Style" w:hAnsi="Bookman Old Style" w:cs="Arial"/>
        </w:rPr>
        <w:t>:</w:t>
      </w:r>
    </w:p>
    <w:p w14:paraId="1D592E5E" w14:textId="77777777" w:rsidR="00851020" w:rsidRDefault="00851020" w:rsidP="00546105">
      <w:pPr>
        <w:ind w:left="284"/>
        <w:contextualSpacing/>
        <w:jc w:val="both"/>
        <w:rPr>
          <w:rFonts w:ascii="Bookman Old Style" w:eastAsia="MS Mincho" w:hAnsi="Bookman Old Style" w:cs="Arial"/>
          <w:lang w:val="es-CO"/>
        </w:rPr>
      </w:pPr>
    </w:p>
    <w:p w14:paraId="44EFA7CB" w14:textId="5DE1AF72" w:rsidR="00280CA8" w:rsidRDefault="00851020" w:rsidP="00A8001B">
      <w:pPr>
        <w:ind w:left="567"/>
        <w:contextualSpacing/>
        <w:jc w:val="both"/>
        <w:rPr>
          <w:rFonts w:ascii="Bookman Old Style" w:hAnsi="Bookman Old Style" w:cs="Arial"/>
          <w:bCs/>
          <w:i/>
          <w:iCs/>
          <w:sz w:val="20"/>
          <w:szCs w:val="20"/>
        </w:rPr>
      </w:pPr>
      <w:r>
        <w:rPr>
          <w:rFonts w:ascii="Bookman Old Style" w:hAnsi="Bookman Old Style" w:cs="Arial"/>
          <w:bCs/>
          <w:i/>
          <w:iCs/>
          <w:sz w:val="20"/>
          <w:szCs w:val="20"/>
        </w:rPr>
        <w:t xml:space="preserve">“(…) </w:t>
      </w:r>
      <w:r w:rsidR="00280CA8" w:rsidRPr="00CD4B83">
        <w:rPr>
          <w:rFonts w:ascii="Bookman Old Style" w:hAnsi="Bookman Old Style" w:cs="Arial"/>
          <w:bCs/>
          <w:i/>
          <w:iCs/>
          <w:sz w:val="20"/>
          <w:szCs w:val="20"/>
        </w:rPr>
        <w:t xml:space="preserve">Sobre este particular </w:t>
      </w:r>
      <w:r w:rsidR="00280CA8" w:rsidRPr="00E373D1">
        <w:rPr>
          <w:rFonts w:ascii="Bookman Old Style" w:hAnsi="Bookman Old Style" w:cs="Arial"/>
          <w:b/>
          <w:i/>
          <w:iCs/>
          <w:sz w:val="20"/>
          <w:szCs w:val="20"/>
          <w:u w:val="single"/>
        </w:rPr>
        <w:t>GENSA aclara que lo correspondiente a los puntos 1 y 2 esto es, el transformador de Santa Cruz y el transformador de ‘Puente Lata’ se alimentan directamente desde la línea a 34.5 kV</w:t>
      </w:r>
      <w:r w:rsidR="00280CA8" w:rsidRPr="00CD4B83">
        <w:rPr>
          <w:rFonts w:ascii="Bookman Old Style" w:hAnsi="Bookman Old Style" w:cs="Arial"/>
          <w:bCs/>
          <w:i/>
          <w:iCs/>
          <w:sz w:val="20"/>
          <w:szCs w:val="20"/>
        </w:rPr>
        <w:t>, sin embargo ninguno de estos dos transformadores fue entregado a GENSA para su administración, operación y mantenimiento, pues como ya se indicó en el numeral 2.1., los elementos sobre los que se le otorgó a esta sociedad el uso y goce corresponden exclusivamente a aquellos activos necesarios para la interconexión de la PCH Mitú hasta la barra de generación ubicada en la central térmica del municipio.</w:t>
      </w:r>
    </w:p>
    <w:p w14:paraId="49F1F60D" w14:textId="77777777" w:rsidR="00851020" w:rsidRPr="00CD4B83" w:rsidRDefault="00851020" w:rsidP="00A8001B">
      <w:pPr>
        <w:ind w:left="567"/>
        <w:contextualSpacing/>
        <w:jc w:val="both"/>
        <w:rPr>
          <w:rFonts w:ascii="Bookman Old Style" w:hAnsi="Bookman Old Style" w:cs="Arial"/>
          <w:bCs/>
          <w:i/>
          <w:iCs/>
          <w:sz w:val="20"/>
          <w:szCs w:val="20"/>
        </w:rPr>
      </w:pPr>
    </w:p>
    <w:p w14:paraId="627929D0" w14:textId="41C922B1" w:rsidR="00851020" w:rsidRPr="00E373D1" w:rsidRDefault="00851020" w:rsidP="00A8001B">
      <w:pPr>
        <w:ind w:left="567"/>
        <w:contextualSpacing/>
        <w:jc w:val="both"/>
        <w:rPr>
          <w:rFonts w:ascii="Bookman Old Style" w:hAnsi="Bookman Old Style" w:cs="Arial"/>
          <w:bCs/>
          <w:sz w:val="20"/>
          <w:szCs w:val="20"/>
        </w:rPr>
      </w:pPr>
      <w:r w:rsidRPr="00CD4B83">
        <w:rPr>
          <w:rFonts w:ascii="Bookman Old Style" w:hAnsi="Bookman Old Style" w:cs="Arial"/>
          <w:bCs/>
          <w:i/>
          <w:iCs/>
          <w:sz w:val="20"/>
          <w:szCs w:val="20"/>
        </w:rPr>
        <w:t xml:space="preserve">De igual forma, </w:t>
      </w:r>
      <w:r w:rsidRPr="00076445">
        <w:rPr>
          <w:rFonts w:ascii="Bookman Old Style" w:hAnsi="Bookman Old Style"/>
          <w:b/>
          <w:i/>
          <w:sz w:val="20"/>
          <w:u w:val="single"/>
        </w:rPr>
        <w:t>se informa que en esas derivaciones no se encuentra</w:t>
      </w:r>
      <w:r w:rsidRPr="00CD4B83">
        <w:rPr>
          <w:rFonts w:ascii="Bookman Old Style" w:hAnsi="Bookman Old Style" w:cs="Arial"/>
          <w:bCs/>
          <w:i/>
          <w:iCs/>
          <w:sz w:val="20"/>
          <w:szCs w:val="20"/>
        </w:rPr>
        <w:t xml:space="preserve"> ningún tipo de medición, frontera comercial y/o </w:t>
      </w:r>
      <w:r w:rsidRPr="00076445">
        <w:rPr>
          <w:rFonts w:ascii="Bookman Old Style" w:hAnsi="Bookman Old Style"/>
          <w:b/>
          <w:i/>
          <w:sz w:val="20"/>
          <w:u w:val="single"/>
        </w:rPr>
        <w:t>barra de generación.</w:t>
      </w:r>
      <w:r w:rsidRPr="00076445">
        <w:rPr>
          <w:rFonts w:ascii="Bookman Old Style" w:hAnsi="Bookman Old Style"/>
          <w:i/>
          <w:sz w:val="20"/>
          <w:u w:val="single"/>
        </w:rPr>
        <w:t xml:space="preserve"> </w:t>
      </w:r>
      <w:r w:rsidRPr="00E373D1">
        <w:rPr>
          <w:rFonts w:ascii="Bookman Old Style" w:hAnsi="Bookman Old Style" w:cs="Arial"/>
          <w:b/>
          <w:i/>
          <w:iCs/>
          <w:sz w:val="20"/>
          <w:szCs w:val="20"/>
          <w:u w:val="single"/>
        </w:rPr>
        <w:t>Se desconoce</w:t>
      </w:r>
      <w:r w:rsidRPr="00CD4B83">
        <w:rPr>
          <w:rFonts w:ascii="Bookman Old Style" w:hAnsi="Bookman Old Style" w:cs="Arial"/>
          <w:bCs/>
          <w:i/>
          <w:iCs/>
          <w:sz w:val="20"/>
          <w:szCs w:val="20"/>
        </w:rPr>
        <w:t xml:space="preserve"> la forma en que se atienden usuarios finales con los activos de la derivación, así como </w:t>
      </w:r>
      <w:r w:rsidRPr="00E373D1">
        <w:rPr>
          <w:rFonts w:ascii="Bookman Old Style" w:hAnsi="Bookman Old Style" w:cs="Arial"/>
          <w:b/>
          <w:i/>
          <w:iCs/>
          <w:sz w:val="20"/>
          <w:szCs w:val="20"/>
          <w:u w:val="single"/>
        </w:rPr>
        <w:t>las condiciones en que se realizó originalmente su conexión</w:t>
      </w:r>
      <w:r w:rsidRPr="00CD4B83">
        <w:rPr>
          <w:rFonts w:ascii="Bookman Old Style" w:hAnsi="Bookman Old Style" w:cs="Arial"/>
          <w:bCs/>
          <w:i/>
          <w:iCs/>
          <w:sz w:val="20"/>
          <w:szCs w:val="20"/>
        </w:rPr>
        <w:t>.</w:t>
      </w:r>
      <w:r>
        <w:rPr>
          <w:rFonts w:ascii="Bookman Old Style" w:hAnsi="Bookman Old Style" w:cs="Arial"/>
          <w:bCs/>
          <w:i/>
          <w:iCs/>
          <w:sz w:val="20"/>
          <w:szCs w:val="20"/>
        </w:rPr>
        <w:t xml:space="preserve"> (…)”</w:t>
      </w:r>
      <w:r w:rsidR="00E373D1">
        <w:rPr>
          <w:rFonts w:ascii="Bookman Old Style" w:hAnsi="Bookman Old Style" w:cs="Arial"/>
          <w:bCs/>
          <w:i/>
          <w:iCs/>
          <w:sz w:val="20"/>
          <w:szCs w:val="20"/>
        </w:rPr>
        <w:t xml:space="preserve"> </w:t>
      </w:r>
      <w:r w:rsidR="00E373D1" w:rsidRPr="00076445">
        <w:rPr>
          <w:rFonts w:ascii="Bookman Old Style" w:hAnsi="Bookman Old Style"/>
          <w:sz w:val="20"/>
        </w:rPr>
        <w:t>Resaltado y subrayado fuera de texto.</w:t>
      </w:r>
    </w:p>
    <w:p w14:paraId="617614B7" w14:textId="4037B78E" w:rsidR="00A2605A" w:rsidRDefault="00A2605A" w:rsidP="00546105">
      <w:pPr>
        <w:ind w:left="284"/>
        <w:contextualSpacing/>
        <w:jc w:val="both"/>
        <w:rPr>
          <w:rFonts w:ascii="Bookman Old Style" w:eastAsia="MS Mincho" w:hAnsi="Bookman Old Style" w:cs="Arial"/>
          <w:lang w:val="es-CO"/>
        </w:rPr>
      </w:pPr>
    </w:p>
    <w:p w14:paraId="7638AE9D" w14:textId="5F57B392" w:rsidR="00F54267" w:rsidRDefault="001F1F55" w:rsidP="00F54267">
      <w:pPr>
        <w:ind w:left="284"/>
        <w:contextualSpacing/>
        <w:jc w:val="both"/>
        <w:rPr>
          <w:rFonts w:ascii="Bookman Old Style" w:eastAsia="MS Mincho" w:hAnsi="Bookman Old Style" w:cs="Arial"/>
          <w:lang w:val="es-CO"/>
        </w:rPr>
      </w:pPr>
      <w:r w:rsidRPr="00076445">
        <w:rPr>
          <w:rFonts w:ascii="Bookman Old Style" w:eastAsia="MS Mincho" w:hAnsi="Bookman Old Style"/>
        </w:rPr>
        <w:t xml:space="preserve">Aunque GENSA manifiesta </w:t>
      </w:r>
      <w:r w:rsidR="00D965D1">
        <w:rPr>
          <w:rFonts w:ascii="Bookman Old Style" w:hAnsi="Bookman Old Style" w:cs="Arial"/>
        </w:rPr>
        <w:t>desconocer</w:t>
      </w:r>
      <w:r w:rsidR="009142F8">
        <w:rPr>
          <w:rFonts w:ascii="Bookman Old Style" w:hAnsi="Bookman Old Style" w:cs="Arial"/>
        </w:rPr>
        <w:t xml:space="preserve"> </w:t>
      </w:r>
      <w:r w:rsidR="00322AA1" w:rsidRPr="00322AA1">
        <w:rPr>
          <w:rFonts w:ascii="Bookman Old Style" w:hAnsi="Bookman Old Style" w:cs="Arial"/>
          <w:i/>
          <w:iCs/>
        </w:rPr>
        <w:t>“</w:t>
      </w:r>
      <w:r w:rsidRPr="00076445">
        <w:rPr>
          <w:rFonts w:ascii="Bookman Old Style" w:eastAsia="MS Mincho" w:hAnsi="Bookman Old Style"/>
          <w:i/>
        </w:rPr>
        <w:t xml:space="preserve">las condiciones en que se </w:t>
      </w:r>
      <w:r w:rsidR="00322AA1" w:rsidRPr="00322AA1">
        <w:rPr>
          <w:rFonts w:ascii="Bookman Old Style" w:hAnsi="Bookman Old Style" w:cs="Arial"/>
          <w:i/>
          <w:iCs/>
        </w:rPr>
        <w:t>realizó originalmente su conexión”</w:t>
      </w:r>
      <w:r w:rsidR="00D965D1">
        <w:rPr>
          <w:rFonts w:ascii="Bookman Old Style" w:hAnsi="Bookman Old Style" w:cs="Arial"/>
        </w:rPr>
        <w:t xml:space="preserve">, al referirse a </w:t>
      </w:r>
      <w:r w:rsidRPr="00076445">
        <w:rPr>
          <w:rFonts w:ascii="Bookman Old Style" w:eastAsia="MS Mincho" w:hAnsi="Bookman Old Style"/>
        </w:rPr>
        <w:t>las derivaciones</w:t>
      </w:r>
      <w:r w:rsidR="00D24407">
        <w:rPr>
          <w:rFonts w:ascii="Bookman Old Style" w:hAnsi="Bookman Old Style" w:cs="Arial"/>
        </w:rPr>
        <w:t xml:space="preserve"> que van a</w:t>
      </w:r>
      <w:r w:rsidR="00D24407" w:rsidRPr="00D24407">
        <w:rPr>
          <w:rFonts w:ascii="Bookman Old Style" w:hAnsi="Bookman Old Style" w:cs="Arial"/>
        </w:rPr>
        <w:t xml:space="preserve">l </w:t>
      </w:r>
      <w:r w:rsidR="00C21532" w:rsidRPr="006D3E8C">
        <w:rPr>
          <w:rFonts w:ascii="Bookman Old Style" w:hAnsi="Bookman Old Style" w:cs="Arial"/>
          <w:i/>
          <w:iCs/>
        </w:rPr>
        <w:t>“</w:t>
      </w:r>
      <w:r w:rsidR="00D24407" w:rsidRPr="006D3E8C">
        <w:rPr>
          <w:rFonts w:ascii="Bookman Old Style" w:hAnsi="Bookman Old Style" w:cs="Arial"/>
          <w:i/>
          <w:iCs/>
        </w:rPr>
        <w:t>transformador de Santa Cruz</w:t>
      </w:r>
      <w:r w:rsidR="002679FA" w:rsidRPr="00076445">
        <w:rPr>
          <w:rFonts w:ascii="Bookman Old Style" w:eastAsia="MS Mincho" w:hAnsi="Bookman Old Style"/>
          <w:i/>
        </w:rPr>
        <w:t xml:space="preserve"> y </w:t>
      </w:r>
      <w:r w:rsidR="00D24407" w:rsidRPr="006D3E8C">
        <w:rPr>
          <w:rFonts w:ascii="Bookman Old Style" w:hAnsi="Bookman Old Style" w:cs="Arial"/>
          <w:i/>
          <w:iCs/>
        </w:rPr>
        <w:t>el transformador de ‘Puente Lata’</w:t>
      </w:r>
      <w:r w:rsidR="00DD4CD7" w:rsidRPr="006D3E8C">
        <w:rPr>
          <w:rFonts w:ascii="Bookman Old Style" w:hAnsi="Bookman Old Style" w:cs="Arial"/>
          <w:i/>
          <w:iCs/>
        </w:rPr>
        <w:t>”</w:t>
      </w:r>
      <w:r w:rsidR="006D3E8C">
        <w:rPr>
          <w:rFonts w:ascii="Bookman Old Style" w:hAnsi="Bookman Old Style" w:cs="Arial"/>
        </w:rPr>
        <w:t xml:space="preserve">, que </w:t>
      </w:r>
      <w:r w:rsidR="006D3E8C" w:rsidRPr="006D3E8C">
        <w:rPr>
          <w:rFonts w:ascii="Bookman Old Style" w:hAnsi="Bookman Old Style" w:cs="Arial"/>
          <w:i/>
          <w:iCs/>
        </w:rPr>
        <w:t>“</w:t>
      </w:r>
      <w:r w:rsidR="00D24407" w:rsidRPr="006D3E8C">
        <w:rPr>
          <w:rFonts w:ascii="Bookman Old Style" w:hAnsi="Bookman Old Style" w:cs="Arial"/>
          <w:i/>
          <w:iCs/>
        </w:rPr>
        <w:t>se alimentan directamente desde la línea a 34.5 kV</w:t>
      </w:r>
      <w:r w:rsidR="006D3E8C" w:rsidRPr="006D3E8C">
        <w:rPr>
          <w:rFonts w:ascii="Bookman Old Style" w:hAnsi="Bookman Old Style" w:cs="Arial"/>
          <w:i/>
          <w:iCs/>
        </w:rPr>
        <w:t>”</w:t>
      </w:r>
      <w:r w:rsidR="00985428">
        <w:rPr>
          <w:rFonts w:ascii="Bookman Old Style" w:hAnsi="Bookman Old Style" w:cs="Arial"/>
        </w:rPr>
        <w:t xml:space="preserve">, </w:t>
      </w:r>
      <w:r w:rsidR="005B13EC">
        <w:rPr>
          <w:rFonts w:ascii="Bookman Old Style" w:hAnsi="Bookman Old Style" w:cs="Arial"/>
        </w:rPr>
        <w:t>e</w:t>
      </w:r>
      <w:r w:rsidR="00985428">
        <w:rPr>
          <w:rFonts w:ascii="Bookman Old Style" w:hAnsi="Bookman Old Style" w:cs="Arial"/>
        </w:rPr>
        <w:t xml:space="preserve">l mismo </w:t>
      </w:r>
      <w:r w:rsidR="002679FA" w:rsidRPr="00076445">
        <w:rPr>
          <w:rFonts w:ascii="Bookman Old Style" w:eastAsia="MS Mincho" w:hAnsi="Bookman Old Style"/>
        </w:rPr>
        <w:t>GENSA</w:t>
      </w:r>
      <w:r w:rsidR="008411C1" w:rsidRPr="00076445">
        <w:rPr>
          <w:rFonts w:ascii="Bookman Old Style" w:eastAsia="MS Mincho" w:hAnsi="Bookman Old Style"/>
        </w:rPr>
        <w:t xml:space="preserve">, </w:t>
      </w:r>
      <w:r w:rsidR="00985428">
        <w:rPr>
          <w:rFonts w:ascii="Bookman Old Style" w:hAnsi="Bookman Old Style" w:cs="Arial"/>
        </w:rPr>
        <w:t>m</w:t>
      </w:r>
      <w:r w:rsidR="00C83C7A" w:rsidRPr="0086458B">
        <w:rPr>
          <w:rFonts w:ascii="Bookman Old Style" w:eastAsia="MS Mincho" w:hAnsi="Bookman Old Style" w:cs="Arial"/>
        </w:rPr>
        <w:t>ediante</w:t>
      </w:r>
      <w:r w:rsidR="00F54267">
        <w:rPr>
          <w:rFonts w:ascii="Bookman Old Style" w:eastAsia="MS Mincho" w:hAnsi="Bookman Old Style" w:cs="Arial"/>
        </w:rPr>
        <w:t xml:space="preserve"> comunicación con </w:t>
      </w:r>
      <w:r w:rsidR="00F54267" w:rsidRPr="0086458B">
        <w:rPr>
          <w:rFonts w:ascii="Bookman Old Style" w:eastAsia="MS Mincho" w:hAnsi="Bookman Old Style" w:cs="Arial"/>
        </w:rPr>
        <w:t xml:space="preserve">radicado CREG </w:t>
      </w:r>
      <w:r w:rsidR="00F54267" w:rsidRPr="0086458B">
        <w:rPr>
          <w:rFonts w:ascii="Bookman Old Style" w:eastAsia="MS Mincho" w:hAnsi="Bookman Old Style" w:cs="Arial"/>
          <w:lang w:val="es-CO"/>
        </w:rPr>
        <w:t>E-2021-008133</w:t>
      </w:r>
      <w:r w:rsidR="00CE4BDE">
        <w:rPr>
          <w:rFonts w:ascii="Bookman Old Style" w:eastAsia="MS Mincho" w:hAnsi="Bookman Old Style" w:cs="Arial"/>
          <w:lang w:val="es-CO"/>
        </w:rPr>
        <w:t>,</w:t>
      </w:r>
      <w:r w:rsidR="00F54267" w:rsidRPr="00076445">
        <w:rPr>
          <w:rFonts w:ascii="Bookman Old Style" w:eastAsia="MS Mincho" w:hAnsi="Bookman Old Style"/>
          <w:lang w:val="es-CO"/>
        </w:rPr>
        <w:t xml:space="preserve"> </w:t>
      </w:r>
      <w:r w:rsidR="00F54267">
        <w:rPr>
          <w:rFonts w:ascii="Bookman Old Style" w:eastAsia="MS Mincho" w:hAnsi="Bookman Old Style" w:cs="Arial"/>
        </w:rPr>
        <w:t>informó:</w:t>
      </w:r>
    </w:p>
    <w:p w14:paraId="5C577FA7" w14:textId="77777777" w:rsidR="00F54267" w:rsidRDefault="00F54267" w:rsidP="00546105">
      <w:pPr>
        <w:ind w:left="284"/>
        <w:contextualSpacing/>
        <w:jc w:val="both"/>
        <w:rPr>
          <w:rFonts w:ascii="Bookman Old Style" w:eastAsia="MS Mincho" w:hAnsi="Bookman Old Style" w:cs="Arial"/>
          <w:lang w:val="es-CO"/>
        </w:rPr>
      </w:pPr>
    </w:p>
    <w:p w14:paraId="4C2D1B39" w14:textId="4E1E37FB" w:rsidR="00757C92" w:rsidRPr="00076445" w:rsidRDefault="00757C92" w:rsidP="00A8001B">
      <w:pPr>
        <w:ind w:left="567"/>
        <w:contextualSpacing/>
        <w:jc w:val="both"/>
        <w:rPr>
          <w:rFonts w:ascii="Bookman Old Style" w:eastAsia="MS Mincho" w:hAnsi="Bookman Old Style"/>
          <w:sz w:val="20"/>
          <w:lang w:val="es-CO"/>
        </w:rPr>
      </w:pPr>
      <w:r>
        <w:rPr>
          <w:rFonts w:ascii="Bookman Old Style" w:eastAsia="MS Mincho" w:hAnsi="Bookman Old Style" w:cs="Arial"/>
          <w:i/>
          <w:iCs/>
          <w:sz w:val="20"/>
          <w:szCs w:val="20"/>
          <w:lang w:val="es-CO"/>
        </w:rPr>
        <w:t xml:space="preserve">“(…) </w:t>
      </w:r>
      <w:r w:rsidRPr="002D2E5C">
        <w:rPr>
          <w:rFonts w:ascii="Bookman Old Style" w:eastAsia="MS Mincho" w:hAnsi="Bookman Old Style" w:cs="Arial"/>
          <w:i/>
          <w:iCs/>
          <w:sz w:val="20"/>
          <w:szCs w:val="20"/>
          <w:lang w:val="es-CO"/>
        </w:rPr>
        <w:t xml:space="preserve">una vez realizada revisión documental al interior de la compañía, se ha podido determinar que </w:t>
      </w:r>
      <w:r w:rsidRPr="00076445">
        <w:rPr>
          <w:rFonts w:ascii="Bookman Old Style" w:eastAsia="MS Mincho" w:hAnsi="Bookman Old Style"/>
          <w:b/>
          <w:i/>
          <w:sz w:val="20"/>
          <w:u w:val="single"/>
          <w:lang w:val="es-CO"/>
        </w:rPr>
        <w:t>existe un Contrato lnteradministrativo denominado GSA-090-2007, suscrito entre MINISTERIO DE MINAS Y ENERGÍA y GESTIÓN ENERGETICA S.A. E.S.P., para</w:t>
      </w:r>
      <w:r w:rsidRPr="002D2E5C">
        <w:rPr>
          <w:rFonts w:ascii="Bookman Old Style" w:eastAsia="MS Mincho" w:hAnsi="Bookman Old Style" w:cs="Arial"/>
          <w:i/>
          <w:iCs/>
          <w:sz w:val="20"/>
          <w:szCs w:val="20"/>
          <w:lang w:val="es-CO"/>
        </w:rPr>
        <w:t xml:space="preserve"> la administración general y asistencia técnica de la ejecución de los recursos FAZNI asignados a </w:t>
      </w:r>
      <w:r w:rsidRPr="00076445">
        <w:rPr>
          <w:rFonts w:ascii="Bookman Old Style" w:eastAsia="MS Mincho" w:hAnsi="Bookman Old Style"/>
          <w:b/>
          <w:i/>
          <w:sz w:val="20"/>
          <w:u w:val="single"/>
          <w:lang w:val="es-CO"/>
        </w:rPr>
        <w:t>un proyecto denominado BFAZN-</w:t>
      </w:r>
      <w:r w:rsidR="00C83C7A" w:rsidRPr="00923CBF">
        <w:rPr>
          <w:rFonts w:ascii="Bookman Old Style" w:eastAsia="MS Mincho" w:hAnsi="Bookman Old Style" w:cs="Arial"/>
          <w:b/>
          <w:bCs/>
          <w:i/>
          <w:iCs/>
          <w:sz w:val="20"/>
          <w:szCs w:val="20"/>
          <w:u w:val="single"/>
          <w:lang w:val="es-CO"/>
        </w:rPr>
        <w:t>118A</w:t>
      </w:r>
      <w:r w:rsidRPr="00076445">
        <w:rPr>
          <w:rFonts w:ascii="Bookman Old Style" w:eastAsia="MS Mincho" w:hAnsi="Bookman Old Style"/>
          <w:b/>
          <w:i/>
          <w:sz w:val="20"/>
          <w:u w:val="single"/>
          <w:lang w:val="es-CO"/>
        </w:rPr>
        <w:t>, cuyo objeto es ‘AMPLIACIÓN DE REDES RURALES DE MEDIA Y BAJA TENSIÓN EN EL MUNICIPIO DE MITÚ DEPARTAMENTO DE VAUPES’, y en el cual se contempla la comunidad de Santa Cruz</w:t>
      </w:r>
      <w:r>
        <w:rPr>
          <w:rFonts w:ascii="Bookman Old Style" w:eastAsia="MS Mincho" w:hAnsi="Bookman Old Style" w:cs="Arial"/>
          <w:i/>
          <w:iCs/>
          <w:sz w:val="20"/>
          <w:szCs w:val="20"/>
          <w:lang w:val="es-CO"/>
        </w:rPr>
        <w:t xml:space="preserve"> bajo la de</w:t>
      </w:r>
      <w:r w:rsidRPr="00E12B8E">
        <w:rPr>
          <w:rFonts w:ascii="Bookman Old Style" w:eastAsia="MS Mincho" w:hAnsi="Bookman Old Style" w:cs="Arial"/>
          <w:i/>
          <w:iCs/>
          <w:sz w:val="20"/>
          <w:szCs w:val="20"/>
          <w:lang w:val="es-CO"/>
        </w:rPr>
        <w:t xml:space="preserve">nominación de </w:t>
      </w:r>
      <w:r>
        <w:rPr>
          <w:rFonts w:ascii="Bookman Old Style" w:eastAsia="MS Mincho" w:hAnsi="Bookman Old Style" w:cs="Arial"/>
          <w:i/>
          <w:iCs/>
          <w:sz w:val="20"/>
          <w:szCs w:val="20"/>
          <w:lang w:val="es-CO"/>
        </w:rPr>
        <w:t>‘</w:t>
      </w:r>
      <w:r w:rsidRPr="00E12B8E">
        <w:rPr>
          <w:rFonts w:ascii="Bookman Old Style" w:eastAsia="MS Mincho" w:hAnsi="Bookman Old Style" w:cs="Arial"/>
          <w:i/>
          <w:iCs/>
          <w:sz w:val="20"/>
          <w:szCs w:val="20"/>
          <w:lang w:val="es-CO"/>
        </w:rPr>
        <w:t>Sector 6</w:t>
      </w:r>
      <w:r>
        <w:rPr>
          <w:rFonts w:ascii="Bookman Old Style" w:eastAsia="MS Mincho" w:hAnsi="Bookman Old Style" w:cs="Arial"/>
          <w:i/>
          <w:iCs/>
          <w:sz w:val="20"/>
          <w:szCs w:val="20"/>
          <w:lang w:val="es-CO"/>
        </w:rPr>
        <w:t>’</w:t>
      </w:r>
      <w:r w:rsidRPr="00E12B8E">
        <w:rPr>
          <w:rFonts w:ascii="Bookman Old Style" w:eastAsia="MS Mincho" w:hAnsi="Bookman Old Style" w:cs="Arial"/>
          <w:i/>
          <w:iCs/>
          <w:sz w:val="20"/>
          <w:szCs w:val="20"/>
          <w:lang w:val="es-CO"/>
        </w:rPr>
        <w:t>.</w:t>
      </w:r>
      <w:r>
        <w:rPr>
          <w:rFonts w:ascii="Bookman Old Style" w:eastAsia="MS Mincho" w:hAnsi="Bookman Old Style" w:cs="Arial"/>
          <w:i/>
          <w:iCs/>
          <w:sz w:val="20"/>
          <w:szCs w:val="20"/>
          <w:lang w:val="es-CO"/>
        </w:rPr>
        <w:t xml:space="preserve"> </w:t>
      </w:r>
      <w:r w:rsidR="00C83C7A" w:rsidRPr="286CF6A9">
        <w:rPr>
          <w:rFonts w:ascii="Bookman Old Style" w:eastAsia="MS Mincho" w:hAnsi="Bookman Old Style" w:cs="Arial"/>
          <w:i/>
          <w:iCs/>
          <w:sz w:val="20"/>
          <w:szCs w:val="20"/>
          <w:lang w:val="es-CO"/>
        </w:rPr>
        <w:t>(…)”.</w:t>
      </w:r>
      <w:r w:rsidR="005D4DF6">
        <w:rPr>
          <w:rFonts w:ascii="Bookman Old Style" w:eastAsia="MS Mincho" w:hAnsi="Bookman Old Style" w:cs="Arial"/>
          <w:sz w:val="20"/>
          <w:szCs w:val="20"/>
          <w:lang w:val="es-CO"/>
        </w:rPr>
        <w:t xml:space="preserve"> Resaltado y subrayado fuera de texto</w:t>
      </w:r>
    </w:p>
    <w:p w14:paraId="63D70D7B" w14:textId="77777777" w:rsidR="00757C92" w:rsidRDefault="00757C92" w:rsidP="00546105">
      <w:pPr>
        <w:ind w:left="284"/>
        <w:contextualSpacing/>
        <w:jc w:val="both"/>
        <w:rPr>
          <w:rFonts w:ascii="Bookman Old Style" w:eastAsia="MS Mincho" w:hAnsi="Bookman Old Style" w:cs="Arial"/>
          <w:lang w:val="es-CO"/>
        </w:rPr>
      </w:pPr>
    </w:p>
    <w:p w14:paraId="5BDE5F70" w14:textId="6D968B65" w:rsidR="00F43627" w:rsidRPr="00FE6858" w:rsidRDefault="00757C92" w:rsidP="00C83C7A">
      <w:pPr>
        <w:ind w:left="284"/>
        <w:contextualSpacing/>
        <w:jc w:val="both"/>
        <w:rPr>
          <w:rFonts w:ascii="Bookman Old Style" w:eastAsia="MS Mincho" w:hAnsi="Bookman Old Style" w:cs="Arial"/>
          <w:lang w:val="es-CO"/>
        </w:rPr>
      </w:pPr>
      <w:r w:rsidRPr="00B768C3">
        <w:rPr>
          <w:rFonts w:ascii="Bookman Old Style" w:eastAsia="MS Mincho" w:hAnsi="Bookman Old Style"/>
          <w:lang w:val="es-CO"/>
        </w:rPr>
        <w:t>Adicionalmente</w:t>
      </w:r>
      <w:r w:rsidR="00785F4F" w:rsidRPr="00B768C3">
        <w:rPr>
          <w:rFonts w:ascii="Bookman Old Style" w:eastAsia="MS Mincho" w:hAnsi="Bookman Old Style" w:cs="Arial"/>
          <w:lang w:val="es-CO"/>
        </w:rPr>
        <w:t>,</w:t>
      </w:r>
      <w:r w:rsidRPr="00B768C3">
        <w:rPr>
          <w:rFonts w:ascii="Bookman Old Style" w:eastAsia="MS Mincho" w:hAnsi="Bookman Old Style"/>
          <w:lang w:val="es-CO"/>
        </w:rPr>
        <w:t xml:space="preserve"> </w:t>
      </w:r>
      <w:r w:rsidR="00B17C21" w:rsidRPr="00B768C3">
        <w:rPr>
          <w:rFonts w:ascii="Bookman Old Style" w:eastAsia="MS Mincho" w:hAnsi="Bookman Old Style"/>
          <w:lang w:val="es-CO"/>
        </w:rPr>
        <w:t>medi</w:t>
      </w:r>
      <w:r w:rsidR="00C16E5E" w:rsidRPr="00B768C3">
        <w:rPr>
          <w:rFonts w:ascii="Bookman Old Style" w:eastAsia="MS Mincho" w:hAnsi="Bookman Old Style"/>
          <w:lang w:val="es-CO"/>
        </w:rPr>
        <w:t xml:space="preserve">ante radicado CREG </w:t>
      </w:r>
      <w:r w:rsidR="00C16E5E" w:rsidRPr="00B768C3">
        <w:rPr>
          <w:rFonts w:ascii="Bookman Old Style" w:eastAsia="MS Mincho" w:hAnsi="Bookman Old Style" w:cs="Arial"/>
          <w:lang w:val="es-CO"/>
        </w:rPr>
        <w:t>E-2021-008133</w:t>
      </w:r>
      <w:r w:rsidR="00C7274D" w:rsidRPr="00B768C3">
        <w:rPr>
          <w:rFonts w:ascii="Bookman Old Style" w:eastAsia="MS Mincho" w:hAnsi="Bookman Old Style" w:cs="Arial"/>
          <w:lang w:val="es-CO"/>
        </w:rPr>
        <w:t xml:space="preserve">, en atención a solicitud efectuada en desarrollo de la audiencia de pruebas adelanta dentro de la actuación, </w:t>
      </w:r>
      <w:r w:rsidRPr="00B768C3">
        <w:rPr>
          <w:rFonts w:ascii="Bookman Old Style" w:eastAsia="MS Mincho" w:hAnsi="Bookman Old Style"/>
          <w:lang w:val="es-CO"/>
        </w:rPr>
        <w:t xml:space="preserve">GENSA aporta actas de entrega </w:t>
      </w:r>
      <w:r w:rsidR="00F43627" w:rsidRPr="00B768C3">
        <w:rPr>
          <w:rFonts w:ascii="Bookman Old Style" w:eastAsia="MS Mincho" w:hAnsi="Bookman Old Style" w:cs="Arial"/>
          <w:lang w:val="es-CO"/>
        </w:rPr>
        <w:t xml:space="preserve">y energización </w:t>
      </w:r>
      <w:r w:rsidRPr="00B768C3">
        <w:rPr>
          <w:rFonts w:ascii="Bookman Old Style" w:eastAsia="MS Mincho" w:hAnsi="Bookman Old Style"/>
          <w:lang w:val="es-CO"/>
        </w:rPr>
        <w:t xml:space="preserve">de </w:t>
      </w:r>
      <w:r w:rsidR="00C232A3" w:rsidRPr="00B768C3">
        <w:rPr>
          <w:rFonts w:ascii="Bookman Old Style" w:eastAsia="MS Mincho" w:hAnsi="Bookman Old Style" w:cs="Arial"/>
          <w:lang w:val="es-CO"/>
        </w:rPr>
        <w:t xml:space="preserve">los contratos </w:t>
      </w:r>
      <w:r w:rsidR="00EA1765" w:rsidRPr="00B768C3">
        <w:rPr>
          <w:rFonts w:ascii="Bookman Old Style" w:eastAsia="MS Mincho" w:hAnsi="Bookman Old Style" w:cs="Arial"/>
          <w:lang w:val="es-CO"/>
        </w:rPr>
        <w:t>108</w:t>
      </w:r>
      <w:r w:rsidR="00C232A3" w:rsidRPr="00B768C3">
        <w:rPr>
          <w:rFonts w:ascii="Bookman Old Style" w:eastAsia="MS Mincho" w:hAnsi="Bookman Old Style" w:cs="Arial"/>
          <w:lang w:val="es-CO"/>
        </w:rPr>
        <w:t xml:space="preserve">, </w:t>
      </w:r>
      <w:r w:rsidR="00EA1765" w:rsidRPr="00B768C3">
        <w:rPr>
          <w:rFonts w:ascii="Bookman Old Style" w:eastAsia="MS Mincho" w:hAnsi="Bookman Old Style" w:cs="Arial"/>
          <w:lang w:val="es-CO"/>
        </w:rPr>
        <w:t>117, 118</w:t>
      </w:r>
      <w:r w:rsidR="00C232A3" w:rsidRPr="00B768C3">
        <w:rPr>
          <w:rFonts w:ascii="Bookman Old Style" w:eastAsia="MS Mincho" w:hAnsi="Bookman Old Style" w:cs="Arial"/>
          <w:lang w:val="es-CO"/>
        </w:rPr>
        <w:t xml:space="preserve"> y </w:t>
      </w:r>
      <w:r w:rsidR="00EA1765" w:rsidRPr="00B768C3">
        <w:rPr>
          <w:rFonts w:ascii="Bookman Old Style" w:eastAsia="MS Mincho" w:hAnsi="Bookman Old Style" w:cs="Arial"/>
          <w:lang w:val="es-CO"/>
        </w:rPr>
        <w:t>121</w:t>
      </w:r>
      <w:r w:rsidR="00C232A3" w:rsidRPr="00B768C3">
        <w:rPr>
          <w:rFonts w:ascii="Bookman Old Style" w:eastAsia="MS Mincho" w:hAnsi="Bookman Old Style" w:cs="Arial"/>
          <w:lang w:val="es-CO"/>
        </w:rPr>
        <w:t xml:space="preserve"> </w:t>
      </w:r>
      <w:r w:rsidR="004D3634" w:rsidRPr="00B768C3">
        <w:rPr>
          <w:rFonts w:ascii="Bookman Old Style" w:eastAsia="MS Mincho" w:hAnsi="Bookman Old Style" w:cs="Arial"/>
          <w:lang w:val="es-CO"/>
        </w:rPr>
        <w:t xml:space="preserve">correspondientes </w:t>
      </w:r>
      <w:r w:rsidR="00C232A3" w:rsidRPr="00B768C3">
        <w:rPr>
          <w:rFonts w:ascii="Bookman Old Style" w:eastAsia="MS Mincho" w:hAnsi="Bookman Old Style" w:cs="Arial"/>
          <w:lang w:val="es-CO"/>
        </w:rPr>
        <w:t xml:space="preserve">al referido Proyecto </w:t>
      </w:r>
      <w:r w:rsidR="00EA1765" w:rsidRPr="00B768C3">
        <w:rPr>
          <w:rFonts w:ascii="Bookman Old Style" w:eastAsia="MS Mincho" w:hAnsi="Bookman Old Style" w:cs="Arial"/>
          <w:lang w:val="es-CO"/>
        </w:rPr>
        <w:t>B</w:t>
      </w:r>
      <w:r w:rsidR="00C232A3" w:rsidRPr="00B768C3">
        <w:rPr>
          <w:rFonts w:ascii="Bookman Old Style" w:eastAsia="MS Mincho" w:hAnsi="Bookman Old Style" w:cs="Arial"/>
          <w:lang w:val="es-CO"/>
        </w:rPr>
        <w:t>FAZNI 118 A</w:t>
      </w:r>
      <w:r w:rsidR="006F2D5E" w:rsidRPr="00B768C3">
        <w:rPr>
          <w:rFonts w:ascii="Bookman Old Style" w:eastAsia="MS Mincho" w:hAnsi="Bookman Old Style" w:cs="Arial"/>
          <w:lang w:val="es-CO"/>
        </w:rPr>
        <w:t>.</w:t>
      </w:r>
      <w:r w:rsidR="00F43627" w:rsidRPr="00B768C3">
        <w:rPr>
          <w:rFonts w:ascii="Bookman Old Style" w:eastAsia="MS Mincho" w:hAnsi="Bookman Old Style" w:cs="Arial"/>
          <w:lang w:val="es-CO"/>
        </w:rPr>
        <w:t xml:space="preserve"> </w:t>
      </w:r>
      <w:r w:rsidR="006F2D5E" w:rsidRPr="00B768C3">
        <w:rPr>
          <w:rFonts w:ascii="Bookman Old Style" w:eastAsia="MS Mincho" w:hAnsi="Bookman Old Style" w:cs="Arial"/>
          <w:lang w:val="es-CO"/>
        </w:rPr>
        <w:t xml:space="preserve">En </w:t>
      </w:r>
      <w:r w:rsidR="004951E1" w:rsidRPr="00B768C3">
        <w:rPr>
          <w:rFonts w:ascii="Bookman Old Style" w:eastAsia="MS Mincho" w:hAnsi="Bookman Old Style" w:cs="Arial"/>
          <w:lang w:val="es-CO"/>
        </w:rPr>
        <w:t xml:space="preserve">el </w:t>
      </w:r>
      <w:r w:rsidR="00A608EE" w:rsidRPr="00B768C3">
        <w:rPr>
          <w:rFonts w:ascii="Bookman Old Style" w:eastAsia="MS Mincho" w:hAnsi="Bookman Old Style" w:cs="Arial"/>
          <w:lang w:val="es-CO"/>
        </w:rPr>
        <w:t>“</w:t>
      </w:r>
      <w:r w:rsidR="00D05CDC" w:rsidRPr="00B768C3">
        <w:rPr>
          <w:rFonts w:ascii="Bookman Old Style" w:eastAsia="MS Mincho" w:hAnsi="Bookman Old Style" w:cs="Arial"/>
          <w:i/>
          <w:lang w:val="es-CO"/>
        </w:rPr>
        <w:t>ACTA DE ENERGIZACIÓN Y ENTREGA DE INFRAESTRUCTURA</w:t>
      </w:r>
      <w:r w:rsidR="004D18C3" w:rsidRPr="00B768C3">
        <w:rPr>
          <w:rFonts w:ascii="Bookman Old Style" w:eastAsia="MS Mincho" w:hAnsi="Bookman Old Style" w:cs="Arial"/>
          <w:i/>
          <w:lang w:val="es-CO"/>
        </w:rPr>
        <w:t>”</w:t>
      </w:r>
      <w:r w:rsidR="004D18C3" w:rsidRPr="00B768C3">
        <w:rPr>
          <w:rFonts w:ascii="Bookman Old Style" w:eastAsia="MS Mincho" w:hAnsi="Bookman Old Style" w:cs="Arial"/>
          <w:iCs/>
          <w:lang w:val="es-CO"/>
        </w:rPr>
        <w:t xml:space="preserve"> </w:t>
      </w:r>
      <w:r w:rsidR="00EE1B5D" w:rsidRPr="00B768C3">
        <w:rPr>
          <w:rFonts w:ascii="Bookman Old Style" w:eastAsia="MS Mincho" w:hAnsi="Bookman Old Style" w:cs="Arial"/>
          <w:lang w:val="es-CO"/>
        </w:rPr>
        <w:t>de la infraestructura construida bajo los recursos asignados al Proyecto BFAZNI-</w:t>
      </w:r>
      <w:r w:rsidR="7B029C0E" w:rsidRPr="4E83867A">
        <w:rPr>
          <w:rFonts w:ascii="Bookman Old Style" w:eastAsia="MS Mincho" w:hAnsi="Bookman Old Style" w:cs="Arial"/>
          <w:lang w:val="es-CO"/>
        </w:rPr>
        <w:t>118A</w:t>
      </w:r>
      <w:r w:rsidR="00EE1B5D" w:rsidRPr="00FE6858">
        <w:rPr>
          <w:rFonts w:ascii="Bookman Old Style" w:eastAsia="MS Mincho" w:hAnsi="Bookman Old Style" w:cs="Arial"/>
          <w:lang w:val="es-CO"/>
        </w:rPr>
        <w:t>,</w:t>
      </w:r>
      <w:r w:rsidR="005B1B26" w:rsidRPr="00FE6858">
        <w:rPr>
          <w:rFonts w:ascii="Bookman Old Style" w:eastAsia="MS Mincho" w:hAnsi="Bookman Old Style" w:cs="Arial"/>
          <w:lang w:val="es-CO"/>
        </w:rPr>
        <w:t xml:space="preserve"> </w:t>
      </w:r>
      <w:r w:rsidR="004D18C3" w:rsidRPr="00FE6858">
        <w:rPr>
          <w:rFonts w:ascii="Bookman Old Style" w:eastAsia="MS Mincho" w:hAnsi="Bookman Old Style" w:cs="Arial"/>
          <w:lang w:val="es-CO"/>
        </w:rPr>
        <w:t xml:space="preserve">suscrita el 23 de febrero de 2015, </w:t>
      </w:r>
      <w:r w:rsidR="005B1B26" w:rsidRPr="00FE6858">
        <w:rPr>
          <w:rFonts w:ascii="Bookman Old Style" w:eastAsia="MS Mincho" w:hAnsi="Bookman Old Style" w:cs="Arial"/>
          <w:lang w:val="es-CO"/>
        </w:rPr>
        <w:t>se indicó</w:t>
      </w:r>
      <w:r w:rsidR="00F43627" w:rsidRPr="00FE6858">
        <w:rPr>
          <w:rFonts w:ascii="Bookman Old Style" w:eastAsia="MS Mincho" w:hAnsi="Bookman Old Style" w:cs="Arial"/>
          <w:lang w:val="es-CO"/>
        </w:rPr>
        <w:t>:</w:t>
      </w:r>
    </w:p>
    <w:p w14:paraId="7D003CD3" w14:textId="77777777" w:rsidR="00F43627" w:rsidRPr="00B768C3" w:rsidRDefault="00F43627" w:rsidP="00C83C7A">
      <w:pPr>
        <w:ind w:left="284"/>
        <w:contextualSpacing/>
        <w:jc w:val="both"/>
        <w:rPr>
          <w:rFonts w:ascii="Bookman Old Style" w:eastAsia="MS Mincho" w:hAnsi="Bookman Old Style" w:cs="Arial"/>
          <w:lang w:val="es-CO"/>
        </w:rPr>
      </w:pPr>
    </w:p>
    <w:p w14:paraId="4875819C" w14:textId="6E4B79F6" w:rsidR="00C637BC" w:rsidRPr="00B768C3" w:rsidRDefault="00121731" w:rsidP="00A8001B">
      <w:pPr>
        <w:ind w:left="567"/>
        <w:contextualSpacing/>
        <w:jc w:val="both"/>
        <w:rPr>
          <w:rFonts w:ascii="Bookman Old Style" w:eastAsia="MS Mincho" w:hAnsi="Bookman Old Style" w:cs="Arial"/>
          <w:i/>
          <w:sz w:val="20"/>
          <w:szCs w:val="20"/>
          <w:lang w:val="es-CO"/>
        </w:rPr>
      </w:pPr>
      <w:r w:rsidRPr="00B768C3">
        <w:rPr>
          <w:rFonts w:ascii="Bookman Old Style" w:eastAsia="MS Mincho" w:hAnsi="Bookman Old Style" w:cs="Arial"/>
          <w:i/>
          <w:iCs/>
          <w:sz w:val="20"/>
          <w:szCs w:val="20"/>
          <w:lang w:val="es-CO"/>
        </w:rPr>
        <w:t xml:space="preserve">“(…) </w:t>
      </w:r>
      <w:r w:rsidRPr="00B768C3">
        <w:rPr>
          <w:rFonts w:ascii="Bookman Old Style" w:eastAsia="MS Mincho" w:hAnsi="Bookman Old Style" w:cs="Arial"/>
          <w:b/>
          <w:bCs/>
          <w:i/>
          <w:iCs/>
          <w:sz w:val="20"/>
          <w:szCs w:val="20"/>
          <w:u w:val="single"/>
          <w:lang w:val="es-CO"/>
        </w:rPr>
        <w:t>La Gobernación</w:t>
      </w:r>
      <w:r w:rsidRPr="00B768C3">
        <w:rPr>
          <w:rFonts w:ascii="Bookman Old Style" w:eastAsia="MS Mincho" w:hAnsi="Bookman Old Style" w:cs="Arial"/>
          <w:b/>
          <w:bCs/>
          <w:i/>
          <w:sz w:val="20"/>
          <w:szCs w:val="20"/>
          <w:u w:val="single"/>
          <w:lang w:val="es-CO"/>
        </w:rPr>
        <w:t xml:space="preserve"> del Vaupés</w:t>
      </w:r>
      <w:r w:rsidRPr="00B768C3">
        <w:rPr>
          <w:rFonts w:ascii="Bookman Old Style" w:eastAsia="MS Mincho" w:hAnsi="Bookman Old Style" w:cs="Arial"/>
          <w:i/>
          <w:sz w:val="20"/>
          <w:szCs w:val="20"/>
          <w:lang w:val="es-CO"/>
        </w:rPr>
        <w:t xml:space="preserve"> a través de la Secretaria de Obras Públicas Departamental, </w:t>
      </w:r>
      <w:r w:rsidRPr="00B768C3">
        <w:rPr>
          <w:rFonts w:ascii="Bookman Old Style" w:eastAsia="MS Mincho" w:hAnsi="Bookman Old Style" w:cs="Arial"/>
          <w:b/>
          <w:bCs/>
          <w:i/>
          <w:sz w:val="20"/>
          <w:szCs w:val="20"/>
          <w:u w:val="single"/>
          <w:lang w:val="es-CO"/>
        </w:rPr>
        <w:t xml:space="preserve">ha realizado las verificaciones directas para establecer que </w:t>
      </w:r>
      <w:r w:rsidR="00757C92" w:rsidRPr="00B768C3">
        <w:rPr>
          <w:rFonts w:ascii="Bookman Old Style" w:eastAsia="MS Mincho" w:hAnsi="Bookman Old Style"/>
          <w:b/>
          <w:i/>
          <w:sz w:val="20"/>
          <w:szCs w:val="20"/>
          <w:u w:val="single"/>
          <w:lang w:val="es-CO"/>
        </w:rPr>
        <w:t xml:space="preserve">las </w:t>
      </w:r>
      <w:r w:rsidR="008C15A7" w:rsidRPr="00B768C3">
        <w:rPr>
          <w:rFonts w:ascii="Bookman Old Style" w:eastAsia="MS Mincho" w:hAnsi="Bookman Old Style"/>
          <w:b/>
          <w:i/>
          <w:sz w:val="20"/>
          <w:szCs w:val="20"/>
          <w:u w:val="single"/>
          <w:lang w:val="es-CO"/>
        </w:rPr>
        <w:t xml:space="preserve">redes </w:t>
      </w:r>
      <w:r w:rsidRPr="00B768C3">
        <w:rPr>
          <w:rFonts w:ascii="Bookman Old Style" w:eastAsia="MS Mincho" w:hAnsi="Bookman Old Style" w:cs="Arial"/>
          <w:b/>
          <w:bCs/>
          <w:i/>
          <w:sz w:val="20"/>
          <w:szCs w:val="20"/>
          <w:u w:val="single"/>
          <w:lang w:val="es-CO"/>
        </w:rPr>
        <w:t>en Media y Baja tensión en los sectores comprendidos entre la Subestación Mitú y las poblaciones de</w:t>
      </w:r>
      <w:r w:rsidRPr="00B768C3">
        <w:rPr>
          <w:rFonts w:ascii="Bookman Old Style" w:eastAsia="MS Mincho" w:hAnsi="Bookman Old Style" w:cs="Arial"/>
          <w:i/>
          <w:sz w:val="20"/>
          <w:szCs w:val="20"/>
          <w:lang w:val="es-CO"/>
        </w:rPr>
        <w:t xml:space="preserve"> Caño Mituceño (carretera</w:t>
      </w:r>
      <w:r w:rsidR="00BE1C00" w:rsidRPr="00B768C3">
        <w:rPr>
          <w:rFonts w:ascii="Bookman Old Style" w:eastAsia="MS Mincho" w:hAnsi="Bookman Old Style" w:cs="Arial"/>
          <w:i/>
          <w:sz w:val="20"/>
          <w:szCs w:val="20"/>
          <w:lang w:val="es-CO"/>
        </w:rPr>
        <w:t>)</w:t>
      </w:r>
      <w:r w:rsidRPr="00B768C3">
        <w:rPr>
          <w:rFonts w:ascii="Bookman Old Style" w:eastAsia="MS Mincho" w:hAnsi="Bookman Old Style" w:cs="Arial"/>
          <w:i/>
          <w:sz w:val="20"/>
          <w:szCs w:val="20"/>
          <w:lang w:val="es-CO"/>
        </w:rPr>
        <w:t xml:space="preserve">, Ceima Cachivera, Ceirna San Pablo, La Sabana, Cucura, Pueblo Nuevo, Yararaca, </w:t>
      </w:r>
      <w:r w:rsidRPr="00B768C3">
        <w:rPr>
          <w:rFonts w:ascii="Bookman Old Style" w:eastAsia="MS Mincho" w:hAnsi="Bookman Old Style" w:cs="Arial"/>
          <w:b/>
          <w:bCs/>
          <w:i/>
          <w:sz w:val="20"/>
          <w:szCs w:val="20"/>
          <w:u w:val="single"/>
          <w:lang w:val="es-CO"/>
        </w:rPr>
        <w:t>Puente de Lata (Torre No. 52)</w:t>
      </w:r>
      <w:r w:rsidRPr="00B768C3">
        <w:rPr>
          <w:rFonts w:ascii="Bookman Old Style" w:eastAsia="MS Mincho" w:hAnsi="Bookman Old Style" w:cs="Arial"/>
          <w:i/>
          <w:sz w:val="20"/>
          <w:szCs w:val="20"/>
          <w:lang w:val="es-CO"/>
        </w:rPr>
        <w:t xml:space="preserve">, Puerto Paloma, Puerto Esperanza, Tucandira, Muratinqa, Timbo de Betania </w:t>
      </w:r>
      <w:r w:rsidRPr="00B768C3">
        <w:rPr>
          <w:rFonts w:ascii="Bookman Old Style" w:eastAsia="MS Mincho" w:hAnsi="Bookman Old Style" w:cs="Arial"/>
          <w:b/>
          <w:bCs/>
          <w:i/>
          <w:sz w:val="20"/>
          <w:szCs w:val="20"/>
          <w:u w:val="single"/>
          <w:lang w:val="es-CO"/>
        </w:rPr>
        <w:t>y Santa Cruz cumplen con la normatividad eléctrica y las normas del IPSE</w:t>
      </w:r>
      <w:r w:rsidR="008A7DCF" w:rsidRPr="00B768C3">
        <w:rPr>
          <w:rFonts w:ascii="Bookman Old Style" w:eastAsia="MS Mincho" w:hAnsi="Bookman Old Style" w:cs="Arial"/>
          <w:b/>
          <w:bCs/>
          <w:i/>
          <w:sz w:val="20"/>
          <w:szCs w:val="20"/>
          <w:u w:val="single"/>
          <w:lang w:val="es-CO"/>
        </w:rPr>
        <w:t>.</w:t>
      </w:r>
      <w:r w:rsidR="008A7DCF" w:rsidRPr="00B768C3">
        <w:rPr>
          <w:rFonts w:ascii="Bookman Old Style" w:eastAsia="MS Mincho" w:hAnsi="Bookman Old Style" w:cs="Arial"/>
          <w:i/>
          <w:sz w:val="20"/>
          <w:szCs w:val="20"/>
          <w:lang w:val="es-CO"/>
        </w:rPr>
        <w:t xml:space="preserve"> (…)</w:t>
      </w:r>
    </w:p>
    <w:p w14:paraId="7E7986C7" w14:textId="77777777" w:rsidR="00C637BC" w:rsidRPr="00C637BC" w:rsidRDefault="00C637BC" w:rsidP="00A8001B">
      <w:pPr>
        <w:ind w:left="567"/>
        <w:contextualSpacing/>
        <w:jc w:val="both"/>
        <w:rPr>
          <w:rFonts w:ascii="Bookman Old Style" w:eastAsia="MS Mincho" w:hAnsi="Bookman Old Style" w:cs="Arial"/>
          <w:i/>
          <w:sz w:val="20"/>
          <w:szCs w:val="20"/>
          <w:highlight w:val="yellow"/>
          <w:lang w:val="es-CO"/>
        </w:rPr>
      </w:pPr>
    </w:p>
    <w:p w14:paraId="30EA52F1" w14:textId="11301480" w:rsidR="00131C42" w:rsidRPr="00DB32D7" w:rsidRDefault="00C637BC" w:rsidP="00A8001B">
      <w:pPr>
        <w:ind w:left="567"/>
        <w:contextualSpacing/>
        <w:jc w:val="both"/>
        <w:rPr>
          <w:rFonts w:ascii="Bookman Old Style" w:eastAsia="MS Mincho" w:hAnsi="Bookman Old Style" w:cs="Arial"/>
          <w:iCs/>
          <w:sz w:val="20"/>
          <w:szCs w:val="20"/>
          <w:lang w:val="es-CO"/>
        </w:rPr>
      </w:pPr>
      <w:r w:rsidRPr="00C637BC">
        <w:rPr>
          <w:rFonts w:ascii="Bookman Old Style" w:eastAsia="MS Mincho" w:hAnsi="Bookman Old Style" w:cs="Arial"/>
          <w:i/>
          <w:sz w:val="20"/>
          <w:szCs w:val="20"/>
          <w:lang w:val="es-CO"/>
        </w:rPr>
        <w:t xml:space="preserve">PRIMERO-. </w:t>
      </w:r>
      <w:r w:rsidRPr="00D0114A">
        <w:rPr>
          <w:rFonts w:ascii="Bookman Old Style" w:eastAsia="MS Mincho" w:hAnsi="Bookman Old Style" w:cs="Arial"/>
          <w:b/>
          <w:bCs/>
          <w:i/>
          <w:sz w:val="20"/>
          <w:szCs w:val="20"/>
          <w:u w:val="single"/>
          <w:lang w:val="es-CO"/>
        </w:rPr>
        <w:t>Entregar por parte de GENSA S.A. ESP</w:t>
      </w:r>
      <w:r w:rsidRPr="00C637BC">
        <w:rPr>
          <w:rFonts w:ascii="Bookman Old Style" w:eastAsia="MS Mincho" w:hAnsi="Bookman Old Style" w:cs="Arial"/>
          <w:i/>
          <w:sz w:val="20"/>
          <w:szCs w:val="20"/>
          <w:lang w:val="es-CO"/>
        </w:rPr>
        <w:t xml:space="preserve"> y recibir por parte de La Gobernación del Vaupés a través de la Secretaria de Obras Públicas Departamental, </w:t>
      </w:r>
      <w:r w:rsidRPr="00D0114A">
        <w:rPr>
          <w:rFonts w:ascii="Bookman Old Style" w:eastAsia="MS Mincho" w:hAnsi="Bookman Old Style" w:cs="Arial"/>
          <w:b/>
          <w:bCs/>
          <w:i/>
          <w:sz w:val="20"/>
          <w:szCs w:val="20"/>
          <w:u w:val="single"/>
          <w:lang w:val="es-CO"/>
        </w:rPr>
        <w:t>las redes en Media y Baja tensión en los sectores comprendidos entre la Subestación Mitú y las poblaciones de:</w:t>
      </w:r>
      <w:r w:rsidRPr="00C637BC">
        <w:rPr>
          <w:rFonts w:ascii="Bookman Old Style" w:eastAsia="MS Mincho" w:hAnsi="Bookman Old Style" w:cs="Arial"/>
          <w:i/>
          <w:sz w:val="20"/>
          <w:szCs w:val="20"/>
          <w:lang w:val="es-CO"/>
        </w:rPr>
        <w:t xml:space="preserve"> Caño Mituceño (carretera), Ceima Cachivera, Ceima San Pablo, La Sabana, Cucura, Pueblo Nuevo, Yararaca, </w:t>
      </w:r>
      <w:r w:rsidRPr="00D0114A">
        <w:rPr>
          <w:rFonts w:ascii="Bookman Old Style" w:eastAsia="MS Mincho" w:hAnsi="Bookman Old Style" w:cs="Arial"/>
          <w:b/>
          <w:bCs/>
          <w:i/>
          <w:sz w:val="20"/>
          <w:szCs w:val="20"/>
          <w:u w:val="single"/>
          <w:lang w:val="es-CO"/>
        </w:rPr>
        <w:t>Puente de Lata (Torre N</w:t>
      </w:r>
      <w:r w:rsidR="00D0114A" w:rsidRPr="00D0114A">
        <w:rPr>
          <w:rFonts w:ascii="Bookman Old Style" w:eastAsia="MS Mincho" w:hAnsi="Bookman Old Style" w:cs="Arial"/>
          <w:b/>
          <w:bCs/>
          <w:i/>
          <w:sz w:val="20"/>
          <w:szCs w:val="20"/>
          <w:u w:val="single"/>
          <w:lang w:val="es-CO"/>
        </w:rPr>
        <w:t>o</w:t>
      </w:r>
      <w:r w:rsidRPr="00D0114A">
        <w:rPr>
          <w:rFonts w:ascii="Bookman Old Style" w:eastAsia="MS Mincho" w:hAnsi="Bookman Old Style" w:cs="Arial"/>
          <w:b/>
          <w:bCs/>
          <w:i/>
          <w:sz w:val="20"/>
          <w:szCs w:val="20"/>
          <w:u w:val="single"/>
          <w:lang w:val="es-CO"/>
        </w:rPr>
        <w:t>. 52)</w:t>
      </w:r>
      <w:r w:rsidRPr="00C637BC">
        <w:rPr>
          <w:rFonts w:ascii="Bookman Old Style" w:eastAsia="MS Mincho" w:hAnsi="Bookman Old Style" w:cs="Arial"/>
          <w:i/>
          <w:sz w:val="20"/>
          <w:szCs w:val="20"/>
          <w:lang w:val="es-CO"/>
        </w:rPr>
        <w:t xml:space="preserve">, Puerto Paloma, Puerto Esperanza, Tucandira, Muratinga, Timbo de Betania </w:t>
      </w:r>
      <w:r w:rsidRPr="00AA3B67">
        <w:rPr>
          <w:rFonts w:ascii="Bookman Old Style" w:eastAsia="MS Mincho" w:hAnsi="Bookman Old Style" w:cs="Arial"/>
          <w:b/>
          <w:bCs/>
          <w:i/>
          <w:sz w:val="20"/>
          <w:szCs w:val="20"/>
          <w:u w:val="single"/>
          <w:lang w:val="es-CO"/>
        </w:rPr>
        <w:t>y Santa Cruz, la cual se entrega en perfectas condiciones de funcionamiento</w:t>
      </w:r>
      <w:r w:rsidRPr="00C637BC">
        <w:rPr>
          <w:rFonts w:ascii="Bookman Old Style" w:eastAsia="MS Mincho" w:hAnsi="Bookman Old Style" w:cs="Arial"/>
          <w:i/>
          <w:sz w:val="20"/>
          <w:szCs w:val="20"/>
          <w:lang w:val="es-CO"/>
        </w:rPr>
        <w:t xml:space="preserve"> y conforme a las cantidades relacionadas y que son entregadas igualmente en el documento denominado </w:t>
      </w:r>
      <w:r w:rsidR="00282A32">
        <w:rPr>
          <w:rFonts w:ascii="Bookman Old Style" w:eastAsia="MS Mincho" w:hAnsi="Bookman Old Style" w:cs="Arial"/>
          <w:i/>
          <w:sz w:val="20"/>
          <w:szCs w:val="20"/>
          <w:lang w:val="es-CO"/>
        </w:rPr>
        <w:t>‘</w:t>
      </w:r>
      <w:r w:rsidRPr="00C637BC">
        <w:rPr>
          <w:rFonts w:ascii="Bookman Old Style" w:eastAsia="MS Mincho" w:hAnsi="Bookman Old Style" w:cs="Arial"/>
          <w:i/>
          <w:sz w:val="20"/>
          <w:szCs w:val="20"/>
          <w:lang w:val="es-CO"/>
        </w:rPr>
        <w:t>Anexo 01</w:t>
      </w:r>
      <w:r w:rsidR="00282A32">
        <w:rPr>
          <w:rFonts w:ascii="Bookman Old Style" w:eastAsia="MS Mincho" w:hAnsi="Bookman Old Style" w:cs="Arial"/>
          <w:i/>
          <w:sz w:val="20"/>
          <w:szCs w:val="20"/>
          <w:lang w:val="es-CO"/>
        </w:rPr>
        <w:t>’</w:t>
      </w:r>
      <w:r w:rsidRPr="00C637BC">
        <w:rPr>
          <w:rFonts w:ascii="Bookman Old Style" w:eastAsia="MS Mincho" w:hAnsi="Bookman Old Style" w:cs="Arial"/>
          <w:i/>
          <w:sz w:val="20"/>
          <w:szCs w:val="20"/>
          <w:lang w:val="es-CO"/>
        </w:rPr>
        <w:t>, en el que se señalan, las c</w:t>
      </w:r>
      <w:r w:rsidRPr="009F1520">
        <w:rPr>
          <w:rFonts w:ascii="Bookman Old Style" w:eastAsia="MS Mincho" w:hAnsi="Bookman Old Style" w:cs="Arial"/>
          <w:i/>
          <w:sz w:val="20"/>
          <w:szCs w:val="20"/>
          <w:lang w:val="es-CO"/>
        </w:rPr>
        <w:t>antidades de obra construidas y las unidades constructivas correspondientes de conformidad a la resolución 097-2008 de la CREG.</w:t>
      </w:r>
      <w:r w:rsidR="009F1520">
        <w:rPr>
          <w:rFonts w:ascii="Bookman Old Style" w:eastAsia="MS Mincho" w:hAnsi="Bookman Old Style" w:cs="Arial"/>
          <w:i/>
          <w:sz w:val="20"/>
          <w:szCs w:val="20"/>
          <w:lang w:val="es-CO"/>
        </w:rPr>
        <w:t xml:space="preserve"> (…)</w:t>
      </w:r>
      <w:r w:rsidR="00121731" w:rsidRPr="009F1520">
        <w:rPr>
          <w:rFonts w:ascii="Bookman Old Style" w:eastAsia="MS Mincho" w:hAnsi="Bookman Old Style" w:cs="Arial"/>
          <w:i/>
          <w:sz w:val="20"/>
          <w:szCs w:val="20"/>
          <w:lang w:val="es-CO"/>
        </w:rPr>
        <w:t>”</w:t>
      </w:r>
      <w:r w:rsidR="00DB32D7">
        <w:rPr>
          <w:rFonts w:ascii="Bookman Old Style" w:eastAsia="MS Mincho" w:hAnsi="Bookman Old Style" w:cs="Arial"/>
          <w:iCs/>
          <w:sz w:val="20"/>
          <w:szCs w:val="20"/>
          <w:lang w:val="es-CO"/>
        </w:rPr>
        <w:t xml:space="preserve"> Resaltado y subrayado fuera de texto</w:t>
      </w:r>
    </w:p>
    <w:p w14:paraId="287CBE2B" w14:textId="77777777" w:rsidR="00D95610" w:rsidRDefault="00D95610" w:rsidP="00D95610">
      <w:pPr>
        <w:ind w:left="284"/>
        <w:contextualSpacing/>
        <w:jc w:val="both"/>
        <w:rPr>
          <w:rFonts w:ascii="Bookman Old Style" w:hAnsi="Bookman Old Style" w:cs="Arial"/>
        </w:rPr>
      </w:pPr>
    </w:p>
    <w:p w14:paraId="0DA3F0E0" w14:textId="1E5EABDA" w:rsidR="00F54267" w:rsidRPr="00F30A6A" w:rsidRDefault="00D95610" w:rsidP="00546105">
      <w:pPr>
        <w:ind w:left="284"/>
        <w:contextualSpacing/>
        <w:jc w:val="both"/>
        <w:rPr>
          <w:rFonts w:ascii="Bookman Old Style" w:eastAsia="MS Mincho" w:hAnsi="Bookman Old Style"/>
        </w:rPr>
      </w:pPr>
      <w:r>
        <w:rPr>
          <w:rFonts w:ascii="Bookman Old Style" w:hAnsi="Bookman Old Style" w:cs="Arial"/>
        </w:rPr>
        <w:t>Por su parte, sobre la existencia de las</w:t>
      </w:r>
      <w:r w:rsidR="008C15A7" w:rsidRPr="00F30A6A">
        <w:rPr>
          <w:rFonts w:ascii="Bookman Old Style" w:eastAsia="MS Mincho" w:hAnsi="Bookman Old Style"/>
        </w:rPr>
        <w:t xml:space="preserve"> derivaciones</w:t>
      </w:r>
      <w:r>
        <w:rPr>
          <w:rFonts w:ascii="Bookman Old Style" w:hAnsi="Bookman Old Style" w:cs="Arial"/>
        </w:rPr>
        <w:t xml:space="preserve"> de la línea de 34.5kV, el MME en su informe técnico de visita a Mitú, con número de radicado </w:t>
      </w:r>
      <w:r w:rsidRPr="0086458B">
        <w:rPr>
          <w:rFonts w:ascii="Bookman Old Style" w:hAnsi="Bookman Old Style" w:cs="Arial"/>
        </w:rPr>
        <w:t>CREG E-2021-003201</w:t>
      </w:r>
      <w:r>
        <w:rPr>
          <w:rFonts w:ascii="Bookman Old Style" w:hAnsi="Bookman Old Style" w:cs="Arial"/>
        </w:rPr>
        <w:t>, indicó</w:t>
      </w:r>
      <w:r w:rsidRPr="0086458B">
        <w:rPr>
          <w:rFonts w:ascii="Bookman Old Style" w:hAnsi="Bookman Old Style" w:cs="Arial"/>
        </w:rPr>
        <w:t>:</w:t>
      </w:r>
    </w:p>
    <w:p w14:paraId="296884EF" w14:textId="77777777" w:rsidR="00F54267" w:rsidRPr="00F30A6A" w:rsidRDefault="00F54267" w:rsidP="00546105">
      <w:pPr>
        <w:ind w:left="284"/>
        <w:contextualSpacing/>
        <w:jc w:val="both"/>
        <w:rPr>
          <w:rFonts w:ascii="Bookman Old Style" w:eastAsia="MS Mincho" w:hAnsi="Bookman Old Style"/>
        </w:rPr>
      </w:pPr>
    </w:p>
    <w:p w14:paraId="0179408D" w14:textId="77777777" w:rsidR="00A2605A" w:rsidRDefault="00D95610" w:rsidP="00A8001B">
      <w:pPr>
        <w:ind w:left="567"/>
        <w:contextualSpacing/>
        <w:jc w:val="both"/>
        <w:rPr>
          <w:rFonts w:ascii="Bookman Old Style" w:hAnsi="Bookman Old Style" w:cs="Arial"/>
          <w:i/>
          <w:iCs/>
          <w:sz w:val="20"/>
          <w:szCs w:val="20"/>
        </w:rPr>
      </w:pPr>
      <w:r w:rsidRPr="286CF6A9">
        <w:rPr>
          <w:rFonts w:ascii="Bookman Old Style" w:hAnsi="Bookman Old Style" w:cs="Arial"/>
          <w:i/>
          <w:iCs/>
          <w:sz w:val="20"/>
          <w:szCs w:val="20"/>
        </w:rPr>
        <w:t>“</w:t>
      </w:r>
      <w:r w:rsidR="007854E2">
        <w:rPr>
          <w:rFonts w:ascii="Bookman Old Style" w:hAnsi="Bookman Old Style" w:cs="Arial"/>
          <w:i/>
          <w:iCs/>
          <w:sz w:val="20"/>
          <w:szCs w:val="20"/>
        </w:rPr>
        <w:t xml:space="preserve">(…) </w:t>
      </w:r>
      <w:r w:rsidRPr="00545358">
        <w:rPr>
          <w:rFonts w:ascii="Bookman Old Style" w:hAnsi="Bookman Old Style" w:cs="Arial"/>
          <w:b/>
          <w:bCs/>
          <w:i/>
          <w:iCs/>
          <w:sz w:val="20"/>
          <w:szCs w:val="20"/>
          <w:u w:val="single"/>
        </w:rPr>
        <w:t>En la torre 52 se encuentra una derivación de 34.5 kV</w:t>
      </w:r>
      <w:r w:rsidRPr="00D06CF6">
        <w:rPr>
          <w:rFonts w:ascii="Bookman Old Style" w:hAnsi="Bookman Old Style" w:cs="Arial"/>
          <w:i/>
          <w:iCs/>
          <w:sz w:val="20"/>
          <w:szCs w:val="20"/>
        </w:rPr>
        <w:t xml:space="preserve"> alimentado un trasformador de 25 KVA 34.5 kV / 208-120 VAC </w:t>
      </w:r>
      <w:r w:rsidRPr="005864EE">
        <w:rPr>
          <w:rFonts w:ascii="Bookman Old Style" w:hAnsi="Bookman Old Style" w:cs="Arial"/>
          <w:b/>
          <w:bCs/>
          <w:i/>
          <w:iCs/>
          <w:sz w:val="20"/>
          <w:szCs w:val="20"/>
          <w:u w:val="single"/>
        </w:rPr>
        <w:t>que les suministra energía aproximadamente a 10 viviendas</w:t>
      </w:r>
      <w:r w:rsidRPr="00D06CF6">
        <w:rPr>
          <w:rFonts w:ascii="Bookman Old Style" w:hAnsi="Bookman Old Style" w:cs="Arial"/>
          <w:i/>
          <w:iCs/>
          <w:sz w:val="20"/>
          <w:szCs w:val="20"/>
        </w:rPr>
        <w:t xml:space="preserve"> en la zona de puentelata</w:t>
      </w:r>
      <w:r w:rsidR="00A2605A" w:rsidRPr="00D06CF6">
        <w:rPr>
          <w:rFonts w:ascii="Bookman Old Style" w:hAnsi="Bookman Old Style" w:cs="Arial"/>
          <w:i/>
          <w:iCs/>
          <w:sz w:val="20"/>
          <w:szCs w:val="20"/>
        </w:rPr>
        <w:t>.</w:t>
      </w:r>
      <w:r w:rsidR="00A2605A">
        <w:rPr>
          <w:rFonts w:ascii="Bookman Old Style" w:hAnsi="Bookman Old Style" w:cs="Arial"/>
          <w:i/>
          <w:iCs/>
          <w:sz w:val="20"/>
          <w:szCs w:val="20"/>
        </w:rPr>
        <w:t xml:space="preserve"> (…)</w:t>
      </w:r>
    </w:p>
    <w:p w14:paraId="23AE117B" w14:textId="77777777" w:rsidR="00A2605A" w:rsidRDefault="00A2605A" w:rsidP="00A8001B">
      <w:pPr>
        <w:ind w:left="567"/>
        <w:contextualSpacing/>
        <w:jc w:val="both"/>
        <w:rPr>
          <w:rFonts w:ascii="Bookman Old Style" w:hAnsi="Bookman Old Style" w:cs="Arial"/>
          <w:i/>
          <w:iCs/>
          <w:sz w:val="20"/>
          <w:szCs w:val="20"/>
        </w:rPr>
      </w:pPr>
    </w:p>
    <w:p w14:paraId="4984369F" w14:textId="77777777" w:rsidR="00D95610" w:rsidRPr="00522B66" w:rsidRDefault="00A2605A" w:rsidP="00A8001B">
      <w:pPr>
        <w:ind w:left="567"/>
        <w:contextualSpacing/>
        <w:jc w:val="both"/>
        <w:rPr>
          <w:rFonts w:ascii="Bookman Old Style" w:eastAsia="MS Mincho" w:hAnsi="Bookman Old Style" w:cs="Arial"/>
          <w:sz w:val="20"/>
          <w:szCs w:val="20"/>
          <w:lang w:val="es-CO"/>
        </w:rPr>
      </w:pPr>
      <w:r w:rsidRPr="00F30A6A">
        <w:rPr>
          <w:rFonts w:ascii="Bookman Old Style" w:hAnsi="Bookman Old Style"/>
          <w:b/>
          <w:i/>
          <w:sz w:val="20"/>
          <w:u w:val="single"/>
        </w:rPr>
        <w:t>En la TORRE 1 se realiza otra derivación</w:t>
      </w:r>
      <w:r w:rsidRPr="00740AF7">
        <w:rPr>
          <w:rFonts w:ascii="Bookman Old Style" w:hAnsi="Bookman Old Style" w:cs="Arial"/>
          <w:i/>
          <w:iCs/>
          <w:sz w:val="20"/>
          <w:szCs w:val="20"/>
        </w:rPr>
        <w:t xml:space="preserve"> alimentando un transformador de 75 KVA, 34.5 KV / 13.8 kV, </w:t>
      </w:r>
      <w:r w:rsidRPr="00F30A6A">
        <w:rPr>
          <w:rFonts w:ascii="Bookman Old Style" w:hAnsi="Bookman Old Style"/>
          <w:b/>
          <w:i/>
          <w:sz w:val="20"/>
          <w:u w:val="single"/>
        </w:rPr>
        <w:t>que lleva la energía a la población de Santacruz.</w:t>
      </w:r>
      <w:r>
        <w:rPr>
          <w:rFonts w:ascii="Bookman Old Style" w:hAnsi="Bookman Old Style" w:cs="Arial"/>
          <w:i/>
          <w:iCs/>
          <w:sz w:val="20"/>
          <w:szCs w:val="20"/>
        </w:rPr>
        <w:t xml:space="preserve"> </w:t>
      </w:r>
      <w:r w:rsidR="00D95610" w:rsidRPr="286CF6A9">
        <w:rPr>
          <w:rFonts w:ascii="Bookman Old Style" w:hAnsi="Bookman Old Style" w:cs="Arial"/>
          <w:i/>
          <w:iCs/>
          <w:sz w:val="20"/>
          <w:szCs w:val="20"/>
        </w:rPr>
        <w:t>(…)”</w:t>
      </w:r>
      <w:r w:rsidR="00D95610">
        <w:rPr>
          <w:rFonts w:ascii="Bookman Old Style" w:hAnsi="Bookman Old Style" w:cs="Arial"/>
          <w:sz w:val="20"/>
          <w:szCs w:val="20"/>
        </w:rPr>
        <w:t xml:space="preserve"> Resaltado y subrayado fuera de texto</w:t>
      </w:r>
    </w:p>
    <w:p w14:paraId="70303E7C" w14:textId="77777777" w:rsidR="00D95610" w:rsidRDefault="00D95610" w:rsidP="00D95610">
      <w:pPr>
        <w:ind w:left="284"/>
        <w:contextualSpacing/>
        <w:jc w:val="both"/>
        <w:rPr>
          <w:rFonts w:ascii="Bookman Old Style" w:eastAsia="MS Mincho" w:hAnsi="Bookman Old Style" w:cs="Arial"/>
          <w:lang w:val="es-CO"/>
        </w:rPr>
      </w:pPr>
    </w:p>
    <w:p w14:paraId="281F8CB5" w14:textId="3D6758F2" w:rsidR="00476DDF" w:rsidRDefault="00A12244"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Y sobre la </w:t>
      </w:r>
      <w:r w:rsidR="00C95747">
        <w:rPr>
          <w:rFonts w:ascii="Bookman Old Style" w:eastAsia="MS Mincho" w:hAnsi="Bookman Old Style" w:cs="Arial"/>
          <w:lang w:val="es-CO"/>
        </w:rPr>
        <w:t xml:space="preserve">construcción </w:t>
      </w:r>
      <w:r w:rsidR="00365B7E">
        <w:rPr>
          <w:rFonts w:ascii="Bookman Old Style" w:eastAsia="MS Mincho" w:hAnsi="Bookman Old Style" w:cs="Arial"/>
          <w:lang w:val="es-CO"/>
        </w:rPr>
        <w:t>de las derivaci</w:t>
      </w:r>
      <w:r w:rsidR="00BF1A2A">
        <w:rPr>
          <w:rFonts w:ascii="Bookman Old Style" w:eastAsia="MS Mincho" w:hAnsi="Bookman Old Style" w:cs="Arial"/>
          <w:lang w:val="es-CO"/>
        </w:rPr>
        <w:t>o</w:t>
      </w:r>
      <w:r w:rsidR="00365B7E">
        <w:rPr>
          <w:rFonts w:ascii="Bookman Old Style" w:eastAsia="MS Mincho" w:hAnsi="Bookman Old Style" w:cs="Arial"/>
          <w:lang w:val="es-CO"/>
        </w:rPr>
        <w:t>n</w:t>
      </w:r>
      <w:r w:rsidR="00BF1A2A">
        <w:rPr>
          <w:rFonts w:ascii="Bookman Old Style" w:eastAsia="MS Mincho" w:hAnsi="Bookman Old Style" w:cs="Arial"/>
          <w:lang w:val="es-CO"/>
        </w:rPr>
        <w:t>es</w:t>
      </w:r>
      <w:r w:rsidR="00365B7E">
        <w:rPr>
          <w:rFonts w:ascii="Bookman Old Style" w:eastAsia="MS Mincho" w:hAnsi="Bookman Old Style" w:cs="Arial"/>
          <w:lang w:val="es-CO"/>
        </w:rPr>
        <w:t xml:space="preserve">, </w:t>
      </w:r>
      <w:r w:rsidR="0007614F">
        <w:rPr>
          <w:rFonts w:ascii="Bookman Old Style" w:eastAsia="MS Mincho" w:hAnsi="Bookman Old Style" w:cs="Arial"/>
          <w:lang w:val="es-CO"/>
        </w:rPr>
        <w:t>mediante</w:t>
      </w:r>
      <w:r w:rsidR="00B86D18" w:rsidRPr="00F30A6A">
        <w:rPr>
          <w:rFonts w:ascii="Bookman Old Style" w:eastAsia="MS Mincho" w:hAnsi="Bookman Old Style"/>
          <w:lang w:val="es-CO"/>
        </w:rPr>
        <w:t xml:space="preserve"> </w:t>
      </w:r>
      <w:r w:rsidR="00B86D18">
        <w:rPr>
          <w:rFonts w:ascii="Bookman Old Style" w:eastAsia="MS Mincho" w:hAnsi="Bookman Old Style" w:cs="Arial"/>
        </w:rPr>
        <w:t xml:space="preserve">comunicaciones con </w:t>
      </w:r>
      <w:r w:rsidR="00B86D18" w:rsidRPr="0086458B">
        <w:rPr>
          <w:rFonts w:ascii="Bookman Old Style" w:eastAsia="MS Mincho" w:hAnsi="Bookman Old Style" w:cs="Arial"/>
        </w:rPr>
        <w:t>radicado CREG E-2021-007083 y E-2021-007084</w:t>
      </w:r>
      <w:r w:rsidR="00AB54AA">
        <w:rPr>
          <w:rFonts w:ascii="Bookman Old Style" w:eastAsia="MS Mincho" w:hAnsi="Bookman Old Style" w:cs="Arial"/>
        </w:rPr>
        <w:t>,</w:t>
      </w:r>
      <w:r w:rsidR="00B86D18">
        <w:rPr>
          <w:rFonts w:ascii="Bookman Old Style" w:eastAsia="MS Mincho" w:hAnsi="Bookman Old Style" w:cs="Arial"/>
        </w:rPr>
        <w:t xml:space="preserve"> el MME informó:</w:t>
      </w:r>
    </w:p>
    <w:p w14:paraId="25435F94" w14:textId="77777777" w:rsidR="001F1F55" w:rsidRDefault="001F1F55" w:rsidP="00546105">
      <w:pPr>
        <w:ind w:left="284"/>
        <w:contextualSpacing/>
        <w:jc w:val="both"/>
        <w:rPr>
          <w:rFonts w:ascii="Bookman Old Style" w:eastAsia="MS Mincho" w:hAnsi="Bookman Old Style" w:cs="Arial"/>
          <w:lang w:val="es-CO"/>
        </w:rPr>
      </w:pPr>
    </w:p>
    <w:p w14:paraId="78A0F426" w14:textId="08F51200" w:rsidR="004779D5" w:rsidRDefault="0058470A" w:rsidP="00A8001B">
      <w:pPr>
        <w:ind w:left="567"/>
        <w:contextualSpacing/>
        <w:jc w:val="both"/>
        <w:rPr>
          <w:rFonts w:ascii="Bookman Old Style" w:eastAsia="MS Mincho" w:hAnsi="Bookman Old Style" w:cs="Arial"/>
          <w:i/>
          <w:iCs/>
          <w:sz w:val="20"/>
          <w:szCs w:val="20"/>
          <w:lang w:val="es-CO"/>
        </w:rPr>
      </w:pPr>
      <w:r w:rsidRPr="0058470A">
        <w:rPr>
          <w:rFonts w:ascii="Bookman Old Style" w:eastAsia="MS Mincho" w:hAnsi="Bookman Old Style" w:cs="Arial"/>
          <w:i/>
          <w:iCs/>
          <w:sz w:val="20"/>
          <w:szCs w:val="20"/>
          <w:lang w:val="es-CO"/>
        </w:rPr>
        <w:t>“(…)</w:t>
      </w:r>
      <w:r w:rsidRPr="0058470A">
        <w:rPr>
          <w:rFonts w:ascii="Bookman Old Style" w:eastAsia="MS Mincho" w:hAnsi="Bookman Old Style" w:cs="Arial"/>
          <w:b/>
          <w:bCs/>
          <w:i/>
          <w:iCs/>
          <w:sz w:val="20"/>
          <w:szCs w:val="20"/>
          <w:lang w:val="es-CO"/>
        </w:rPr>
        <w:t xml:space="preserve"> </w:t>
      </w:r>
      <w:r w:rsidR="004779D5" w:rsidRPr="00B86D18">
        <w:rPr>
          <w:rFonts w:ascii="Bookman Old Style" w:eastAsia="MS Mincho" w:hAnsi="Bookman Old Style" w:cs="Arial"/>
          <w:b/>
          <w:bCs/>
          <w:i/>
          <w:iCs/>
          <w:sz w:val="20"/>
          <w:szCs w:val="20"/>
          <w:u w:val="single"/>
          <w:lang w:val="es-CO"/>
        </w:rPr>
        <w:t>El Contrato Interadministrativo FAZNI GSA 090 de 2007, suscrito entre el Ministerio de Minas y Energía y GENSA S.A. ESP,</w:t>
      </w:r>
      <w:r w:rsidR="004779D5" w:rsidRPr="00F30A6A">
        <w:rPr>
          <w:rFonts w:ascii="Bookman Old Style" w:eastAsia="MS Mincho" w:hAnsi="Bookman Old Style"/>
          <w:b/>
          <w:i/>
          <w:sz w:val="20"/>
          <w:u w:val="single"/>
          <w:lang w:val="es-CO"/>
        </w:rPr>
        <w:t xml:space="preserve"> tuvo por objeto</w:t>
      </w:r>
      <w:r w:rsidR="004779D5" w:rsidRPr="00716AB3">
        <w:rPr>
          <w:rFonts w:ascii="Bookman Old Style" w:eastAsia="MS Mincho" w:hAnsi="Bookman Old Style" w:cs="Arial"/>
          <w:i/>
          <w:iCs/>
          <w:sz w:val="20"/>
          <w:szCs w:val="20"/>
          <w:lang w:val="es-CO"/>
        </w:rPr>
        <w:t xml:space="preserve"> la</w:t>
      </w:r>
      <w:r w:rsidR="004779D5">
        <w:rPr>
          <w:rFonts w:ascii="Bookman Old Style" w:eastAsia="MS Mincho" w:hAnsi="Bookman Old Style" w:cs="Arial"/>
          <w:i/>
          <w:iCs/>
          <w:sz w:val="20"/>
          <w:szCs w:val="20"/>
          <w:lang w:val="es-CO"/>
        </w:rPr>
        <w:t xml:space="preserve"> </w:t>
      </w:r>
      <w:r w:rsidR="004779D5" w:rsidRPr="00716AB3">
        <w:rPr>
          <w:rFonts w:ascii="Bookman Old Style" w:eastAsia="MS Mincho" w:hAnsi="Bookman Old Style" w:cs="Arial"/>
          <w:i/>
          <w:iCs/>
          <w:sz w:val="20"/>
          <w:szCs w:val="20"/>
          <w:lang w:val="es-CO"/>
        </w:rPr>
        <w:t>administración general y ejecución de los recursos del Fondo FAZNI asignados</w:t>
      </w:r>
      <w:r w:rsidR="004779D5">
        <w:rPr>
          <w:rFonts w:ascii="Bookman Old Style" w:eastAsia="MS Mincho" w:hAnsi="Bookman Old Style" w:cs="Arial"/>
          <w:i/>
          <w:iCs/>
          <w:sz w:val="20"/>
          <w:szCs w:val="20"/>
          <w:lang w:val="es-CO"/>
        </w:rPr>
        <w:t xml:space="preserve"> </w:t>
      </w:r>
      <w:r w:rsidR="004779D5" w:rsidRPr="00716AB3">
        <w:rPr>
          <w:rFonts w:ascii="Bookman Old Style" w:eastAsia="MS Mincho" w:hAnsi="Bookman Old Style" w:cs="Arial"/>
          <w:i/>
          <w:iCs/>
          <w:sz w:val="20"/>
          <w:szCs w:val="20"/>
          <w:lang w:val="es-CO"/>
        </w:rPr>
        <w:t xml:space="preserve">para varios </w:t>
      </w:r>
      <w:r w:rsidR="004779D5" w:rsidRPr="00F30A6A">
        <w:rPr>
          <w:rFonts w:ascii="Bookman Old Style" w:eastAsia="MS Mincho" w:hAnsi="Bookman Old Style"/>
          <w:b/>
          <w:i/>
          <w:sz w:val="20"/>
          <w:u w:val="single"/>
          <w:lang w:val="es-CO"/>
        </w:rPr>
        <w:t xml:space="preserve">proyectos de inversión, </w:t>
      </w:r>
      <w:r w:rsidR="004779D5" w:rsidRPr="00B86D18">
        <w:rPr>
          <w:rFonts w:ascii="Bookman Old Style" w:eastAsia="MS Mincho" w:hAnsi="Bookman Old Style" w:cs="Arial"/>
          <w:b/>
          <w:bCs/>
          <w:i/>
          <w:iCs/>
          <w:sz w:val="20"/>
          <w:szCs w:val="20"/>
          <w:u w:val="single"/>
          <w:lang w:val="es-CO"/>
        </w:rPr>
        <w:t>entre ellos el BFAZNI 118A sobre la ampliación de redes rurales de media y baja tensión en el municipio de Mitú (Vaupés)</w:t>
      </w:r>
      <w:r w:rsidR="004779D5" w:rsidRPr="00716AB3">
        <w:rPr>
          <w:rFonts w:ascii="Bookman Old Style" w:eastAsia="MS Mincho" w:hAnsi="Bookman Old Style" w:cs="Arial"/>
          <w:i/>
          <w:iCs/>
          <w:sz w:val="20"/>
          <w:szCs w:val="20"/>
          <w:lang w:val="es-CO"/>
        </w:rPr>
        <w:t xml:space="preserve"> que se realizó mediante los siguientes contratos derivados:</w:t>
      </w:r>
      <w:r w:rsidR="004779D5">
        <w:rPr>
          <w:rFonts w:ascii="Bookman Old Style" w:eastAsia="MS Mincho" w:hAnsi="Bookman Old Style" w:cs="Arial"/>
          <w:i/>
          <w:iCs/>
          <w:sz w:val="20"/>
          <w:szCs w:val="20"/>
          <w:lang w:val="es-CO"/>
        </w:rPr>
        <w:t xml:space="preserve"> (…) </w:t>
      </w:r>
    </w:p>
    <w:p w14:paraId="51C33B7B" w14:textId="77777777" w:rsidR="004779D5" w:rsidRDefault="004779D5" w:rsidP="00A8001B">
      <w:pPr>
        <w:ind w:left="567"/>
        <w:contextualSpacing/>
        <w:jc w:val="both"/>
        <w:rPr>
          <w:rFonts w:ascii="Bookman Old Style" w:eastAsia="MS Mincho" w:hAnsi="Bookman Old Style" w:cs="Arial"/>
          <w:i/>
          <w:iCs/>
          <w:sz w:val="20"/>
          <w:szCs w:val="20"/>
          <w:lang w:val="es-CO"/>
        </w:rPr>
      </w:pPr>
    </w:p>
    <w:p w14:paraId="49CDCA41" w14:textId="77777777" w:rsidR="004779D5" w:rsidRDefault="004779D5" w:rsidP="00A8001B">
      <w:pPr>
        <w:ind w:left="567"/>
        <w:contextualSpacing/>
        <w:jc w:val="both"/>
        <w:rPr>
          <w:rFonts w:ascii="Bookman Old Style" w:eastAsia="MS Mincho" w:hAnsi="Bookman Old Style" w:cs="Arial"/>
          <w:i/>
          <w:iCs/>
          <w:sz w:val="20"/>
          <w:szCs w:val="20"/>
          <w:lang w:val="es-CO"/>
        </w:rPr>
      </w:pPr>
      <w:r w:rsidRPr="00F30A6A">
        <w:rPr>
          <w:rFonts w:ascii="Bookman Old Style" w:eastAsia="MS Mincho" w:hAnsi="Bookman Old Style"/>
          <w:b/>
          <w:i/>
          <w:sz w:val="20"/>
          <w:u w:val="single"/>
          <w:lang w:val="es-CO"/>
        </w:rPr>
        <w:t>Contratar la ampliación de redes rurales de Media y Baja Tensión en</w:t>
      </w:r>
      <w:r w:rsidRPr="0061177C">
        <w:rPr>
          <w:rFonts w:ascii="Bookman Old Style" w:eastAsia="MS Mincho" w:hAnsi="Bookman Old Style" w:cs="Arial"/>
          <w:i/>
          <w:iCs/>
          <w:sz w:val="20"/>
          <w:szCs w:val="20"/>
          <w:lang w:val="es-CO"/>
        </w:rPr>
        <w:t xml:space="preserve"> la Comunidad de</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 xml:space="preserve">Timbo Betania y </w:t>
      </w:r>
      <w:r w:rsidRPr="00F30A6A">
        <w:rPr>
          <w:rFonts w:ascii="Bookman Old Style" w:eastAsia="MS Mincho" w:hAnsi="Bookman Old Style"/>
          <w:b/>
          <w:i/>
          <w:sz w:val="20"/>
          <w:u w:val="single"/>
          <w:lang w:val="es-CO"/>
        </w:rPr>
        <w:t>Santa Cruz del municipio de Mitú</w:t>
      </w:r>
      <w:r w:rsidRPr="0061177C">
        <w:rPr>
          <w:rFonts w:ascii="Bookman Old Style" w:eastAsia="MS Mincho" w:hAnsi="Bookman Old Style" w:cs="Arial"/>
          <w:i/>
          <w:iCs/>
          <w:sz w:val="20"/>
          <w:szCs w:val="20"/>
          <w:lang w:val="es-CO"/>
        </w:rPr>
        <w:t>,</w:t>
      </w:r>
      <w:r>
        <w:rPr>
          <w:rFonts w:ascii="Bookman Old Style" w:eastAsia="MS Mincho" w:hAnsi="Bookman Old Style" w:cs="Arial"/>
          <w:i/>
          <w:iCs/>
          <w:sz w:val="20"/>
          <w:szCs w:val="20"/>
          <w:lang w:val="es-CO"/>
        </w:rPr>
        <w:t xml:space="preserve"> </w:t>
      </w:r>
      <w:r w:rsidRPr="0061177C">
        <w:rPr>
          <w:rFonts w:ascii="Bookman Old Style" w:eastAsia="MS Mincho" w:hAnsi="Bookman Old Style" w:cs="Arial"/>
          <w:i/>
          <w:iCs/>
          <w:sz w:val="20"/>
          <w:szCs w:val="20"/>
          <w:lang w:val="es-CO"/>
        </w:rPr>
        <w:t>departamento del Vaupés.</w:t>
      </w:r>
      <w:r>
        <w:rPr>
          <w:rFonts w:ascii="Bookman Old Style" w:eastAsia="MS Mincho" w:hAnsi="Bookman Old Style" w:cs="Arial"/>
          <w:i/>
          <w:iCs/>
          <w:sz w:val="20"/>
          <w:szCs w:val="20"/>
          <w:lang w:val="es-CO"/>
        </w:rPr>
        <w:t xml:space="preserve"> (…)</w:t>
      </w:r>
    </w:p>
    <w:p w14:paraId="76D50104" w14:textId="77777777" w:rsidR="004779D5" w:rsidRDefault="004779D5" w:rsidP="00A8001B">
      <w:pPr>
        <w:ind w:left="567"/>
        <w:contextualSpacing/>
        <w:jc w:val="both"/>
        <w:rPr>
          <w:rFonts w:ascii="Bookman Old Style" w:eastAsia="MS Mincho" w:hAnsi="Bookman Old Style" w:cs="Arial"/>
          <w:i/>
          <w:iCs/>
          <w:sz w:val="20"/>
          <w:szCs w:val="20"/>
          <w:lang w:val="es-CO"/>
        </w:rPr>
      </w:pPr>
    </w:p>
    <w:p w14:paraId="6494FBC0" w14:textId="77777777" w:rsidR="004779D5" w:rsidRDefault="004779D5" w:rsidP="00A8001B">
      <w:pPr>
        <w:ind w:left="567"/>
        <w:contextualSpacing/>
        <w:jc w:val="both"/>
        <w:rPr>
          <w:rFonts w:ascii="Bookman Old Style" w:eastAsia="MS Mincho" w:hAnsi="Bookman Old Style" w:cs="Arial"/>
          <w:i/>
          <w:iCs/>
          <w:sz w:val="20"/>
          <w:szCs w:val="20"/>
          <w:lang w:val="es-CO"/>
        </w:rPr>
      </w:pPr>
      <w:r w:rsidRPr="004779D5">
        <w:rPr>
          <w:rFonts w:ascii="Bookman Old Style" w:eastAsia="MS Mincho" w:hAnsi="Bookman Old Style" w:cs="Arial"/>
          <w:b/>
          <w:bCs/>
          <w:i/>
          <w:iCs/>
          <w:sz w:val="20"/>
          <w:szCs w:val="20"/>
          <w:u w:val="single"/>
          <w:lang w:val="es-CO"/>
        </w:rPr>
        <w:t>El Otrosí No. 4 del contrato interadministrativo FAZNI GSA 090 de 2007 suscrito entre el Ministerio y GENSA S.A. ESP</w:t>
      </w:r>
      <w:r w:rsidRPr="00F30A6A">
        <w:rPr>
          <w:rFonts w:ascii="Bookman Old Style" w:eastAsia="MS Mincho" w:hAnsi="Bookman Old Style"/>
          <w:b/>
          <w:i/>
          <w:sz w:val="20"/>
          <w:u w:val="single"/>
          <w:lang w:val="es-CO"/>
        </w:rPr>
        <w:t xml:space="preserve"> manifiesta en su consideración 4ta: ‘que</w:t>
      </w:r>
      <w:r w:rsidRPr="009A3DAF">
        <w:rPr>
          <w:rFonts w:ascii="Bookman Old Style" w:eastAsia="MS Mincho" w:hAnsi="Bookman Old Style" w:cs="Arial"/>
          <w:i/>
          <w:iCs/>
          <w:sz w:val="20"/>
          <w:szCs w:val="20"/>
          <w:lang w:val="es-CO"/>
        </w:rPr>
        <w:t xml:space="preserve"> según lo informado por la Dirección de Energía, el proyecto incluido</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 xml:space="preserve">en </w:t>
      </w:r>
      <w:r w:rsidRPr="004779D5">
        <w:rPr>
          <w:rFonts w:ascii="Bookman Old Style" w:eastAsia="MS Mincho" w:hAnsi="Bookman Old Style" w:cs="Arial"/>
          <w:b/>
          <w:bCs/>
          <w:i/>
          <w:iCs/>
          <w:sz w:val="20"/>
          <w:szCs w:val="20"/>
          <w:u w:val="single"/>
          <w:lang w:val="es-CO"/>
        </w:rPr>
        <w:t>el Convenio 90 de 2007 consideró el uso de la infraestructura de interconexión de la MCH de Mitú</w:t>
      </w:r>
      <w:r w:rsidRPr="009A3DAF">
        <w:rPr>
          <w:rFonts w:ascii="Bookman Old Style" w:eastAsia="MS Mincho" w:hAnsi="Bookman Old Style" w:cs="Arial"/>
          <w:i/>
          <w:iCs/>
          <w:sz w:val="20"/>
          <w:szCs w:val="20"/>
          <w:lang w:val="es-CO"/>
        </w:rPr>
        <w:t>, con el fin de optimizar costos de construcción</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y disminuir el impacto ambientan de las líneas de interconexión, así como el</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costo de operación y mantenimiento de ambas infraestructuras. Lo anterior,</w:t>
      </w:r>
      <w:r>
        <w:rPr>
          <w:rFonts w:ascii="Bookman Old Style" w:eastAsia="MS Mincho" w:hAnsi="Bookman Old Style" w:cs="Arial"/>
          <w:i/>
          <w:iCs/>
          <w:sz w:val="20"/>
          <w:szCs w:val="20"/>
          <w:lang w:val="es-CO"/>
        </w:rPr>
        <w:t xml:space="preserve"> </w:t>
      </w:r>
      <w:r w:rsidRPr="009A3DAF">
        <w:rPr>
          <w:rFonts w:ascii="Bookman Old Style" w:eastAsia="MS Mincho" w:hAnsi="Bookman Old Style" w:cs="Arial"/>
          <w:i/>
          <w:iCs/>
          <w:sz w:val="20"/>
          <w:szCs w:val="20"/>
          <w:lang w:val="es-CO"/>
        </w:rPr>
        <w:t>hasta donde exista eficiencia económica y operativa en la propuesta</w:t>
      </w:r>
      <w:r>
        <w:rPr>
          <w:rFonts w:ascii="Bookman Old Style" w:eastAsia="MS Mincho" w:hAnsi="Bookman Old Style" w:cs="Arial"/>
          <w:i/>
          <w:iCs/>
          <w:sz w:val="20"/>
          <w:szCs w:val="20"/>
          <w:lang w:val="es-CO"/>
        </w:rPr>
        <w:t>’</w:t>
      </w:r>
    </w:p>
    <w:p w14:paraId="428AD3FC" w14:textId="77777777" w:rsidR="004779D5" w:rsidRDefault="004779D5" w:rsidP="00A8001B">
      <w:pPr>
        <w:ind w:left="567"/>
        <w:contextualSpacing/>
        <w:jc w:val="both"/>
        <w:rPr>
          <w:rFonts w:ascii="Bookman Old Style" w:eastAsia="MS Mincho" w:hAnsi="Bookman Old Style" w:cs="Arial"/>
          <w:i/>
          <w:iCs/>
          <w:sz w:val="20"/>
          <w:szCs w:val="20"/>
          <w:lang w:val="es-CO"/>
        </w:rPr>
      </w:pPr>
    </w:p>
    <w:p w14:paraId="62F33F37" w14:textId="77777777" w:rsidR="004779D5" w:rsidRDefault="004779D5" w:rsidP="00A8001B">
      <w:pPr>
        <w:ind w:left="567"/>
        <w:contextualSpacing/>
        <w:jc w:val="both"/>
        <w:rPr>
          <w:rFonts w:ascii="Bookman Old Style" w:eastAsia="MS Mincho" w:hAnsi="Bookman Old Style" w:cs="Arial"/>
          <w:i/>
          <w:iCs/>
          <w:sz w:val="20"/>
          <w:szCs w:val="20"/>
          <w:lang w:val="es-CO"/>
        </w:rPr>
      </w:pPr>
      <w:r w:rsidRPr="00D75ECD">
        <w:rPr>
          <w:rFonts w:ascii="Bookman Old Style" w:eastAsia="MS Mincho" w:hAnsi="Bookman Old Style" w:cs="Arial"/>
          <w:i/>
          <w:iCs/>
          <w:sz w:val="20"/>
          <w:szCs w:val="20"/>
          <w:lang w:val="es-CO"/>
        </w:rPr>
        <w:t>En resumen, el Ministerio de Minas y Energía es el propietario de la red de</w:t>
      </w:r>
      <w:r>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distribución de baja tensión en los sectores comprendidos entre la</w:t>
      </w:r>
      <w:r>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Subestación Mitú y las poblaciones de: Caño Mituceño (carretera), Ceima</w:t>
      </w:r>
      <w:r>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Cachivera, Ceima San Pablo, La Sabana, Cucura, Pueblo Nuevo, Yararaca,</w:t>
      </w:r>
      <w:r>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Puente de Lata (Torre No. 52), Puerto Paloma, Puerto Esperanza, Tucandira,</w:t>
      </w:r>
      <w:r>
        <w:rPr>
          <w:rFonts w:ascii="Bookman Old Style" w:eastAsia="MS Mincho" w:hAnsi="Bookman Old Style" w:cs="Arial"/>
          <w:i/>
          <w:iCs/>
          <w:sz w:val="20"/>
          <w:szCs w:val="20"/>
          <w:lang w:val="es-CO"/>
        </w:rPr>
        <w:t xml:space="preserve"> </w:t>
      </w:r>
      <w:r w:rsidRPr="00D75ECD">
        <w:rPr>
          <w:rFonts w:ascii="Bookman Old Style" w:eastAsia="MS Mincho" w:hAnsi="Bookman Old Style" w:cs="Arial"/>
          <w:i/>
          <w:iCs/>
          <w:sz w:val="20"/>
          <w:szCs w:val="20"/>
          <w:lang w:val="es-CO"/>
        </w:rPr>
        <w:t>Muratinga, Timbo de Betania y Santa Cruz.</w:t>
      </w:r>
      <w:r>
        <w:rPr>
          <w:rFonts w:ascii="Bookman Old Style" w:eastAsia="MS Mincho" w:hAnsi="Bookman Old Style" w:cs="Arial"/>
          <w:i/>
          <w:iCs/>
          <w:sz w:val="20"/>
          <w:szCs w:val="20"/>
          <w:lang w:val="es-CO"/>
        </w:rPr>
        <w:t xml:space="preserve"> (…)</w:t>
      </w:r>
    </w:p>
    <w:p w14:paraId="28CD0490" w14:textId="77777777" w:rsidR="004779D5" w:rsidRDefault="004779D5" w:rsidP="00A8001B">
      <w:pPr>
        <w:ind w:left="567"/>
        <w:contextualSpacing/>
        <w:jc w:val="both"/>
        <w:rPr>
          <w:rFonts w:ascii="Bookman Old Style" w:eastAsia="MS Mincho" w:hAnsi="Bookman Old Style" w:cs="Arial"/>
          <w:i/>
          <w:iCs/>
          <w:sz w:val="20"/>
          <w:szCs w:val="20"/>
          <w:lang w:val="es-CO"/>
        </w:rPr>
      </w:pPr>
    </w:p>
    <w:p w14:paraId="1C08AEE4" w14:textId="78F22998" w:rsidR="000B06B1" w:rsidRDefault="004779D5" w:rsidP="00A8001B">
      <w:pPr>
        <w:ind w:left="567"/>
        <w:contextualSpacing/>
        <w:jc w:val="both"/>
        <w:rPr>
          <w:rFonts w:ascii="Bookman Old Style" w:eastAsia="MS Mincho" w:hAnsi="Bookman Old Style" w:cs="Arial"/>
          <w:sz w:val="22"/>
          <w:szCs w:val="22"/>
          <w:lang w:val="es-CO"/>
        </w:rPr>
      </w:pPr>
      <w:r w:rsidRPr="00985970">
        <w:rPr>
          <w:rFonts w:ascii="Bookman Old Style" w:eastAsia="MS Mincho" w:hAnsi="Bookman Old Style" w:cs="Arial"/>
          <w:b/>
          <w:bCs/>
          <w:i/>
          <w:iCs/>
          <w:sz w:val="20"/>
          <w:szCs w:val="20"/>
          <w:u w:val="single"/>
          <w:lang w:val="es-CO"/>
        </w:rPr>
        <w:t>Los proyectos arriba descritos, fueron entregados a la Gobernación del Vaupés</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 xml:space="preserve">para su Administración, Operación y Mantenimiento </w:t>
      </w:r>
      <w:r w:rsidRPr="00985970">
        <w:rPr>
          <w:rFonts w:ascii="Bookman Old Style" w:eastAsia="MS Mincho" w:hAnsi="Bookman Old Style" w:cs="Arial"/>
          <w:b/>
          <w:bCs/>
          <w:i/>
          <w:iCs/>
          <w:sz w:val="20"/>
          <w:szCs w:val="20"/>
          <w:u w:val="single"/>
          <w:lang w:val="es-CO"/>
        </w:rPr>
        <w:t>mediante acta del 23 de febrero de 2015</w:t>
      </w:r>
      <w:r w:rsidRPr="004305D0">
        <w:rPr>
          <w:rFonts w:ascii="Bookman Old Style" w:eastAsia="MS Mincho" w:hAnsi="Bookman Old Style" w:cs="Arial"/>
          <w:i/>
          <w:iCs/>
          <w:sz w:val="20"/>
          <w:szCs w:val="20"/>
          <w:lang w:val="es-CO"/>
        </w:rPr>
        <w:t>, quien es el responsable de los mantenimientos, reparaciones</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o reposiciones a que haya lugar para garantizar la calidad y continuidad del</w:t>
      </w:r>
      <w:r>
        <w:rPr>
          <w:rFonts w:ascii="Bookman Old Style" w:eastAsia="MS Mincho" w:hAnsi="Bookman Old Style" w:cs="Arial"/>
          <w:i/>
          <w:iCs/>
          <w:sz w:val="20"/>
          <w:szCs w:val="20"/>
          <w:lang w:val="es-CO"/>
        </w:rPr>
        <w:t xml:space="preserve"> </w:t>
      </w:r>
      <w:r w:rsidRPr="004305D0">
        <w:rPr>
          <w:rFonts w:ascii="Bookman Old Style" w:eastAsia="MS Mincho" w:hAnsi="Bookman Old Style" w:cs="Arial"/>
          <w:i/>
          <w:iCs/>
          <w:sz w:val="20"/>
          <w:szCs w:val="20"/>
          <w:lang w:val="es-CO"/>
        </w:rPr>
        <w:t>servicio.</w:t>
      </w:r>
      <w:r>
        <w:rPr>
          <w:rFonts w:ascii="Bookman Old Style" w:eastAsia="MS Mincho" w:hAnsi="Bookman Old Style" w:cs="Arial"/>
          <w:i/>
          <w:iCs/>
          <w:sz w:val="20"/>
          <w:szCs w:val="20"/>
          <w:lang w:val="es-CO"/>
        </w:rPr>
        <w:t xml:space="preserve"> (…)</w:t>
      </w:r>
      <w:r w:rsidR="00103C44">
        <w:rPr>
          <w:rFonts w:ascii="Bookman Old Style" w:eastAsia="MS Mincho" w:hAnsi="Bookman Old Style" w:cs="Arial"/>
          <w:sz w:val="20"/>
          <w:szCs w:val="20"/>
          <w:lang w:val="es-CO"/>
        </w:rPr>
        <w:t xml:space="preserve"> </w:t>
      </w:r>
      <w:r w:rsidR="00103C44" w:rsidRPr="286CF6A9">
        <w:rPr>
          <w:rFonts w:ascii="Bookman Old Style" w:eastAsia="MS Mincho" w:hAnsi="Bookman Old Style" w:cs="Arial"/>
          <w:sz w:val="22"/>
          <w:szCs w:val="22"/>
          <w:lang w:val="es-CO"/>
        </w:rPr>
        <w:t>Resaltado y subrayado fuera de texto.</w:t>
      </w:r>
    </w:p>
    <w:p w14:paraId="3CC02DBE" w14:textId="77777777" w:rsidR="007D455D" w:rsidRDefault="007D455D" w:rsidP="00546105">
      <w:pPr>
        <w:ind w:left="284"/>
        <w:contextualSpacing/>
        <w:jc w:val="both"/>
        <w:rPr>
          <w:rFonts w:ascii="Bookman Old Style" w:eastAsia="MS Mincho" w:hAnsi="Bookman Old Style" w:cs="Arial"/>
          <w:lang w:val="es-CO"/>
        </w:rPr>
      </w:pPr>
    </w:p>
    <w:p w14:paraId="33A79E27" w14:textId="6C29C5B2" w:rsidR="007D455D" w:rsidRDefault="00A47A2A"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 partir de las pruebas aportadas a la actuación, </w:t>
      </w:r>
      <w:r w:rsidR="003E4C5D">
        <w:rPr>
          <w:rFonts w:ascii="Bookman Old Style" w:eastAsia="MS Mincho" w:hAnsi="Bookman Old Style" w:cs="Arial"/>
          <w:lang w:val="es-CO"/>
        </w:rPr>
        <w:t>se puede establecer que GENSA</w:t>
      </w:r>
      <w:r w:rsidR="00AE1F42">
        <w:rPr>
          <w:rFonts w:ascii="Bookman Old Style" w:eastAsia="MS Mincho" w:hAnsi="Bookman Old Style" w:cs="Arial"/>
          <w:lang w:val="es-CO"/>
        </w:rPr>
        <w:t xml:space="preserve"> conocía de la situación de las derivaciones</w:t>
      </w:r>
      <w:r w:rsidR="00BB0741">
        <w:rPr>
          <w:rFonts w:ascii="Bookman Old Style" w:eastAsia="MS Mincho" w:hAnsi="Bookman Old Style" w:cs="Arial"/>
          <w:lang w:val="es-CO"/>
        </w:rPr>
        <w:t xml:space="preserve"> en la torre 1 y torre 52 que se desprenden de la línea de 34.5kV</w:t>
      </w:r>
      <w:r w:rsidR="00AE1F42">
        <w:rPr>
          <w:rFonts w:ascii="Bookman Old Style" w:eastAsia="MS Mincho" w:hAnsi="Bookman Old Style" w:cs="Arial"/>
          <w:lang w:val="es-CO"/>
        </w:rPr>
        <w:t>, las condiciones en que fueron conectadas y el objeto de las mismas</w:t>
      </w:r>
      <w:r w:rsidR="00416022">
        <w:rPr>
          <w:rFonts w:ascii="Bookman Old Style" w:eastAsia="MS Mincho" w:hAnsi="Bookman Old Style" w:cs="Arial"/>
          <w:lang w:val="es-CO"/>
        </w:rPr>
        <w:t xml:space="preserve">, </w:t>
      </w:r>
      <w:r w:rsidR="00B01C98">
        <w:rPr>
          <w:rFonts w:ascii="Bookman Old Style" w:eastAsia="MS Mincho" w:hAnsi="Bookman Old Style" w:cs="Arial"/>
          <w:lang w:val="es-CO"/>
        </w:rPr>
        <w:t xml:space="preserve">siendo este último </w:t>
      </w:r>
      <w:r w:rsidR="00416022">
        <w:rPr>
          <w:rFonts w:ascii="Bookman Old Style" w:eastAsia="MS Mincho" w:hAnsi="Bookman Old Style" w:cs="Arial"/>
          <w:lang w:val="es-CO"/>
        </w:rPr>
        <w:t>el de</w:t>
      </w:r>
      <w:r w:rsidR="00F40B10">
        <w:rPr>
          <w:rFonts w:ascii="Bookman Old Style" w:eastAsia="MS Mincho" w:hAnsi="Bookman Old Style" w:cs="Arial"/>
          <w:lang w:val="es-CO"/>
        </w:rPr>
        <w:t xml:space="preserve"> la </w:t>
      </w:r>
      <w:r w:rsidR="00324C81">
        <w:rPr>
          <w:rFonts w:ascii="Bookman Old Style" w:eastAsia="MS Mincho" w:hAnsi="Bookman Old Style" w:cs="Arial"/>
          <w:lang w:val="es-CO"/>
        </w:rPr>
        <w:t>“</w:t>
      </w:r>
      <w:r w:rsidR="00F40B10" w:rsidRPr="00F40B10">
        <w:rPr>
          <w:rFonts w:ascii="Bookman Old Style" w:eastAsia="MS Mincho" w:hAnsi="Bookman Old Style" w:cs="Arial"/>
          <w:i/>
          <w:iCs/>
          <w:lang w:val="es-CO"/>
        </w:rPr>
        <w:t>AMPLIACIÓN DE REDES RURALES DE MEDIA Y BAJA TENSIÓN</w:t>
      </w:r>
      <w:r w:rsidR="00324C81">
        <w:rPr>
          <w:rFonts w:ascii="Bookman Old Style" w:eastAsia="MS Mincho" w:hAnsi="Bookman Old Style" w:cs="Arial"/>
          <w:i/>
          <w:iCs/>
          <w:lang w:val="es-CO"/>
        </w:rPr>
        <w:t>”</w:t>
      </w:r>
      <w:r w:rsidR="00416022">
        <w:rPr>
          <w:rFonts w:ascii="Bookman Old Style" w:eastAsia="MS Mincho" w:hAnsi="Bookman Old Style" w:cs="Arial"/>
          <w:lang w:val="es-CO"/>
        </w:rPr>
        <w:t xml:space="preserve"> </w:t>
      </w:r>
      <w:r w:rsidR="00305F6C">
        <w:rPr>
          <w:rFonts w:ascii="Bookman Old Style" w:eastAsia="MS Mincho" w:hAnsi="Bookman Old Style" w:cs="Arial"/>
          <w:lang w:val="es-CO"/>
        </w:rPr>
        <w:t>conecta</w:t>
      </w:r>
      <w:r w:rsidR="00324C81">
        <w:rPr>
          <w:rFonts w:ascii="Bookman Old Style" w:eastAsia="MS Mincho" w:hAnsi="Bookman Old Style" w:cs="Arial"/>
          <w:lang w:val="es-CO"/>
        </w:rPr>
        <w:t>ndo</w:t>
      </w:r>
      <w:r w:rsidR="00A8001B">
        <w:rPr>
          <w:rFonts w:ascii="Bookman Old Style" w:eastAsia="MS Mincho" w:hAnsi="Bookman Old Style" w:cs="Arial"/>
          <w:lang w:val="es-CO"/>
        </w:rPr>
        <w:t>,</w:t>
      </w:r>
      <w:r w:rsidR="00324C81">
        <w:rPr>
          <w:rFonts w:ascii="Bookman Old Style" w:eastAsia="MS Mincho" w:hAnsi="Bookman Old Style" w:cs="Arial"/>
          <w:lang w:val="es-CO"/>
        </w:rPr>
        <w:t xml:space="preserve"> entre otr</w:t>
      </w:r>
      <w:r w:rsidR="00E63745">
        <w:rPr>
          <w:rFonts w:ascii="Bookman Old Style" w:eastAsia="MS Mincho" w:hAnsi="Bookman Old Style" w:cs="Arial"/>
          <w:lang w:val="es-CO"/>
        </w:rPr>
        <w:t>o</w:t>
      </w:r>
      <w:r w:rsidR="00324C81">
        <w:rPr>
          <w:rFonts w:ascii="Bookman Old Style" w:eastAsia="MS Mincho" w:hAnsi="Bookman Old Style" w:cs="Arial"/>
          <w:lang w:val="es-CO"/>
        </w:rPr>
        <w:t>s</w:t>
      </w:r>
      <w:r w:rsidR="00A8001B">
        <w:rPr>
          <w:rFonts w:ascii="Bookman Old Style" w:eastAsia="MS Mincho" w:hAnsi="Bookman Old Style" w:cs="Arial"/>
          <w:lang w:val="es-CO"/>
        </w:rPr>
        <w:t>,</w:t>
      </w:r>
      <w:r w:rsidR="00305F6C">
        <w:rPr>
          <w:rFonts w:ascii="Bookman Old Style" w:eastAsia="MS Mincho" w:hAnsi="Bookman Old Style" w:cs="Arial"/>
          <w:lang w:val="es-CO"/>
        </w:rPr>
        <w:t xml:space="preserve"> a los </w:t>
      </w:r>
      <w:r w:rsidR="00416022">
        <w:rPr>
          <w:rFonts w:ascii="Bookman Old Style" w:eastAsia="MS Mincho" w:hAnsi="Bookman Old Style" w:cs="Arial"/>
          <w:lang w:val="es-CO"/>
        </w:rPr>
        <w:t xml:space="preserve">usuarios de </w:t>
      </w:r>
      <w:r w:rsidR="00324C81">
        <w:rPr>
          <w:rFonts w:ascii="Bookman Old Style" w:eastAsia="MS Mincho" w:hAnsi="Bookman Old Style" w:cs="Arial"/>
          <w:lang w:val="es-CO"/>
        </w:rPr>
        <w:t xml:space="preserve">las poblaciones de </w:t>
      </w:r>
      <w:r w:rsidR="00416022">
        <w:rPr>
          <w:rFonts w:ascii="Bookman Old Style" w:eastAsia="MS Mincho" w:hAnsi="Bookman Old Style" w:cs="Arial"/>
          <w:lang w:val="es-CO"/>
        </w:rPr>
        <w:t>Puente Lata y Santa Cruz.</w:t>
      </w:r>
      <w:r w:rsidR="004E5B01">
        <w:rPr>
          <w:rFonts w:ascii="Bookman Old Style" w:eastAsia="MS Mincho" w:hAnsi="Bookman Old Style" w:cs="Arial"/>
          <w:lang w:val="es-CO"/>
        </w:rPr>
        <w:t xml:space="preserve"> </w:t>
      </w:r>
      <w:r w:rsidR="007F12DD">
        <w:rPr>
          <w:rFonts w:ascii="Bookman Old Style" w:eastAsia="MS Mincho" w:hAnsi="Bookman Old Style" w:cs="Arial"/>
          <w:lang w:val="es-CO"/>
        </w:rPr>
        <w:t>Inclusive</w:t>
      </w:r>
      <w:r w:rsidR="00C64024">
        <w:rPr>
          <w:rFonts w:ascii="Bookman Old Style" w:eastAsia="MS Mincho" w:hAnsi="Bookman Old Style" w:cs="Arial"/>
          <w:lang w:val="es-CO"/>
        </w:rPr>
        <w:t xml:space="preserve">, </w:t>
      </w:r>
      <w:r w:rsidR="00FD01A2">
        <w:rPr>
          <w:rFonts w:ascii="Bookman Old Style" w:eastAsia="MS Mincho" w:hAnsi="Bookman Old Style" w:cs="Arial"/>
          <w:lang w:val="es-CO"/>
        </w:rPr>
        <w:t xml:space="preserve">debe resaltarse el hecho de que </w:t>
      </w:r>
      <w:r w:rsidR="00454F99">
        <w:rPr>
          <w:rFonts w:ascii="Bookman Old Style" w:eastAsia="MS Mincho" w:hAnsi="Bookman Old Style" w:cs="Arial"/>
          <w:lang w:val="es-CO"/>
        </w:rPr>
        <w:t xml:space="preserve">GENSA ya era operador de la infraestructura entregada por el MME </w:t>
      </w:r>
      <w:r w:rsidR="003D662F">
        <w:rPr>
          <w:rFonts w:ascii="Bookman Old Style" w:eastAsia="MS Mincho" w:hAnsi="Bookman Old Style" w:cs="Arial"/>
          <w:lang w:val="es-CO"/>
        </w:rPr>
        <w:t>mediante contrato especial GGC 209-2013</w:t>
      </w:r>
      <w:r w:rsidR="006510CC">
        <w:rPr>
          <w:rFonts w:ascii="Bookman Old Style" w:eastAsia="MS Mincho" w:hAnsi="Bookman Old Style" w:cs="Arial"/>
          <w:lang w:val="es-CO"/>
        </w:rPr>
        <w:t xml:space="preserve"> en el momento de la entrega de las mencionadas derivaciones</w:t>
      </w:r>
      <w:r w:rsidR="001C3A1F">
        <w:rPr>
          <w:rFonts w:ascii="Bookman Old Style" w:eastAsia="MS Mincho" w:hAnsi="Bookman Old Style" w:cs="Arial"/>
          <w:lang w:val="es-CO"/>
        </w:rPr>
        <w:t xml:space="preserve">, toda vez que el contrato </w:t>
      </w:r>
      <w:r w:rsidR="007F2B36">
        <w:rPr>
          <w:rFonts w:ascii="Bookman Old Style" w:eastAsia="MS Mincho" w:hAnsi="Bookman Old Style" w:cs="Arial"/>
          <w:lang w:val="es-CO"/>
        </w:rPr>
        <w:t xml:space="preserve">especial fue suscrito el </w:t>
      </w:r>
      <w:r w:rsidR="00E53B4B">
        <w:rPr>
          <w:rFonts w:ascii="Bookman Old Style" w:eastAsia="MS Mincho" w:hAnsi="Bookman Old Style" w:cs="Arial"/>
          <w:lang w:val="es-CO"/>
        </w:rPr>
        <w:t>27 de diciembre de 2013</w:t>
      </w:r>
      <w:r w:rsidR="00A8001B">
        <w:rPr>
          <w:rFonts w:ascii="Bookman Old Style" w:eastAsia="MS Mincho" w:hAnsi="Bookman Old Style" w:cs="Arial"/>
          <w:lang w:val="es-CO"/>
        </w:rPr>
        <w:t>,</w:t>
      </w:r>
      <w:r w:rsidR="00E53B4B">
        <w:rPr>
          <w:rFonts w:ascii="Bookman Old Style" w:eastAsia="MS Mincho" w:hAnsi="Bookman Old Style" w:cs="Arial"/>
          <w:lang w:val="es-CO"/>
        </w:rPr>
        <w:t xml:space="preserve"> y </w:t>
      </w:r>
      <w:r w:rsidR="00693B16">
        <w:rPr>
          <w:rFonts w:ascii="Bookman Old Style" w:eastAsia="MS Mincho" w:hAnsi="Bookman Old Style" w:cs="Arial"/>
          <w:lang w:val="es-CO"/>
        </w:rPr>
        <w:t>la entrega de las de</w:t>
      </w:r>
      <w:r w:rsidR="007A22D8">
        <w:rPr>
          <w:rFonts w:ascii="Bookman Old Style" w:eastAsia="MS Mincho" w:hAnsi="Bookman Old Style" w:cs="Arial"/>
          <w:lang w:val="es-CO"/>
        </w:rPr>
        <w:t>rivaciones se llevó a cabo el 23 de febrero de 2015.</w:t>
      </w:r>
    </w:p>
    <w:p w14:paraId="406B06A0" w14:textId="77777777" w:rsidR="007D455D" w:rsidRDefault="007D455D" w:rsidP="00546105">
      <w:pPr>
        <w:ind w:left="284"/>
        <w:contextualSpacing/>
        <w:jc w:val="both"/>
        <w:rPr>
          <w:rFonts w:ascii="Bookman Old Style" w:eastAsia="MS Mincho" w:hAnsi="Bookman Old Style" w:cs="Arial"/>
          <w:lang w:val="es-CO"/>
        </w:rPr>
      </w:pPr>
    </w:p>
    <w:p w14:paraId="64E9F466" w14:textId="19923879" w:rsidR="00416022" w:rsidRDefault="00416022" w:rsidP="00546105">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Ahora, </w:t>
      </w:r>
      <w:r w:rsidR="00BC4BF6">
        <w:rPr>
          <w:rFonts w:ascii="Bookman Old Style" w:eastAsia="MS Mincho" w:hAnsi="Bookman Old Style" w:cs="Arial"/>
          <w:lang w:val="es-CO"/>
        </w:rPr>
        <w:t>el sistema energético puede operar atendiendo la demanda del mercado relevante de Mitú soportándose solamente en la generación diésel</w:t>
      </w:r>
      <w:r w:rsidR="00D62609">
        <w:rPr>
          <w:rFonts w:ascii="Bookman Old Style" w:eastAsia="MS Mincho" w:hAnsi="Bookman Old Style" w:cs="Arial"/>
          <w:lang w:val="es-CO"/>
        </w:rPr>
        <w:t xml:space="preserve"> o con el despacho simultáneo de los dos recursos. En el primero de los casos</w:t>
      </w:r>
      <w:r w:rsidR="008B6150">
        <w:rPr>
          <w:rFonts w:ascii="Bookman Old Style" w:eastAsia="MS Mincho" w:hAnsi="Bookman Old Style" w:cs="Arial"/>
          <w:lang w:val="es-CO"/>
        </w:rPr>
        <w:t xml:space="preserve">, </w:t>
      </w:r>
      <w:r w:rsidR="00C93A4F">
        <w:rPr>
          <w:rFonts w:ascii="Bookman Old Style" w:eastAsia="MS Mincho" w:hAnsi="Bookman Old Style" w:cs="Arial"/>
          <w:lang w:val="es-CO"/>
        </w:rPr>
        <w:t xml:space="preserve">para </w:t>
      </w:r>
      <w:r w:rsidR="00733F04">
        <w:rPr>
          <w:rFonts w:ascii="Bookman Old Style" w:eastAsia="MS Mincho" w:hAnsi="Bookman Old Style" w:cs="Arial"/>
          <w:lang w:val="es-CO"/>
        </w:rPr>
        <w:t xml:space="preserve">atender la población de Santa Cruz </w:t>
      </w:r>
      <w:r w:rsidR="006470D6">
        <w:rPr>
          <w:rFonts w:ascii="Bookman Old Style" w:eastAsia="MS Mincho" w:hAnsi="Bookman Old Style" w:cs="Arial"/>
          <w:lang w:val="es-CO"/>
        </w:rPr>
        <w:t xml:space="preserve">la energía </w:t>
      </w:r>
      <w:r w:rsidR="00DB3805">
        <w:rPr>
          <w:rFonts w:ascii="Bookman Old Style" w:eastAsia="MS Mincho" w:hAnsi="Bookman Old Style" w:cs="Arial"/>
          <w:lang w:val="es-CO"/>
        </w:rPr>
        <w:t xml:space="preserve">es </w:t>
      </w:r>
      <w:r w:rsidR="00005D3A">
        <w:rPr>
          <w:rFonts w:ascii="Bookman Old Style" w:eastAsia="MS Mincho" w:hAnsi="Bookman Old Style" w:cs="Arial"/>
          <w:lang w:val="es-CO"/>
        </w:rPr>
        <w:t>transporta</w:t>
      </w:r>
      <w:r w:rsidR="00DB3805">
        <w:rPr>
          <w:rFonts w:ascii="Bookman Old Style" w:eastAsia="MS Mincho" w:hAnsi="Bookman Old Style" w:cs="Arial"/>
          <w:lang w:val="es-CO"/>
        </w:rPr>
        <w:t>da</w:t>
      </w:r>
      <w:r w:rsidR="00005D3A">
        <w:rPr>
          <w:rFonts w:ascii="Bookman Old Style" w:eastAsia="MS Mincho" w:hAnsi="Bookman Old Style" w:cs="Arial"/>
          <w:lang w:val="es-CO"/>
        </w:rPr>
        <w:t xml:space="preserve"> </w:t>
      </w:r>
      <w:r w:rsidR="005C5FA3">
        <w:rPr>
          <w:rFonts w:ascii="Bookman Old Style" w:eastAsia="MS Mincho" w:hAnsi="Bookman Old Style" w:cs="Arial"/>
          <w:lang w:val="es-CO"/>
        </w:rPr>
        <w:t>por la línea de 34.5 kV</w:t>
      </w:r>
      <w:r w:rsidR="00604343">
        <w:rPr>
          <w:rFonts w:ascii="Bookman Old Style" w:eastAsia="MS Mincho" w:hAnsi="Bookman Old Style" w:cs="Arial"/>
          <w:lang w:val="es-CO"/>
        </w:rPr>
        <w:t xml:space="preserve">, alimentada desde la Subestación Mitú. En el segundo caso, </w:t>
      </w:r>
      <w:r w:rsidR="000614B1">
        <w:rPr>
          <w:rFonts w:ascii="Bookman Old Style" w:eastAsia="MS Mincho" w:hAnsi="Bookman Old Style" w:cs="Arial"/>
          <w:lang w:val="es-CO"/>
        </w:rPr>
        <w:t xml:space="preserve">el sentido de la energía en el nivel de tensión </w:t>
      </w:r>
      <w:r w:rsidR="009D7E2C">
        <w:rPr>
          <w:rFonts w:ascii="Bookman Old Style" w:eastAsia="MS Mincho" w:hAnsi="Bookman Old Style" w:cs="Arial"/>
          <w:lang w:val="es-CO"/>
        </w:rPr>
        <w:t xml:space="preserve">de 34.5 kV </w:t>
      </w:r>
      <w:r w:rsidR="00B47CF3">
        <w:rPr>
          <w:rFonts w:ascii="Bookman Old Style" w:eastAsia="MS Mincho" w:hAnsi="Bookman Old Style" w:cs="Arial"/>
          <w:lang w:val="es-CO"/>
        </w:rPr>
        <w:t>tiene como inicio la MCH Mitú</w:t>
      </w:r>
      <w:r w:rsidR="00B65D4A">
        <w:rPr>
          <w:rFonts w:ascii="Bookman Old Style" w:eastAsia="MS Mincho" w:hAnsi="Bookman Old Style" w:cs="Arial"/>
          <w:lang w:val="es-CO"/>
        </w:rPr>
        <w:t xml:space="preserve"> y desde allí </w:t>
      </w:r>
      <w:r w:rsidR="00671AB5">
        <w:rPr>
          <w:rFonts w:ascii="Bookman Old Style" w:eastAsia="MS Mincho" w:hAnsi="Bookman Old Style" w:cs="Arial"/>
          <w:lang w:val="es-CO"/>
        </w:rPr>
        <w:t>a la torre 1</w:t>
      </w:r>
      <w:r w:rsidR="00A8001B">
        <w:rPr>
          <w:rFonts w:ascii="Bookman Old Style" w:eastAsia="MS Mincho" w:hAnsi="Bookman Old Style" w:cs="Arial"/>
          <w:lang w:val="es-CO"/>
        </w:rPr>
        <w:t>,</w:t>
      </w:r>
      <w:r w:rsidR="00973D75">
        <w:rPr>
          <w:rFonts w:ascii="Bookman Old Style" w:eastAsia="MS Mincho" w:hAnsi="Bookman Old Style" w:cs="Arial"/>
          <w:lang w:val="es-CO"/>
        </w:rPr>
        <w:t xml:space="preserve"> </w:t>
      </w:r>
      <w:r w:rsidR="00B628F9">
        <w:rPr>
          <w:rFonts w:ascii="Bookman Old Style" w:eastAsia="MS Mincho" w:hAnsi="Bookman Old Style" w:cs="Arial"/>
          <w:lang w:val="es-CO"/>
        </w:rPr>
        <w:t xml:space="preserve">desde donde </w:t>
      </w:r>
      <w:r w:rsidR="00973D75">
        <w:rPr>
          <w:rFonts w:ascii="Bookman Old Style" w:eastAsia="MS Mincho" w:hAnsi="Bookman Old Style" w:cs="Arial"/>
          <w:lang w:val="es-CO"/>
        </w:rPr>
        <w:t xml:space="preserve">se </w:t>
      </w:r>
      <w:r w:rsidR="00B628F9">
        <w:rPr>
          <w:rFonts w:ascii="Bookman Old Style" w:eastAsia="MS Mincho" w:hAnsi="Bookman Old Style" w:cs="Arial"/>
          <w:lang w:val="es-CO"/>
        </w:rPr>
        <w:t xml:space="preserve">hace el </w:t>
      </w:r>
      <w:r w:rsidR="00973D75">
        <w:rPr>
          <w:rFonts w:ascii="Bookman Old Style" w:eastAsia="MS Mincho" w:hAnsi="Bookman Old Style" w:cs="Arial"/>
          <w:lang w:val="es-CO"/>
        </w:rPr>
        <w:t xml:space="preserve">transporte de energía </w:t>
      </w:r>
      <w:r w:rsidR="00B628F9">
        <w:rPr>
          <w:rFonts w:ascii="Bookman Old Style" w:eastAsia="MS Mincho" w:hAnsi="Bookman Old Style" w:cs="Arial"/>
          <w:lang w:val="es-CO"/>
        </w:rPr>
        <w:t xml:space="preserve">hacia </w:t>
      </w:r>
      <w:r w:rsidR="00DF71B3">
        <w:rPr>
          <w:rFonts w:ascii="Bookman Old Style" w:eastAsia="MS Mincho" w:hAnsi="Bookman Old Style" w:cs="Arial"/>
          <w:lang w:val="es-CO"/>
        </w:rPr>
        <w:t>usuarios.</w:t>
      </w:r>
    </w:p>
    <w:p w14:paraId="1A7A257A" w14:textId="77777777" w:rsidR="00DF71B3" w:rsidRDefault="00DF71B3" w:rsidP="00546105">
      <w:pPr>
        <w:ind w:left="284"/>
        <w:contextualSpacing/>
        <w:jc w:val="both"/>
        <w:rPr>
          <w:rFonts w:ascii="Bookman Old Style" w:eastAsia="MS Mincho" w:hAnsi="Bookman Old Style" w:cs="Arial"/>
          <w:lang w:val="es-CO"/>
        </w:rPr>
      </w:pPr>
    </w:p>
    <w:p w14:paraId="7C340B2B" w14:textId="198D48B6" w:rsidR="00830909" w:rsidRDefault="00DF71B3" w:rsidP="00830909">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De lo anterior se tiene que </w:t>
      </w:r>
      <w:r w:rsidR="00812121">
        <w:rPr>
          <w:rFonts w:ascii="Bookman Old Style" w:eastAsia="MS Mincho" w:hAnsi="Bookman Old Style" w:cs="Arial"/>
          <w:lang w:val="es-CO"/>
        </w:rPr>
        <w:t xml:space="preserve">el escenario en el que se cumple el supuesto </w:t>
      </w:r>
      <w:r w:rsidR="0071230B">
        <w:rPr>
          <w:rFonts w:ascii="Bookman Old Style" w:eastAsia="MS Mincho" w:hAnsi="Bookman Old Style" w:cs="Arial"/>
          <w:lang w:val="es-CO"/>
        </w:rPr>
        <w:t xml:space="preserve">de </w:t>
      </w:r>
      <w:r w:rsidR="00812121">
        <w:rPr>
          <w:rFonts w:ascii="Bookman Old Style" w:eastAsia="MS Mincho" w:hAnsi="Bookman Old Style" w:cs="Arial"/>
          <w:lang w:val="es-CO"/>
        </w:rPr>
        <w:t>que antes de la barra de entre</w:t>
      </w:r>
      <w:r w:rsidR="00A5388C">
        <w:rPr>
          <w:rFonts w:ascii="Bookman Old Style" w:eastAsia="MS Mincho" w:hAnsi="Bookman Old Style" w:cs="Arial"/>
          <w:lang w:val="es-CO"/>
        </w:rPr>
        <w:t>ga</w:t>
      </w:r>
      <w:r w:rsidR="00812121">
        <w:rPr>
          <w:rFonts w:ascii="Bookman Old Style" w:eastAsia="MS Mincho" w:hAnsi="Bookman Old Style" w:cs="Arial"/>
          <w:lang w:val="es-CO"/>
        </w:rPr>
        <w:t xml:space="preserve"> del generador no puede darse el transporte de energía que se destine a usuarios</w:t>
      </w:r>
      <w:r w:rsidR="00663E52">
        <w:rPr>
          <w:rFonts w:ascii="Bookman Old Style" w:eastAsia="MS Mincho" w:hAnsi="Bookman Old Style" w:cs="Arial"/>
          <w:lang w:val="es-CO"/>
        </w:rPr>
        <w:t xml:space="preserve">, </w:t>
      </w:r>
      <w:r w:rsidR="00CD4D89">
        <w:rPr>
          <w:rFonts w:ascii="Bookman Old Style" w:eastAsia="MS Mincho" w:hAnsi="Bookman Old Style" w:cs="Arial"/>
          <w:lang w:val="es-CO"/>
        </w:rPr>
        <w:t xml:space="preserve">es el </w:t>
      </w:r>
      <w:r w:rsidR="00485048">
        <w:rPr>
          <w:rFonts w:ascii="Bookman Old Style" w:eastAsia="MS Mincho" w:hAnsi="Bookman Old Style" w:cs="Arial"/>
          <w:lang w:val="es-CO"/>
        </w:rPr>
        <w:t>escenario dos descrito anteriormente</w:t>
      </w:r>
      <w:r w:rsidR="00A8001B">
        <w:rPr>
          <w:rFonts w:ascii="Bookman Old Style" w:eastAsia="MS Mincho" w:hAnsi="Bookman Old Style" w:cs="Arial"/>
          <w:lang w:val="es-CO"/>
        </w:rPr>
        <w:t>,</w:t>
      </w:r>
      <w:r w:rsidR="00485048">
        <w:rPr>
          <w:rFonts w:ascii="Bookman Old Style" w:eastAsia="MS Mincho" w:hAnsi="Bookman Old Style" w:cs="Arial"/>
          <w:lang w:val="es-CO"/>
        </w:rPr>
        <w:t xml:space="preserve"> en el que se tienen</w:t>
      </w:r>
      <w:r w:rsidR="00830909">
        <w:rPr>
          <w:rFonts w:ascii="Bookman Old Style" w:eastAsia="MS Mincho" w:hAnsi="Bookman Old Style" w:cs="Arial"/>
          <w:lang w:val="es-CO"/>
        </w:rPr>
        <w:t xml:space="preserve"> dos puntos de conexión, uno en el </w:t>
      </w:r>
      <w:r w:rsidR="00830909" w:rsidRPr="00293E94">
        <w:rPr>
          <w:rFonts w:ascii="Bookman Old Style" w:eastAsia="MS Mincho" w:hAnsi="Bookman Old Style" w:cs="Arial"/>
          <w:lang w:val="es-CO"/>
        </w:rPr>
        <w:t>tablero de 480V</w:t>
      </w:r>
      <w:r w:rsidR="00830909">
        <w:rPr>
          <w:rFonts w:ascii="Bookman Old Style" w:eastAsia="MS Mincho" w:hAnsi="Bookman Old Style" w:cs="Arial"/>
          <w:lang w:val="es-CO"/>
        </w:rPr>
        <w:t xml:space="preserve"> que recoge la generación diésel y </w:t>
      </w:r>
      <w:r w:rsidR="004664F2">
        <w:rPr>
          <w:rFonts w:ascii="Bookman Old Style" w:eastAsia="MS Mincho" w:hAnsi="Bookman Old Style" w:cs="Arial"/>
          <w:lang w:val="es-CO"/>
        </w:rPr>
        <w:t xml:space="preserve">otro </w:t>
      </w:r>
      <w:r w:rsidR="00830909">
        <w:rPr>
          <w:rFonts w:ascii="Bookman Old Style" w:eastAsia="MS Mincho" w:hAnsi="Bookman Old Style" w:cs="Arial"/>
          <w:lang w:val="es-CO"/>
        </w:rPr>
        <w:t xml:space="preserve">en el </w:t>
      </w:r>
      <w:r w:rsidR="00830909" w:rsidRPr="00683C1F">
        <w:rPr>
          <w:rFonts w:ascii="Bookman Old Style" w:eastAsia="MS Mincho" w:hAnsi="Bookman Old Style" w:cs="Arial"/>
          <w:lang w:val="es-CO"/>
        </w:rPr>
        <w:t xml:space="preserve">tablero de 34.5 </w:t>
      </w:r>
      <w:r w:rsidR="00830909">
        <w:rPr>
          <w:rFonts w:ascii="Bookman Old Style" w:eastAsia="MS Mincho" w:hAnsi="Bookman Old Style" w:cs="Arial"/>
          <w:lang w:val="es-CO"/>
        </w:rPr>
        <w:t>kV que recoge la generación hídrica.</w:t>
      </w:r>
    </w:p>
    <w:p w14:paraId="739D735E" w14:textId="77777777" w:rsidR="00830909" w:rsidRDefault="00830909" w:rsidP="00830909">
      <w:pPr>
        <w:ind w:left="284"/>
        <w:contextualSpacing/>
        <w:jc w:val="both"/>
        <w:rPr>
          <w:rFonts w:ascii="Bookman Old Style" w:eastAsia="MS Mincho" w:hAnsi="Bookman Old Style" w:cs="Arial"/>
          <w:lang w:val="es-CO"/>
        </w:rPr>
      </w:pPr>
    </w:p>
    <w:p w14:paraId="001F3B40" w14:textId="2A9A726A" w:rsidR="0061533E" w:rsidRDefault="00E5396C" w:rsidP="00192397">
      <w:pPr>
        <w:tabs>
          <w:tab w:val="left" w:pos="800"/>
        </w:tabs>
        <w:ind w:left="284"/>
        <w:contextualSpacing/>
        <w:jc w:val="both"/>
        <w:rPr>
          <w:rFonts w:ascii="Bookman Old Style" w:eastAsia="MS Mincho" w:hAnsi="Bookman Old Style" w:cs="Arial"/>
          <w:lang w:val="es-CO"/>
        </w:rPr>
      </w:pPr>
      <w:r>
        <w:rPr>
          <w:rFonts w:ascii="Bookman Old Style" w:eastAsia="MS Mincho" w:hAnsi="Bookman Old Style" w:cs="Arial"/>
          <w:lang w:val="es-CO"/>
        </w:rPr>
        <w:t>De lo anterior</w:t>
      </w:r>
      <w:r w:rsidR="00D623B9">
        <w:rPr>
          <w:rFonts w:ascii="Bookman Old Style" w:eastAsia="MS Mincho" w:hAnsi="Bookman Old Style" w:cs="Arial"/>
          <w:lang w:val="es-CO"/>
        </w:rPr>
        <w:t>,</w:t>
      </w:r>
      <w:r>
        <w:rPr>
          <w:rFonts w:ascii="Bookman Old Style" w:eastAsia="MS Mincho" w:hAnsi="Bookman Old Style" w:cs="Arial"/>
          <w:lang w:val="es-CO"/>
        </w:rPr>
        <w:t xml:space="preserve"> se </w:t>
      </w:r>
      <w:r w:rsidR="001611F8">
        <w:rPr>
          <w:rFonts w:ascii="Bookman Old Style" w:eastAsia="MS Mincho" w:hAnsi="Bookman Old Style" w:cs="Arial"/>
          <w:lang w:val="es-CO"/>
        </w:rPr>
        <w:t>concluye que el sistema energético de</w:t>
      </w:r>
      <w:r w:rsidR="00C27727">
        <w:rPr>
          <w:rFonts w:ascii="Bookman Old Style" w:eastAsia="MS Mincho" w:hAnsi="Bookman Old Style" w:cs="Arial"/>
          <w:lang w:val="es-CO"/>
        </w:rPr>
        <w:t xml:space="preserve">l mercado relevante de comercialización de </w:t>
      </w:r>
      <w:r w:rsidR="001611F8">
        <w:rPr>
          <w:rFonts w:ascii="Bookman Old Style" w:eastAsia="MS Mincho" w:hAnsi="Bookman Old Style" w:cs="Arial"/>
          <w:lang w:val="es-CO"/>
        </w:rPr>
        <w:t xml:space="preserve">Mitú </w:t>
      </w:r>
      <w:r w:rsidR="00EA67A0">
        <w:rPr>
          <w:rFonts w:ascii="Bookman Old Style" w:eastAsia="MS Mincho" w:hAnsi="Bookman Old Style" w:cs="Arial"/>
          <w:lang w:val="es-CO"/>
        </w:rPr>
        <w:t>tiene un parque de generación conformado por</w:t>
      </w:r>
      <w:r w:rsidR="00E424B0">
        <w:rPr>
          <w:rFonts w:ascii="Bookman Old Style" w:eastAsia="MS Mincho" w:hAnsi="Bookman Old Style" w:cs="Arial"/>
          <w:lang w:val="es-CO"/>
        </w:rPr>
        <w:t xml:space="preserve"> una</w:t>
      </w:r>
      <w:r w:rsidR="00A8001B">
        <w:rPr>
          <w:rFonts w:ascii="Bookman Old Style" w:eastAsia="MS Mincho" w:hAnsi="Bookman Old Style" w:cs="Arial"/>
          <w:lang w:val="es-CO"/>
        </w:rPr>
        <w:t xml:space="preserve"> c</w:t>
      </w:r>
      <w:r w:rsidR="00E424B0">
        <w:rPr>
          <w:rFonts w:ascii="Bookman Old Style" w:eastAsia="MS Mincho" w:hAnsi="Bookman Old Style" w:cs="Arial"/>
          <w:lang w:val="es-CO"/>
        </w:rPr>
        <w:t xml:space="preserve">entral </w:t>
      </w:r>
      <w:r w:rsidR="006E4150">
        <w:rPr>
          <w:rFonts w:ascii="Bookman Old Style" w:eastAsia="MS Mincho" w:hAnsi="Bookman Old Style" w:cs="Arial"/>
          <w:lang w:val="es-CO"/>
        </w:rPr>
        <w:t>diésel</w:t>
      </w:r>
      <w:r w:rsidR="00A8001B">
        <w:rPr>
          <w:rFonts w:ascii="Bookman Old Style" w:eastAsia="MS Mincho" w:hAnsi="Bookman Old Style" w:cs="Arial"/>
          <w:lang w:val="es-CO"/>
        </w:rPr>
        <w:t>,</w:t>
      </w:r>
      <w:r w:rsidR="006E4150">
        <w:rPr>
          <w:rFonts w:ascii="Bookman Old Style" w:eastAsia="MS Mincho" w:hAnsi="Bookman Old Style" w:cs="Arial"/>
          <w:lang w:val="es-CO"/>
        </w:rPr>
        <w:t xml:space="preserve"> </w:t>
      </w:r>
      <w:r w:rsidR="00E424B0">
        <w:rPr>
          <w:rFonts w:ascii="Bookman Old Style" w:eastAsia="MS Mincho" w:hAnsi="Bookman Old Style" w:cs="Arial"/>
          <w:lang w:val="es-CO"/>
        </w:rPr>
        <w:t xml:space="preserve">que tiene la barra de </w:t>
      </w:r>
      <w:r w:rsidR="00880094">
        <w:rPr>
          <w:rFonts w:ascii="Bookman Old Style" w:eastAsia="MS Mincho" w:hAnsi="Bookman Old Style" w:cs="Arial"/>
          <w:lang w:val="es-CO"/>
        </w:rPr>
        <w:t xml:space="preserve">entrega del generador </w:t>
      </w:r>
      <w:r w:rsidR="00BE6EC9">
        <w:rPr>
          <w:rFonts w:ascii="Bookman Old Style" w:eastAsia="MS Mincho" w:hAnsi="Bookman Old Style" w:cs="Arial"/>
          <w:lang w:val="es-CO"/>
        </w:rPr>
        <w:t xml:space="preserve">en el </w:t>
      </w:r>
      <w:r w:rsidR="00BE6EC9" w:rsidRPr="00293E94">
        <w:rPr>
          <w:rFonts w:ascii="Bookman Old Style" w:eastAsia="MS Mincho" w:hAnsi="Bookman Old Style" w:cs="Arial"/>
          <w:lang w:val="es-CO"/>
        </w:rPr>
        <w:t>tablero de 480V</w:t>
      </w:r>
      <w:r w:rsidR="00A8001B">
        <w:rPr>
          <w:rFonts w:ascii="Bookman Old Style" w:eastAsia="MS Mincho" w:hAnsi="Bookman Old Style" w:cs="Arial"/>
          <w:lang w:val="es-CO"/>
        </w:rPr>
        <w:t>,</w:t>
      </w:r>
      <w:r w:rsidR="00DB5981">
        <w:rPr>
          <w:rFonts w:ascii="Bookman Old Style" w:eastAsia="MS Mincho" w:hAnsi="Bookman Old Style" w:cs="Arial"/>
          <w:lang w:val="es-CO"/>
        </w:rPr>
        <w:t xml:space="preserve"> y una </w:t>
      </w:r>
      <w:r w:rsidR="00F27B79">
        <w:rPr>
          <w:rFonts w:ascii="Bookman Old Style" w:eastAsia="MS Mincho" w:hAnsi="Bookman Old Style" w:cs="Arial"/>
          <w:lang w:val="es-CO"/>
        </w:rPr>
        <w:t xml:space="preserve">microcentral </w:t>
      </w:r>
      <w:r w:rsidR="008220BD">
        <w:rPr>
          <w:rFonts w:ascii="Bookman Old Style" w:eastAsia="MS Mincho" w:hAnsi="Bookman Old Style" w:cs="Arial"/>
          <w:lang w:val="es-CO"/>
        </w:rPr>
        <w:t>hidroeléctrica</w:t>
      </w:r>
      <w:r w:rsidR="00A8001B">
        <w:rPr>
          <w:rFonts w:ascii="Bookman Old Style" w:eastAsia="MS Mincho" w:hAnsi="Bookman Old Style" w:cs="Arial"/>
          <w:lang w:val="es-CO"/>
        </w:rPr>
        <w:t>,</w:t>
      </w:r>
      <w:r w:rsidR="008220BD">
        <w:rPr>
          <w:rFonts w:ascii="Bookman Old Style" w:eastAsia="MS Mincho" w:hAnsi="Bookman Old Style" w:cs="Arial"/>
          <w:lang w:val="es-CO"/>
        </w:rPr>
        <w:t xml:space="preserve"> que tiene la barra de entrega del generador en el </w:t>
      </w:r>
      <w:r w:rsidR="008220BD" w:rsidRPr="00683C1F">
        <w:rPr>
          <w:rFonts w:ascii="Bookman Old Style" w:eastAsia="MS Mincho" w:hAnsi="Bookman Old Style" w:cs="Arial"/>
          <w:lang w:val="es-CO"/>
        </w:rPr>
        <w:t xml:space="preserve">tablero de 34.5 </w:t>
      </w:r>
      <w:r w:rsidR="008220BD">
        <w:rPr>
          <w:rFonts w:ascii="Bookman Old Style" w:eastAsia="MS Mincho" w:hAnsi="Bookman Old Style" w:cs="Arial"/>
          <w:lang w:val="es-CO"/>
        </w:rPr>
        <w:t>kV.</w:t>
      </w:r>
    </w:p>
    <w:p w14:paraId="6B8E9A8C" w14:textId="77777777" w:rsidR="0061533E" w:rsidRDefault="0061533E" w:rsidP="00192397">
      <w:pPr>
        <w:tabs>
          <w:tab w:val="left" w:pos="800"/>
        </w:tabs>
        <w:ind w:left="284"/>
        <w:contextualSpacing/>
        <w:jc w:val="both"/>
        <w:rPr>
          <w:rFonts w:ascii="Bookman Old Style" w:eastAsia="MS Mincho" w:hAnsi="Bookman Old Style" w:cs="Arial"/>
          <w:lang w:val="es-CO"/>
        </w:rPr>
      </w:pPr>
    </w:p>
    <w:p w14:paraId="47A0DCEF" w14:textId="3304783E" w:rsidR="00830909" w:rsidRDefault="009E00A0" w:rsidP="00192397">
      <w:pPr>
        <w:tabs>
          <w:tab w:val="left" w:pos="800"/>
        </w:tabs>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Respecto del </w:t>
      </w:r>
      <w:r w:rsidR="00EC0928">
        <w:rPr>
          <w:rFonts w:ascii="Bookman Old Style" w:eastAsia="MS Mincho" w:hAnsi="Bookman Old Style" w:cs="Arial"/>
          <w:lang w:val="es-CO"/>
        </w:rPr>
        <w:t>sistema de distribución</w:t>
      </w:r>
      <w:r>
        <w:rPr>
          <w:rFonts w:ascii="Bookman Old Style" w:eastAsia="MS Mincho" w:hAnsi="Bookman Old Style" w:cs="Arial"/>
          <w:lang w:val="es-CO"/>
        </w:rPr>
        <w:t>, s</w:t>
      </w:r>
      <w:r w:rsidR="0042701B">
        <w:rPr>
          <w:rFonts w:ascii="Bookman Old Style" w:eastAsia="MS Mincho" w:hAnsi="Bookman Old Style" w:cs="Arial"/>
          <w:lang w:val="es-CO"/>
        </w:rPr>
        <w:t>e</w:t>
      </w:r>
      <w:r>
        <w:rPr>
          <w:rFonts w:ascii="Bookman Old Style" w:eastAsia="MS Mincho" w:hAnsi="Bookman Old Style" w:cs="Arial"/>
          <w:lang w:val="es-CO"/>
        </w:rPr>
        <w:t xml:space="preserve"> encuentra que este </w:t>
      </w:r>
      <w:r w:rsidR="00704952">
        <w:rPr>
          <w:rFonts w:ascii="Bookman Old Style" w:eastAsia="MS Mincho" w:hAnsi="Bookman Old Style" w:cs="Arial"/>
          <w:lang w:val="es-CO"/>
        </w:rPr>
        <w:t xml:space="preserve">está </w:t>
      </w:r>
      <w:r w:rsidR="00EC0928">
        <w:rPr>
          <w:rFonts w:ascii="Bookman Old Style" w:eastAsia="MS Mincho" w:hAnsi="Bookman Old Style" w:cs="Arial"/>
          <w:lang w:val="es-CO"/>
        </w:rPr>
        <w:t>conformado en el nivel de tensión tres (NT3) por la línea de 34.5 kV</w:t>
      </w:r>
      <w:r w:rsidR="00D179B3">
        <w:rPr>
          <w:rFonts w:ascii="Bookman Old Style" w:eastAsia="MS Mincho" w:hAnsi="Bookman Old Style" w:cs="Arial"/>
          <w:lang w:val="es-CO"/>
        </w:rPr>
        <w:t xml:space="preserve"> y la Subestación Mitú</w:t>
      </w:r>
      <w:r w:rsidR="00EC0928">
        <w:rPr>
          <w:rFonts w:ascii="Bookman Old Style" w:eastAsia="MS Mincho" w:hAnsi="Bookman Old Style" w:cs="Arial"/>
          <w:lang w:val="es-CO"/>
        </w:rPr>
        <w:t xml:space="preserve">, </w:t>
      </w:r>
      <w:r w:rsidR="0025027E">
        <w:rPr>
          <w:rFonts w:ascii="Bookman Old Style" w:eastAsia="MS Mincho" w:hAnsi="Bookman Old Style" w:cs="Arial"/>
          <w:lang w:val="es-CO"/>
        </w:rPr>
        <w:t xml:space="preserve">teniendo como uno de los puntos de conexión e </w:t>
      </w:r>
      <w:r w:rsidR="00EC0928">
        <w:rPr>
          <w:rFonts w:ascii="Bookman Old Style" w:eastAsia="MS Mincho" w:hAnsi="Bookman Old Style" w:cs="Arial"/>
          <w:lang w:val="es-CO"/>
        </w:rPr>
        <w:t>inic</w:t>
      </w:r>
      <w:r w:rsidR="0025027E">
        <w:rPr>
          <w:rFonts w:ascii="Bookman Old Style" w:eastAsia="MS Mincho" w:hAnsi="Bookman Old Style" w:cs="Arial"/>
          <w:lang w:val="es-CO"/>
        </w:rPr>
        <w:t xml:space="preserve">io </w:t>
      </w:r>
      <w:r w:rsidR="00C66B4B">
        <w:rPr>
          <w:rFonts w:ascii="Bookman Old Style" w:eastAsia="MS Mincho" w:hAnsi="Bookman Old Style" w:cs="Arial"/>
          <w:lang w:val="es-CO"/>
        </w:rPr>
        <w:t xml:space="preserve">el </w:t>
      </w:r>
      <w:r w:rsidR="00B13575" w:rsidRPr="00683C1F">
        <w:rPr>
          <w:rFonts w:ascii="Bookman Old Style" w:eastAsia="MS Mincho" w:hAnsi="Bookman Old Style" w:cs="Arial"/>
          <w:lang w:val="es-CO"/>
        </w:rPr>
        <w:t xml:space="preserve">tablero de 34.5 </w:t>
      </w:r>
      <w:r w:rsidR="00B13575">
        <w:rPr>
          <w:rFonts w:ascii="Bookman Old Style" w:eastAsia="MS Mincho" w:hAnsi="Bookman Old Style" w:cs="Arial"/>
          <w:lang w:val="es-CO"/>
        </w:rPr>
        <w:t>kV</w:t>
      </w:r>
      <w:r w:rsidR="00A8001B">
        <w:rPr>
          <w:rFonts w:ascii="Bookman Old Style" w:eastAsia="MS Mincho" w:hAnsi="Bookman Old Style" w:cs="Arial"/>
          <w:lang w:val="es-CO"/>
        </w:rPr>
        <w:t>,</w:t>
      </w:r>
      <w:r w:rsidR="002B17F7">
        <w:rPr>
          <w:rFonts w:ascii="Bookman Old Style" w:eastAsia="MS Mincho" w:hAnsi="Bookman Old Style" w:cs="Arial"/>
          <w:lang w:val="es-CO"/>
        </w:rPr>
        <w:t xml:space="preserve"> y otro punto después de los transformadores elevadores de </w:t>
      </w:r>
      <w:r w:rsidR="00E4233D" w:rsidRPr="00E4233D">
        <w:rPr>
          <w:rFonts w:ascii="Bookman Old Style" w:eastAsia="MS Mincho" w:hAnsi="Bookman Old Style" w:cs="Arial"/>
          <w:lang w:val="es-CO"/>
        </w:rPr>
        <w:t>1.6 y 2.5 MVA</w:t>
      </w:r>
      <w:r w:rsidR="00D33D24">
        <w:rPr>
          <w:rFonts w:ascii="Bookman Old Style" w:eastAsia="MS Mincho" w:hAnsi="Bookman Old Style" w:cs="Arial"/>
          <w:lang w:val="es-CO"/>
        </w:rPr>
        <w:t xml:space="preserve"> que se conectan al pórtico </w:t>
      </w:r>
      <w:r w:rsidR="00A95897" w:rsidRPr="00A95897">
        <w:rPr>
          <w:rFonts w:ascii="Bookman Old Style" w:eastAsia="MS Mincho" w:hAnsi="Bookman Old Style" w:cs="Arial"/>
          <w:lang w:val="es-CO"/>
        </w:rPr>
        <w:t>con barraje de 13.8 k</w:t>
      </w:r>
      <w:r w:rsidR="00CC4616">
        <w:rPr>
          <w:rFonts w:ascii="Bookman Old Style" w:eastAsia="MS Mincho" w:hAnsi="Bookman Old Style" w:cs="Arial"/>
          <w:lang w:val="es-CO"/>
        </w:rPr>
        <w:t>V</w:t>
      </w:r>
      <w:r w:rsidR="00ED12BE">
        <w:rPr>
          <w:rFonts w:ascii="Bookman Old Style" w:eastAsia="MS Mincho" w:hAnsi="Bookman Old Style" w:cs="Arial"/>
          <w:lang w:val="es-CO"/>
        </w:rPr>
        <w:t xml:space="preserve"> de la</w:t>
      </w:r>
      <w:r w:rsidR="001C290F">
        <w:rPr>
          <w:rFonts w:ascii="Bookman Old Style" w:eastAsia="MS Mincho" w:hAnsi="Bookman Old Style" w:cs="Arial"/>
          <w:lang w:val="es-CO"/>
        </w:rPr>
        <w:t xml:space="preserve"> Subestación Mitú</w:t>
      </w:r>
      <w:r w:rsidR="00A96640">
        <w:rPr>
          <w:rFonts w:ascii="Bookman Old Style" w:eastAsia="MS Mincho" w:hAnsi="Bookman Old Style" w:cs="Arial"/>
          <w:lang w:val="es-CO"/>
        </w:rPr>
        <w:t>, activos operados actualmente por GENSA</w:t>
      </w:r>
      <w:r w:rsidR="00936386">
        <w:rPr>
          <w:rFonts w:ascii="Bookman Old Style" w:eastAsia="MS Mincho" w:hAnsi="Bookman Old Style" w:cs="Arial"/>
          <w:lang w:val="es-CO"/>
        </w:rPr>
        <w:t xml:space="preserve">; </w:t>
      </w:r>
      <w:r w:rsidR="00082254">
        <w:rPr>
          <w:rFonts w:ascii="Bookman Old Style" w:eastAsia="MS Mincho" w:hAnsi="Bookman Old Style" w:cs="Arial"/>
          <w:lang w:val="es-CO"/>
        </w:rPr>
        <w:t xml:space="preserve">el </w:t>
      </w:r>
      <w:r w:rsidR="00936386">
        <w:rPr>
          <w:rFonts w:ascii="Bookman Old Style" w:eastAsia="MS Mincho" w:hAnsi="Bookman Old Style" w:cs="Arial"/>
          <w:lang w:val="es-CO"/>
        </w:rPr>
        <w:t xml:space="preserve">nivel de tensión dos (NT2) </w:t>
      </w:r>
      <w:r w:rsidR="00082254">
        <w:rPr>
          <w:rFonts w:ascii="Bookman Old Style" w:eastAsia="MS Mincho" w:hAnsi="Bookman Old Style" w:cs="Arial"/>
          <w:lang w:val="es-CO"/>
        </w:rPr>
        <w:t xml:space="preserve">está </w:t>
      </w:r>
      <w:r w:rsidR="00936386">
        <w:rPr>
          <w:rFonts w:ascii="Bookman Old Style" w:eastAsia="MS Mincho" w:hAnsi="Bookman Old Style" w:cs="Arial"/>
          <w:lang w:val="es-CO"/>
        </w:rPr>
        <w:t xml:space="preserve">conformado por </w:t>
      </w:r>
      <w:r w:rsidR="00A06A01" w:rsidRPr="00A06A01">
        <w:rPr>
          <w:rFonts w:ascii="Bookman Old Style" w:eastAsia="MS Mincho" w:hAnsi="Bookman Old Style" w:cs="Arial"/>
          <w:lang w:val="es-CO"/>
        </w:rPr>
        <w:t>Circuito 1 Inaya, Circuito 2 Centro y Circuito Yararaca</w:t>
      </w:r>
      <w:r w:rsidR="00A8001B">
        <w:rPr>
          <w:rFonts w:ascii="Bookman Old Style" w:eastAsia="MS Mincho" w:hAnsi="Bookman Old Style" w:cs="Arial"/>
          <w:lang w:val="es-CO"/>
        </w:rPr>
        <w:t>,</w:t>
      </w:r>
      <w:r w:rsidR="00C54721">
        <w:rPr>
          <w:rFonts w:ascii="Bookman Old Style" w:eastAsia="MS Mincho" w:hAnsi="Bookman Old Style" w:cs="Arial"/>
          <w:lang w:val="es-CO"/>
        </w:rPr>
        <w:t xml:space="preserve"> y </w:t>
      </w:r>
      <w:r w:rsidR="0051610B">
        <w:rPr>
          <w:rFonts w:ascii="Bookman Old Style" w:eastAsia="MS Mincho" w:hAnsi="Bookman Old Style" w:cs="Arial"/>
          <w:lang w:val="es-CO"/>
        </w:rPr>
        <w:t>las derivaciones</w:t>
      </w:r>
      <w:r w:rsidR="0075669B">
        <w:rPr>
          <w:rFonts w:ascii="Bookman Old Style" w:eastAsia="MS Mincho" w:hAnsi="Bookman Old Style" w:cs="Arial"/>
          <w:lang w:val="es-CO"/>
        </w:rPr>
        <w:t xml:space="preserve"> de la línea de 34.5kV que operen en el respectivo nivel de tensión; sobre el ni</w:t>
      </w:r>
      <w:r w:rsidR="0013742D">
        <w:rPr>
          <w:rFonts w:ascii="Bookman Old Style" w:eastAsia="MS Mincho" w:hAnsi="Bookman Old Style" w:cs="Arial"/>
          <w:lang w:val="es-CO"/>
        </w:rPr>
        <w:t>vel de tensión uno (NT1) no se aportó información en desarrollo de la actuación</w:t>
      </w:r>
      <w:r w:rsidR="00A8001B">
        <w:rPr>
          <w:rFonts w:ascii="Bookman Old Style" w:eastAsia="MS Mincho" w:hAnsi="Bookman Old Style" w:cs="Arial"/>
          <w:lang w:val="es-CO"/>
        </w:rPr>
        <w:t>,</w:t>
      </w:r>
      <w:r w:rsidR="0013742D">
        <w:rPr>
          <w:rFonts w:ascii="Bookman Old Style" w:eastAsia="MS Mincho" w:hAnsi="Bookman Old Style" w:cs="Arial"/>
          <w:lang w:val="es-CO"/>
        </w:rPr>
        <w:t xml:space="preserve"> pero se entiende que dichos activos</w:t>
      </w:r>
      <w:r w:rsidR="00082254">
        <w:rPr>
          <w:rFonts w:ascii="Bookman Old Style" w:eastAsia="MS Mincho" w:hAnsi="Bookman Old Style" w:cs="Arial"/>
          <w:lang w:val="es-CO"/>
        </w:rPr>
        <w:t>, así como los del NT2</w:t>
      </w:r>
      <w:r w:rsidR="00A8001B">
        <w:rPr>
          <w:rFonts w:ascii="Bookman Old Style" w:eastAsia="MS Mincho" w:hAnsi="Bookman Old Style" w:cs="Arial"/>
          <w:lang w:val="es-CO"/>
        </w:rPr>
        <w:t>,</w:t>
      </w:r>
      <w:r w:rsidR="0013742D">
        <w:rPr>
          <w:rFonts w:ascii="Bookman Old Style" w:eastAsia="MS Mincho" w:hAnsi="Bookman Old Style" w:cs="Arial"/>
          <w:lang w:val="es-CO"/>
        </w:rPr>
        <w:t xml:space="preserve"> se encuentran operados por la Gobernación.</w:t>
      </w:r>
    </w:p>
    <w:p w14:paraId="097E82E3" w14:textId="77777777" w:rsidR="00A43D26" w:rsidRDefault="00A43D26" w:rsidP="00B264DC">
      <w:pPr>
        <w:ind w:left="284"/>
        <w:contextualSpacing/>
        <w:jc w:val="both"/>
        <w:rPr>
          <w:rFonts w:ascii="Bookman Old Style" w:hAnsi="Bookman Old Style" w:cs="Arial"/>
        </w:rPr>
      </w:pPr>
    </w:p>
    <w:p w14:paraId="0D60C622" w14:textId="16F83CFC" w:rsidR="00E83B2B" w:rsidRPr="00F74FAC" w:rsidRDefault="00E83B2B" w:rsidP="004151D2">
      <w:pPr>
        <w:pStyle w:val="Ttulo3"/>
        <w:ind w:left="284"/>
        <w:jc w:val="both"/>
        <w:rPr>
          <w:rFonts w:eastAsia="Bookman Old Style" w:cs="Arial"/>
          <w:szCs w:val="24"/>
        </w:rPr>
      </w:pPr>
      <w:r w:rsidRPr="00F74FAC">
        <w:rPr>
          <w:rFonts w:cs="Arial"/>
          <w:szCs w:val="24"/>
        </w:rPr>
        <w:t>7.2.</w:t>
      </w:r>
      <w:r w:rsidR="004151D2">
        <w:rPr>
          <w:rFonts w:cs="Arial"/>
          <w:szCs w:val="24"/>
        </w:rPr>
        <w:t>3</w:t>
      </w:r>
      <w:r w:rsidRPr="00F74FAC">
        <w:rPr>
          <w:rFonts w:cs="Arial"/>
          <w:szCs w:val="24"/>
        </w:rPr>
        <w:t>.</w:t>
      </w:r>
      <w:r w:rsidR="004151D2">
        <w:rPr>
          <w:rFonts w:cs="Arial"/>
          <w:szCs w:val="24"/>
        </w:rPr>
        <w:t xml:space="preserve"> </w:t>
      </w:r>
      <w:r w:rsidR="00530196">
        <w:rPr>
          <w:rFonts w:cs="Arial"/>
          <w:szCs w:val="24"/>
        </w:rPr>
        <w:t>SOLICITUD DE DUE CAPITAL AND SERVICES S.A.S.</w:t>
      </w:r>
    </w:p>
    <w:p w14:paraId="549DC8E3" w14:textId="77777777" w:rsidR="004151D2" w:rsidRPr="00A43D26" w:rsidRDefault="004151D2" w:rsidP="004151D2">
      <w:pPr>
        <w:ind w:left="284"/>
        <w:contextualSpacing/>
        <w:jc w:val="both"/>
        <w:rPr>
          <w:rFonts w:ascii="Bookman Old Style" w:hAnsi="Bookman Old Style" w:cs="Arial"/>
        </w:rPr>
      </w:pPr>
    </w:p>
    <w:p w14:paraId="47C48B55" w14:textId="1E94BECB" w:rsidR="00D034E1" w:rsidRDefault="005E4EFC" w:rsidP="00F02D15">
      <w:pPr>
        <w:ind w:left="284"/>
        <w:contextualSpacing/>
        <w:jc w:val="both"/>
        <w:rPr>
          <w:rFonts w:ascii="Bookman Old Style" w:eastAsia="MS Mincho" w:hAnsi="Bookman Old Style" w:cs="Arial"/>
          <w:lang w:val="es-MX"/>
        </w:rPr>
      </w:pPr>
      <w:r>
        <w:rPr>
          <w:rFonts w:ascii="Bookman Old Style" w:hAnsi="Bookman Old Style" w:cs="Arial"/>
        </w:rPr>
        <w:t xml:space="preserve">Según lo </w:t>
      </w:r>
      <w:r w:rsidR="003C35BE">
        <w:rPr>
          <w:rFonts w:ascii="Bookman Old Style" w:hAnsi="Bookman Old Style" w:cs="Arial"/>
        </w:rPr>
        <w:t xml:space="preserve">relacionado en el título </w:t>
      </w:r>
      <w:r w:rsidR="00D034E1">
        <w:rPr>
          <w:rFonts w:ascii="Bookman Old Style" w:hAnsi="Bookman Old Style" w:cs="Arial"/>
        </w:rPr>
        <w:t xml:space="preserve">3, DUE hace su solicitud </w:t>
      </w:r>
      <w:r w:rsidR="00D034E1">
        <w:rPr>
          <w:rFonts w:ascii="Bookman Old Style" w:eastAsia="MS Mincho" w:hAnsi="Bookman Old Style" w:cs="Arial"/>
          <w:lang w:val="es-MX"/>
        </w:rPr>
        <w:t>en dos partes</w:t>
      </w:r>
      <w:r w:rsidR="007A470B">
        <w:rPr>
          <w:rFonts w:ascii="Bookman Old Style" w:eastAsia="MS Mincho" w:hAnsi="Bookman Old Style" w:cs="Arial"/>
          <w:lang w:val="es-MX"/>
        </w:rPr>
        <w:t>. Una solicitud principal que se compone de tres elementos:</w:t>
      </w:r>
    </w:p>
    <w:p w14:paraId="04237075" w14:textId="77777777" w:rsidR="00D443A7" w:rsidRPr="001A7323" w:rsidRDefault="00D443A7" w:rsidP="001A7323">
      <w:pPr>
        <w:ind w:left="709" w:right="142" w:hanging="425"/>
        <w:contextualSpacing/>
        <w:jc w:val="both"/>
        <w:rPr>
          <w:rFonts w:ascii="Bookman Old Style" w:eastAsia="MS Mincho" w:hAnsi="Bookman Old Style" w:cs="Arial"/>
          <w:lang w:val="es-MX"/>
        </w:rPr>
      </w:pPr>
    </w:p>
    <w:p w14:paraId="3AAFA3D2" w14:textId="40167ADC" w:rsidR="00D443A7" w:rsidRDefault="00D443A7" w:rsidP="001A7323">
      <w:pPr>
        <w:pStyle w:val="Prrafodelista"/>
        <w:numPr>
          <w:ilvl w:val="0"/>
          <w:numId w:val="35"/>
        </w:numPr>
        <w:ind w:left="709" w:right="142" w:hanging="425"/>
        <w:contextualSpacing/>
        <w:jc w:val="both"/>
        <w:rPr>
          <w:rFonts w:ascii="Bookman Old Style" w:eastAsia="MS Mincho" w:hAnsi="Bookman Old Style" w:cs="Arial"/>
          <w:sz w:val="24"/>
          <w:szCs w:val="24"/>
          <w:lang w:val="es-MX"/>
        </w:rPr>
      </w:pPr>
      <w:r w:rsidRPr="001A7323">
        <w:rPr>
          <w:rFonts w:ascii="Bookman Old Style" w:eastAsia="MS Mincho" w:hAnsi="Bookman Old Style" w:cs="Arial"/>
          <w:sz w:val="24"/>
          <w:szCs w:val="24"/>
          <w:lang w:val="es-MX"/>
        </w:rPr>
        <w:t>Imponer servidumbre de conexión eléctrica a favor de la planta denominada Matakavi y a cargo de la torre 117 de la línea que conecta la central hidroeléctrica de Mitú con la central diésel.</w:t>
      </w:r>
    </w:p>
    <w:p w14:paraId="670A4C09" w14:textId="77777777" w:rsidR="001A7323" w:rsidRDefault="001A7323" w:rsidP="001A7323">
      <w:pPr>
        <w:pStyle w:val="Prrafodelista"/>
        <w:ind w:left="709" w:right="142"/>
        <w:contextualSpacing/>
        <w:jc w:val="both"/>
        <w:rPr>
          <w:rFonts w:ascii="Bookman Old Style" w:eastAsia="MS Mincho" w:hAnsi="Bookman Old Style" w:cs="Arial"/>
          <w:sz w:val="24"/>
          <w:szCs w:val="24"/>
          <w:lang w:val="es-MX"/>
        </w:rPr>
      </w:pPr>
    </w:p>
    <w:p w14:paraId="7F2C859A" w14:textId="23101CFA" w:rsidR="00D443A7" w:rsidRDefault="00D443A7" w:rsidP="001A7323">
      <w:pPr>
        <w:pStyle w:val="Prrafodelista"/>
        <w:numPr>
          <w:ilvl w:val="0"/>
          <w:numId w:val="35"/>
        </w:numPr>
        <w:ind w:left="709" w:right="142" w:hanging="425"/>
        <w:contextualSpacing/>
        <w:jc w:val="both"/>
        <w:rPr>
          <w:rFonts w:ascii="Bookman Old Style" w:eastAsia="MS Mincho" w:hAnsi="Bookman Old Style" w:cs="Arial"/>
          <w:sz w:val="24"/>
          <w:szCs w:val="24"/>
          <w:lang w:val="es-MX"/>
        </w:rPr>
      </w:pPr>
      <w:r w:rsidRPr="001A7323">
        <w:rPr>
          <w:rFonts w:ascii="Bookman Old Style" w:eastAsia="MS Mincho" w:hAnsi="Bookman Old Style" w:cs="Arial"/>
          <w:sz w:val="24"/>
          <w:szCs w:val="24"/>
          <w:lang w:val="es-MX"/>
        </w:rPr>
        <w:t xml:space="preserve">Establecer las condiciones técnicas en que se hará la conexión del generador Matakavi a </w:t>
      </w:r>
      <w:r w:rsidR="009376D6" w:rsidRPr="001A7323">
        <w:rPr>
          <w:rFonts w:ascii="Bookman Old Style" w:eastAsia="MS Mincho" w:hAnsi="Bookman Old Style" w:cs="Arial"/>
          <w:sz w:val="24"/>
          <w:szCs w:val="24"/>
          <w:lang w:val="es-MX"/>
        </w:rPr>
        <w:t xml:space="preserve">la </w:t>
      </w:r>
      <w:r w:rsidRPr="001A7323">
        <w:rPr>
          <w:rFonts w:ascii="Bookman Old Style" w:eastAsia="MS Mincho" w:hAnsi="Bookman Old Style" w:cs="Arial"/>
          <w:sz w:val="24"/>
          <w:szCs w:val="24"/>
          <w:lang w:val="es-MX"/>
        </w:rPr>
        <w:t xml:space="preserve">red, que son las que constan en el estudio de conexión acompaño con la solicitud de </w:t>
      </w:r>
      <w:r w:rsidR="001A7323" w:rsidRPr="001A7323">
        <w:rPr>
          <w:rFonts w:ascii="Bookman Old Style" w:eastAsia="MS Mincho" w:hAnsi="Bookman Old Style" w:cs="Arial"/>
          <w:sz w:val="24"/>
          <w:szCs w:val="24"/>
          <w:lang w:val="es-MX"/>
        </w:rPr>
        <w:t>DUE</w:t>
      </w:r>
      <w:r w:rsidRPr="001A7323">
        <w:rPr>
          <w:rFonts w:ascii="Bookman Old Style" w:eastAsia="MS Mincho" w:hAnsi="Bookman Old Style" w:cs="Arial"/>
          <w:sz w:val="24"/>
          <w:szCs w:val="24"/>
          <w:lang w:val="es-MX"/>
        </w:rPr>
        <w:t>.</w:t>
      </w:r>
    </w:p>
    <w:p w14:paraId="44F97D6C" w14:textId="77777777" w:rsidR="001A7323" w:rsidRPr="001A7323" w:rsidRDefault="001A7323" w:rsidP="00A401BA">
      <w:pPr>
        <w:pStyle w:val="Prrafodelista"/>
        <w:ind w:left="709" w:right="142"/>
        <w:contextualSpacing/>
        <w:jc w:val="both"/>
        <w:rPr>
          <w:rFonts w:ascii="Bookman Old Style" w:eastAsia="MS Mincho" w:hAnsi="Bookman Old Style" w:cs="Arial"/>
          <w:sz w:val="24"/>
          <w:szCs w:val="24"/>
          <w:lang w:val="es-MX"/>
        </w:rPr>
      </w:pPr>
    </w:p>
    <w:p w14:paraId="46BB23FF" w14:textId="6A06C826" w:rsidR="00D443A7" w:rsidRPr="001A7323" w:rsidRDefault="0092339A" w:rsidP="001A7323">
      <w:pPr>
        <w:pStyle w:val="Prrafodelista"/>
        <w:numPr>
          <w:ilvl w:val="0"/>
          <w:numId w:val="35"/>
        </w:numPr>
        <w:ind w:left="709" w:right="142" w:hanging="425"/>
        <w:contextualSpacing/>
        <w:jc w:val="both"/>
        <w:rPr>
          <w:rFonts w:ascii="Bookman Old Style" w:eastAsia="MS Mincho" w:hAnsi="Bookman Old Style" w:cs="Arial"/>
          <w:sz w:val="24"/>
          <w:szCs w:val="24"/>
          <w:lang w:val="es-MX"/>
        </w:rPr>
      </w:pPr>
      <w:r w:rsidRPr="001A7323">
        <w:rPr>
          <w:rFonts w:ascii="Bookman Old Style" w:eastAsia="MS Mincho" w:hAnsi="Bookman Old Style" w:cs="Arial"/>
          <w:sz w:val="24"/>
          <w:szCs w:val="24"/>
          <w:lang w:val="es-MX"/>
        </w:rPr>
        <w:t xml:space="preserve">Indicar </w:t>
      </w:r>
      <w:r w:rsidR="00D443A7" w:rsidRPr="001A7323">
        <w:rPr>
          <w:rFonts w:ascii="Bookman Old Style" w:eastAsia="MS Mincho" w:hAnsi="Bookman Old Style" w:cs="Arial"/>
          <w:sz w:val="24"/>
          <w:szCs w:val="24"/>
          <w:lang w:val="es-MX"/>
        </w:rPr>
        <w:t>que las inversiones relacionadas con la cone</w:t>
      </w:r>
      <w:r w:rsidR="009F1232">
        <w:rPr>
          <w:rFonts w:ascii="Bookman Old Style" w:eastAsia="MS Mincho" w:hAnsi="Bookman Old Style" w:cs="Arial"/>
          <w:sz w:val="24"/>
          <w:szCs w:val="24"/>
          <w:lang w:val="es-MX"/>
        </w:rPr>
        <w:t>x</w:t>
      </w:r>
      <w:r w:rsidR="00D443A7" w:rsidRPr="001A7323">
        <w:rPr>
          <w:rFonts w:ascii="Bookman Old Style" w:eastAsia="MS Mincho" w:hAnsi="Bookman Old Style" w:cs="Arial"/>
          <w:sz w:val="24"/>
          <w:szCs w:val="24"/>
          <w:lang w:val="es-MX"/>
        </w:rPr>
        <w:t>ión, como construcción de líneas y adecuación de los activos estarán a cargo de DUE, por lo cual no habrá lugar a pagos a cargo de DUE.</w:t>
      </w:r>
    </w:p>
    <w:p w14:paraId="56DD37F5" w14:textId="554B11A0" w:rsidR="006C5E41" w:rsidRDefault="006C5E41" w:rsidP="006C5E41">
      <w:pPr>
        <w:ind w:left="284" w:right="142"/>
        <w:contextualSpacing/>
        <w:jc w:val="both"/>
        <w:rPr>
          <w:rFonts w:ascii="Bookman Old Style" w:eastAsia="MS Mincho" w:hAnsi="Bookman Old Style" w:cs="Arial"/>
          <w:lang w:val="es-MX"/>
        </w:rPr>
      </w:pPr>
    </w:p>
    <w:p w14:paraId="1469B00F" w14:textId="5049EFB8" w:rsidR="0008448D" w:rsidRDefault="007A470B" w:rsidP="00FC26C4">
      <w:pPr>
        <w:ind w:left="284" w:right="142"/>
        <w:contextualSpacing/>
        <w:jc w:val="both"/>
        <w:rPr>
          <w:rFonts w:ascii="Bookman Old Style" w:eastAsia="MS Mincho" w:hAnsi="Bookman Old Style" w:cs="Arial"/>
          <w:lang w:val="es-MX"/>
        </w:rPr>
      </w:pPr>
      <w:r w:rsidRPr="007A470B">
        <w:rPr>
          <w:rFonts w:ascii="Bookman Old Style" w:eastAsia="MS Mincho" w:hAnsi="Bookman Old Style" w:cs="Arial"/>
          <w:lang w:val="es-MX"/>
        </w:rPr>
        <w:t>Y una s</w:t>
      </w:r>
      <w:r w:rsidR="006C5E41" w:rsidRPr="007A470B">
        <w:rPr>
          <w:rFonts w:ascii="Bookman Old Style" w:eastAsia="MS Mincho" w:hAnsi="Bookman Old Style" w:cs="Arial"/>
          <w:lang w:val="es-MX"/>
        </w:rPr>
        <w:t>olicitud subsidiaria</w:t>
      </w:r>
      <w:r w:rsidR="00685A18">
        <w:rPr>
          <w:rFonts w:ascii="Bookman Old Style" w:eastAsia="MS Mincho" w:hAnsi="Bookman Old Style" w:cs="Arial"/>
          <w:lang w:val="es-MX"/>
        </w:rPr>
        <w:t>,</w:t>
      </w:r>
      <w:r w:rsidRPr="007A470B">
        <w:rPr>
          <w:rFonts w:ascii="Bookman Old Style" w:eastAsia="MS Mincho" w:hAnsi="Bookman Old Style" w:cs="Arial"/>
          <w:lang w:val="es-MX"/>
        </w:rPr>
        <w:t xml:space="preserve"> en </w:t>
      </w:r>
      <w:r w:rsidR="00FC26C4">
        <w:rPr>
          <w:rFonts w:ascii="Bookman Old Style" w:eastAsia="MS Mincho" w:hAnsi="Bookman Old Style" w:cs="Arial"/>
          <w:lang w:val="es-MX"/>
        </w:rPr>
        <w:t>la que plantea i</w:t>
      </w:r>
      <w:r w:rsidR="0008448D" w:rsidRPr="0008448D">
        <w:rPr>
          <w:rFonts w:ascii="Bookman Old Style" w:eastAsia="MS Mincho" w:hAnsi="Bookman Old Style" w:cs="Arial"/>
          <w:lang w:val="es-MX"/>
        </w:rPr>
        <w:t xml:space="preserve">mponer servidumbre de conexión a cargo de </w:t>
      </w:r>
      <w:r w:rsidR="00FC26C4">
        <w:rPr>
          <w:rFonts w:ascii="Bookman Old Style" w:eastAsia="MS Mincho" w:hAnsi="Bookman Old Style" w:cs="Arial"/>
          <w:lang w:val="es-MX"/>
        </w:rPr>
        <w:t xml:space="preserve">la </w:t>
      </w:r>
      <w:r w:rsidR="0008448D" w:rsidRPr="0008448D">
        <w:rPr>
          <w:rFonts w:ascii="Bookman Old Style" w:eastAsia="MS Mincho" w:hAnsi="Bookman Old Style" w:cs="Arial"/>
          <w:lang w:val="es-MX"/>
        </w:rPr>
        <w:t>barra de conexión de la central diésel con la red de distribución de 13.2</w:t>
      </w:r>
      <w:r w:rsidR="00685A18">
        <w:rPr>
          <w:rFonts w:ascii="Bookman Old Style" w:eastAsia="MS Mincho" w:hAnsi="Bookman Old Style" w:cs="Arial"/>
          <w:lang w:val="es-MX"/>
        </w:rPr>
        <w:t xml:space="preserve"> </w:t>
      </w:r>
      <w:r w:rsidR="0008448D" w:rsidRPr="0008448D">
        <w:rPr>
          <w:rFonts w:ascii="Bookman Old Style" w:eastAsia="MS Mincho" w:hAnsi="Bookman Old Style" w:cs="Arial"/>
          <w:lang w:val="es-MX"/>
        </w:rPr>
        <w:t>kV del municipio de Mitú.</w:t>
      </w:r>
    </w:p>
    <w:p w14:paraId="6123405E" w14:textId="77777777" w:rsidR="005E4EFC" w:rsidRPr="0008448D" w:rsidRDefault="005E4EFC" w:rsidP="00B264DC">
      <w:pPr>
        <w:ind w:left="284"/>
        <w:contextualSpacing/>
        <w:jc w:val="both"/>
        <w:rPr>
          <w:rFonts w:ascii="Bookman Old Style" w:hAnsi="Bookman Old Style" w:cs="Arial"/>
          <w:lang w:val="es-MX"/>
        </w:rPr>
      </w:pPr>
    </w:p>
    <w:p w14:paraId="028D3E9B" w14:textId="3F7E3711" w:rsidR="005E4EFC" w:rsidRDefault="007B3A90" w:rsidP="00B264DC">
      <w:pPr>
        <w:ind w:left="284"/>
        <w:contextualSpacing/>
        <w:jc w:val="both"/>
        <w:rPr>
          <w:rFonts w:ascii="Bookman Old Style" w:hAnsi="Bookman Old Style" w:cs="Arial"/>
        </w:rPr>
      </w:pPr>
      <w:r>
        <w:rPr>
          <w:rFonts w:ascii="Bookman Old Style" w:hAnsi="Bookman Old Style" w:cs="Arial"/>
        </w:rPr>
        <w:t xml:space="preserve">Sobre la solicitud de imposición de servidumbre, </w:t>
      </w:r>
      <w:r w:rsidR="007A7309">
        <w:rPr>
          <w:rFonts w:ascii="Bookman Old Style" w:hAnsi="Bookman Old Style" w:cs="Arial"/>
        </w:rPr>
        <w:t xml:space="preserve">GENSA </w:t>
      </w:r>
      <w:r>
        <w:rPr>
          <w:rFonts w:ascii="Bookman Old Style" w:hAnsi="Bookman Old Style" w:cs="Arial"/>
        </w:rPr>
        <w:t>se pronuncia favorablemente</w:t>
      </w:r>
      <w:r w:rsidR="00B23AA9">
        <w:rPr>
          <w:rFonts w:ascii="Bookman Old Style" w:hAnsi="Bookman Old Style" w:cs="Arial"/>
        </w:rPr>
        <w:t xml:space="preserve"> sobre la conexión del proyecto Matakavi</w:t>
      </w:r>
      <w:r>
        <w:rPr>
          <w:rFonts w:ascii="Bookman Old Style" w:hAnsi="Bookman Old Style" w:cs="Arial"/>
        </w:rPr>
        <w:t xml:space="preserve">, </w:t>
      </w:r>
      <w:r w:rsidR="00992F64">
        <w:rPr>
          <w:rFonts w:ascii="Bookman Old Style" w:hAnsi="Bookman Old Style" w:cs="Arial"/>
        </w:rPr>
        <w:t>supeditad</w:t>
      </w:r>
      <w:r w:rsidR="00B23AA9">
        <w:rPr>
          <w:rFonts w:ascii="Bookman Old Style" w:hAnsi="Bookman Old Style" w:cs="Arial"/>
        </w:rPr>
        <w:t>a</w:t>
      </w:r>
      <w:r w:rsidR="00992F64">
        <w:rPr>
          <w:rFonts w:ascii="Bookman Old Style" w:hAnsi="Bookman Old Style" w:cs="Arial"/>
        </w:rPr>
        <w:t xml:space="preserve"> a la ejecución de una serie de obras en la Subestación Mitú, relacionadas en el respectivo concepto</w:t>
      </w:r>
      <w:r w:rsidR="00685A18">
        <w:rPr>
          <w:rFonts w:ascii="Bookman Old Style" w:hAnsi="Bookman Old Style" w:cs="Arial"/>
        </w:rPr>
        <w:t>,</w:t>
      </w:r>
      <w:r w:rsidR="00992F64">
        <w:rPr>
          <w:rFonts w:ascii="Bookman Old Style" w:hAnsi="Bookman Old Style" w:cs="Arial"/>
        </w:rPr>
        <w:t xml:space="preserve"> y el informe técnico que acompa</w:t>
      </w:r>
      <w:r w:rsidR="00992CFA">
        <w:rPr>
          <w:rFonts w:ascii="Bookman Old Style" w:hAnsi="Bookman Old Style" w:cs="Arial"/>
        </w:rPr>
        <w:t>ña dicho concepto.</w:t>
      </w:r>
    </w:p>
    <w:p w14:paraId="56D80EC5" w14:textId="77777777" w:rsidR="005E4EFC" w:rsidRDefault="005E4EFC" w:rsidP="00B264DC">
      <w:pPr>
        <w:ind w:left="284"/>
        <w:contextualSpacing/>
        <w:jc w:val="both"/>
        <w:rPr>
          <w:rFonts w:ascii="Bookman Old Style" w:hAnsi="Bookman Old Style" w:cs="Arial"/>
        </w:rPr>
      </w:pPr>
    </w:p>
    <w:p w14:paraId="2562262F" w14:textId="6B5A2AB3" w:rsidR="006F5922" w:rsidRDefault="002F46B1" w:rsidP="006F5922">
      <w:pPr>
        <w:ind w:left="284"/>
        <w:contextualSpacing/>
        <w:jc w:val="both"/>
        <w:rPr>
          <w:rFonts w:ascii="Bookman Old Style" w:hAnsi="Bookman Old Style" w:cs="Arial"/>
        </w:rPr>
      </w:pPr>
      <w:r>
        <w:rPr>
          <w:rFonts w:ascii="Bookman Old Style" w:hAnsi="Bookman Old Style" w:cs="Arial"/>
        </w:rPr>
        <w:t xml:space="preserve">Respecto de </w:t>
      </w:r>
      <w:r w:rsidR="006F5922">
        <w:rPr>
          <w:rFonts w:ascii="Bookman Old Style" w:hAnsi="Bookman Old Style" w:cs="Arial"/>
        </w:rPr>
        <w:t xml:space="preserve">la solicitud a la CREG sobre establecer </w:t>
      </w:r>
      <w:r w:rsidRPr="002F46B1">
        <w:rPr>
          <w:rFonts w:ascii="Bookman Old Style" w:hAnsi="Bookman Old Style" w:cs="Arial"/>
        </w:rPr>
        <w:t>las condiciones técnicas en que se hará la conexión del generador Matakavi a la red</w:t>
      </w:r>
      <w:r w:rsidR="006F5922">
        <w:rPr>
          <w:rFonts w:ascii="Bookman Old Style" w:hAnsi="Bookman Old Style" w:cs="Arial"/>
        </w:rPr>
        <w:t>, como fue indicado anteriormente, las condiciones técnicas que deben observarse, no solo para este caso</w:t>
      </w:r>
      <w:r w:rsidR="00685A18">
        <w:rPr>
          <w:rFonts w:ascii="Bookman Old Style" w:hAnsi="Bookman Old Style" w:cs="Arial"/>
        </w:rPr>
        <w:t>,</w:t>
      </w:r>
      <w:r w:rsidR="006F5922">
        <w:rPr>
          <w:rFonts w:ascii="Bookman Old Style" w:hAnsi="Bookman Old Style" w:cs="Arial"/>
        </w:rPr>
        <w:t xml:space="preserve"> si</w:t>
      </w:r>
      <w:r w:rsidR="00685A18">
        <w:rPr>
          <w:rFonts w:ascii="Bookman Old Style" w:hAnsi="Bookman Old Style" w:cs="Arial"/>
        </w:rPr>
        <w:t xml:space="preserve"> </w:t>
      </w:r>
      <w:r w:rsidR="006F5922">
        <w:rPr>
          <w:rFonts w:ascii="Bookman Old Style" w:hAnsi="Bookman Old Style" w:cs="Arial"/>
        </w:rPr>
        <w:t>no de forma general para la conexión de generadores en ZNI</w:t>
      </w:r>
      <w:r w:rsidR="00685A18">
        <w:rPr>
          <w:rFonts w:ascii="Bookman Old Style" w:hAnsi="Bookman Old Style" w:cs="Arial"/>
        </w:rPr>
        <w:t>,</w:t>
      </w:r>
      <w:r w:rsidR="006F5922">
        <w:rPr>
          <w:rFonts w:ascii="Bookman Old Style" w:hAnsi="Bookman Old Style" w:cs="Arial"/>
        </w:rPr>
        <w:t xml:space="preserve"> fueron </w:t>
      </w:r>
      <w:r w:rsidR="00B80823">
        <w:rPr>
          <w:rFonts w:ascii="Bookman Old Style" w:hAnsi="Bookman Old Style" w:cs="Arial"/>
        </w:rPr>
        <w:t xml:space="preserve">definidas mediante Resolución </w:t>
      </w:r>
      <w:r w:rsidR="006F5922">
        <w:rPr>
          <w:rFonts w:ascii="Bookman Old Style" w:hAnsi="Bookman Old Style" w:cs="Arial"/>
        </w:rPr>
        <w:t>CREG 038 de 2018</w:t>
      </w:r>
      <w:r w:rsidR="00B80823">
        <w:rPr>
          <w:rFonts w:ascii="Bookman Old Style" w:hAnsi="Bookman Old Style" w:cs="Arial"/>
        </w:rPr>
        <w:t>. E</w:t>
      </w:r>
      <w:r w:rsidR="006F5922">
        <w:rPr>
          <w:rFonts w:ascii="Bookman Old Style" w:hAnsi="Bookman Old Style" w:cs="Arial"/>
        </w:rPr>
        <w:t>n el parágrafo 1 de su artículo 5</w:t>
      </w:r>
      <w:r w:rsidR="00B80823">
        <w:rPr>
          <w:rFonts w:ascii="Bookman Old Style" w:hAnsi="Bookman Old Style" w:cs="Arial"/>
        </w:rPr>
        <w:t xml:space="preserve"> se definió</w:t>
      </w:r>
      <w:r w:rsidR="006F5922">
        <w:rPr>
          <w:rFonts w:ascii="Bookman Old Style" w:hAnsi="Bookman Old Style" w:cs="Arial"/>
        </w:rPr>
        <w:t>:</w:t>
      </w:r>
    </w:p>
    <w:p w14:paraId="415F9EFC" w14:textId="77777777" w:rsidR="006F5922" w:rsidRPr="000272C0" w:rsidRDefault="006F5922" w:rsidP="006F5922">
      <w:pPr>
        <w:ind w:left="284"/>
        <w:contextualSpacing/>
        <w:jc w:val="both"/>
        <w:rPr>
          <w:rFonts w:ascii="Bookman Old Style" w:hAnsi="Bookman Old Style" w:cs="Arial"/>
        </w:rPr>
      </w:pPr>
    </w:p>
    <w:p w14:paraId="0C62EF15" w14:textId="77777777" w:rsidR="006F5922" w:rsidRPr="00FB7F30" w:rsidRDefault="006F5922" w:rsidP="006F5922">
      <w:pPr>
        <w:ind w:left="709"/>
        <w:contextualSpacing/>
        <w:jc w:val="both"/>
        <w:rPr>
          <w:rFonts w:ascii="Bookman Old Style" w:hAnsi="Bookman Old Style" w:cs="Arial"/>
          <w:i/>
          <w:iCs/>
          <w:sz w:val="20"/>
          <w:szCs w:val="20"/>
        </w:rPr>
      </w:pPr>
      <w:r>
        <w:rPr>
          <w:rFonts w:ascii="Bookman Old Style" w:hAnsi="Bookman Old Style" w:cs="Arial"/>
          <w:i/>
          <w:iCs/>
          <w:sz w:val="20"/>
          <w:szCs w:val="20"/>
        </w:rPr>
        <w:t xml:space="preserve">“(…) </w:t>
      </w:r>
      <w:r w:rsidRPr="00FB7F30">
        <w:rPr>
          <w:rFonts w:ascii="Bookman Old Style" w:hAnsi="Bookman Old Style" w:cs="Arial"/>
          <w:i/>
          <w:iCs/>
          <w:sz w:val="20"/>
          <w:szCs w:val="20"/>
        </w:rPr>
        <w:t xml:space="preserve">Parágrafo 1. </w:t>
      </w:r>
      <w:r w:rsidRPr="00BF2463">
        <w:rPr>
          <w:rFonts w:ascii="Bookman Old Style" w:hAnsi="Bookman Old Style" w:cs="Arial"/>
          <w:b/>
          <w:bCs/>
          <w:i/>
          <w:iCs/>
          <w:sz w:val="20"/>
          <w:szCs w:val="20"/>
          <w:u w:val="single"/>
        </w:rPr>
        <w:t>Las condiciones técnicas de la conexión deberán sujetarse a los Códigos y Reglamentos vigentes</w:t>
      </w:r>
      <w:r w:rsidRPr="00FB7F30">
        <w:rPr>
          <w:rFonts w:ascii="Bookman Old Style" w:hAnsi="Bookman Old Style" w:cs="Arial"/>
          <w:i/>
          <w:iCs/>
          <w:sz w:val="20"/>
          <w:szCs w:val="20"/>
        </w:rPr>
        <w:t>, en particular a lo previsto en:</w:t>
      </w:r>
    </w:p>
    <w:p w14:paraId="4A7AC1AF" w14:textId="77777777" w:rsidR="006F5922" w:rsidRPr="00FB7F30" w:rsidRDefault="006F5922" w:rsidP="006F5922">
      <w:pPr>
        <w:ind w:left="709"/>
        <w:contextualSpacing/>
        <w:jc w:val="both"/>
        <w:rPr>
          <w:rFonts w:ascii="Bookman Old Style" w:hAnsi="Bookman Old Style" w:cs="Arial"/>
          <w:i/>
          <w:iCs/>
          <w:sz w:val="20"/>
          <w:szCs w:val="20"/>
        </w:rPr>
      </w:pPr>
    </w:p>
    <w:p w14:paraId="6265343C" w14:textId="77777777" w:rsidR="006F5922" w:rsidRPr="00FB7F30" w:rsidRDefault="006F5922" w:rsidP="006F5922">
      <w:pPr>
        <w:ind w:left="993" w:hanging="284"/>
        <w:contextualSpacing/>
        <w:jc w:val="both"/>
        <w:rPr>
          <w:rFonts w:ascii="Bookman Old Style" w:hAnsi="Bookman Old Style" w:cs="Arial"/>
          <w:i/>
          <w:iCs/>
          <w:sz w:val="20"/>
          <w:szCs w:val="20"/>
        </w:rPr>
      </w:pPr>
      <w:r w:rsidRPr="00FB7F30">
        <w:rPr>
          <w:rFonts w:ascii="Bookman Old Style" w:hAnsi="Bookman Old Style" w:cs="Arial"/>
          <w:i/>
          <w:iCs/>
          <w:sz w:val="20"/>
          <w:szCs w:val="20"/>
        </w:rPr>
        <w:t>•</w:t>
      </w:r>
      <w:r w:rsidRPr="00FB7F30">
        <w:rPr>
          <w:rFonts w:ascii="Bookman Old Style" w:hAnsi="Bookman Old Style" w:cs="Arial"/>
          <w:i/>
          <w:iCs/>
          <w:sz w:val="20"/>
          <w:szCs w:val="20"/>
        </w:rPr>
        <w:tab/>
        <w:t xml:space="preserve">Código Eléctrico Colombiano, </w:t>
      </w:r>
      <w:r w:rsidRPr="00BF2463">
        <w:rPr>
          <w:rFonts w:ascii="Bookman Old Style" w:hAnsi="Bookman Old Style" w:cs="Arial"/>
          <w:b/>
          <w:bCs/>
          <w:i/>
          <w:iCs/>
          <w:sz w:val="20"/>
          <w:szCs w:val="20"/>
          <w:u w:val="single"/>
        </w:rPr>
        <w:t>NTC 2050</w:t>
      </w:r>
      <w:r w:rsidRPr="00FB7F30">
        <w:rPr>
          <w:rFonts w:ascii="Bookman Old Style" w:hAnsi="Bookman Old Style" w:cs="Arial"/>
          <w:i/>
          <w:iCs/>
          <w:sz w:val="20"/>
          <w:szCs w:val="20"/>
        </w:rPr>
        <w:t>.</w:t>
      </w:r>
    </w:p>
    <w:p w14:paraId="5F91BD95" w14:textId="77777777" w:rsidR="006F5922" w:rsidRPr="00FB7F30" w:rsidRDefault="006F5922" w:rsidP="006F5922">
      <w:pPr>
        <w:ind w:left="993" w:hanging="284"/>
        <w:contextualSpacing/>
        <w:jc w:val="both"/>
        <w:rPr>
          <w:rFonts w:ascii="Bookman Old Style" w:hAnsi="Bookman Old Style" w:cs="Arial"/>
          <w:i/>
          <w:iCs/>
          <w:sz w:val="20"/>
          <w:szCs w:val="20"/>
        </w:rPr>
      </w:pPr>
      <w:r w:rsidRPr="00FB7F30">
        <w:rPr>
          <w:rFonts w:ascii="Bookman Old Style" w:hAnsi="Bookman Old Style" w:cs="Arial"/>
          <w:i/>
          <w:iCs/>
          <w:sz w:val="20"/>
          <w:szCs w:val="20"/>
        </w:rPr>
        <w:t>•</w:t>
      </w:r>
      <w:r w:rsidRPr="00FB7F30">
        <w:rPr>
          <w:rFonts w:ascii="Bookman Old Style" w:hAnsi="Bookman Old Style" w:cs="Arial"/>
          <w:i/>
          <w:iCs/>
          <w:sz w:val="20"/>
          <w:szCs w:val="20"/>
        </w:rPr>
        <w:tab/>
        <w:t xml:space="preserve">Reglamento Técnico de Instalaciones Eléctricas, </w:t>
      </w:r>
      <w:r w:rsidRPr="00BF2463">
        <w:rPr>
          <w:rFonts w:ascii="Bookman Old Style" w:hAnsi="Bookman Old Style" w:cs="Arial"/>
          <w:b/>
          <w:bCs/>
          <w:i/>
          <w:iCs/>
          <w:sz w:val="20"/>
          <w:szCs w:val="20"/>
          <w:u w:val="single"/>
        </w:rPr>
        <w:t>RETIE</w:t>
      </w:r>
      <w:r w:rsidRPr="00FB7F30">
        <w:rPr>
          <w:rFonts w:ascii="Bookman Old Style" w:hAnsi="Bookman Old Style" w:cs="Arial"/>
          <w:i/>
          <w:iCs/>
          <w:sz w:val="20"/>
          <w:szCs w:val="20"/>
        </w:rPr>
        <w:t>, expedido por el Ministerio de Minas y Energía.</w:t>
      </w:r>
    </w:p>
    <w:p w14:paraId="7522EA85" w14:textId="77777777" w:rsidR="006F5922" w:rsidRPr="00BF2463" w:rsidRDefault="006F5922" w:rsidP="006F5922">
      <w:pPr>
        <w:ind w:left="993" w:hanging="284"/>
        <w:contextualSpacing/>
        <w:jc w:val="both"/>
        <w:rPr>
          <w:rFonts w:ascii="Bookman Old Style" w:hAnsi="Bookman Old Style" w:cs="Arial"/>
          <w:sz w:val="20"/>
          <w:szCs w:val="20"/>
        </w:rPr>
      </w:pPr>
      <w:r w:rsidRPr="00FB7F30">
        <w:rPr>
          <w:rFonts w:ascii="Bookman Old Style" w:hAnsi="Bookman Old Style" w:cs="Arial"/>
          <w:i/>
          <w:iCs/>
          <w:sz w:val="20"/>
          <w:szCs w:val="20"/>
        </w:rPr>
        <w:t>•</w:t>
      </w:r>
      <w:r w:rsidRPr="00FB7F30">
        <w:rPr>
          <w:rFonts w:ascii="Bookman Old Style" w:hAnsi="Bookman Old Style" w:cs="Arial"/>
          <w:i/>
          <w:iCs/>
          <w:sz w:val="20"/>
          <w:szCs w:val="20"/>
        </w:rPr>
        <w:tab/>
      </w:r>
      <w:r w:rsidRPr="00BF2463">
        <w:rPr>
          <w:rFonts w:ascii="Bookman Old Style" w:hAnsi="Bookman Old Style" w:cs="Arial"/>
          <w:b/>
          <w:bCs/>
          <w:i/>
          <w:iCs/>
          <w:sz w:val="20"/>
          <w:szCs w:val="20"/>
          <w:u w:val="single"/>
        </w:rPr>
        <w:t>Resoluciones CREG 025 de 1995, 070 de 1998 y 038 de 2014 o aquellas que las modifiquen o sustituyan</w:t>
      </w:r>
      <w:r w:rsidRPr="00FB7F30">
        <w:rPr>
          <w:rFonts w:ascii="Bookman Old Style" w:hAnsi="Bookman Old Style" w:cs="Arial"/>
          <w:i/>
          <w:iCs/>
          <w:sz w:val="20"/>
          <w:szCs w:val="20"/>
        </w:rPr>
        <w:t>, en cuanto sea aplicable.</w:t>
      </w:r>
      <w:r>
        <w:rPr>
          <w:rFonts w:ascii="Bookman Old Style" w:hAnsi="Bookman Old Style" w:cs="Arial"/>
          <w:i/>
          <w:iCs/>
          <w:sz w:val="20"/>
          <w:szCs w:val="20"/>
        </w:rPr>
        <w:t xml:space="preserve"> (…)”</w:t>
      </w:r>
      <w:r>
        <w:rPr>
          <w:rFonts w:ascii="Bookman Old Style" w:hAnsi="Bookman Old Style" w:cs="Arial"/>
          <w:sz w:val="20"/>
          <w:szCs w:val="20"/>
        </w:rPr>
        <w:t xml:space="preserve"> Resaltado y subrayado fuera de texto</w:t>
      </w:r>
    </w:p>
    <w:p w14:paraId="4C445398" w14:textId="578BF803" w:rsidR="002F46B1" w:rsidRDefault="002F46B1" w:rsidP="00B264DC">
      <w:pPr>
        <w:ind w:left="284"/>
        <w:contextualSpacing/>
        <w:jc w:val="both"/>
        <w:rPr>
          <w:rFonts w:ascii="Bookman Old Style" w:hAnsi="Bookman Old Style" w:cs="Arial"/>
        </w:rPr>
      </w:pPr>
    </w:p>
    <w:p w14:paraId="0C142290" w14:textId="4F7B0A81" w:rsidR="00C466C1" w:rsidRPr="001A7323" w:rsidRDefault="006263A5" w:rsidP="00C466C1">
      <w:pPr>
        <w:pStyle w:val="Prrafodelista"/>
        <w:ind w:left="284" w:right="142"/>
        <w:contextualSpacing/>
        <w:jc w:val="both"/>
        <w:rPr>
          <w:rFonts w:ascii="Bookman Old Style" w:eastAsia="MS Mincho" w:hAnsi="Bookman Old Style" w:cs="Arial"/>
          <w:sz w:val="24"/>
          <w:szCs w:val="24"/>
          <w:lang w:val="es-MX"/>
        </w:rPr>
      </w:pPr>
      <w:r>
        <w:rPr>
          <w:rFonts w:ascii="Bookman Old Style" w:eastAsia="MS Mincho" w:hAnsi="Bookman Old Style" w:cs="Arial"/>
          <w:sz w:val="24"/>
          <w:szCs w:val="24"/>
          <w:lang w:val="es-MX"/>
        </w:rPr>
        <w:t xml:space="preserve">Sobre </w:t>
      </w:r>
      <w:r w:rsidR="00685A18">
        <w:rPr>
          <w:rFonts w:ascii="Bookman Old Style" w:eastAsia="MS Mincho" w:hAnsi="Bookman Old Style" w:cs="Arial"/>
          <w:sz w:val="24"/>
          <w:szCs w:val="24"/>
          <w:lang w:val="es-MX"/>
        </w:rPr>
        <w:t xml:space="preserve">la solicitud de </w:t>
      </w:r>
      <w:r>
        <w:rPr>
          <w:rFonts w:ascii="Bookman Old Style" w:eastAsia="MS Mincho" w:hAnsi="Bookman Old Style" w:cs="Arial"/>
          <w:sz w:val="24"/>
          <w:szCs w:val="24"/>
          <w:lang w:val="es-MX"/>
        </w:rPr>
        <w:t>i</w:t>
      </w:r>
      <w:r w:rsidR="00C466C1" w:rsidRPr="001A7323">
        <w:rPr>
          <w:rFonts w:ascii="Bookman Old Style" w:eastAsia="MS Mincho" w:hAnsi="Bookman Old Style" w:cs="Arial"/>
          <w:sz w:val="24"/>
          <w:szCs w:val="24"/>
          <w:lang w:val="es-MX"/>
        </w:rPr>
        <w:t xml:space="preserve">ndicar </w:t>
      </w:r>
      <w:r w:rsidR="00B64DF3">
        <w:rPr>
          <w:rFonts w:ascii="Bookman Old Style" w:eastAsia="MS Mincho" w:hAnsi="Bookman Old Style" w:cs="Arial"/>
          <w:sz w:val="24"/>
          <w:szCs w:val="24"/>
          <w:lang w:val="es-MX"/>
        </w:rPr>
        <w:t xml:space="preserve">que </w:t>
      </w:r>
      <w:r w:rsidR="00B64DF3" w:rsidRPr="001A7323">
        <w:rPr>
          <w:rFonts w:ascii="Bookman Old Style" w:eastAsia="MS Mincho" w:hAnsi="Bookman Old Style" w:cs="Arial"/>
          <w:sz w:val="24"/>
          <w:szCs w:val="24"/>
          <w:lang w:val="es-MX"/>
        </w:rPr>
        <w:t>no habrá lugar a pagos a cargo de DUE</w:t>
      </w:r>
      <w:r w:rsidR="00711549">
        <w:rPr>
          <w:rFonts w:ascii="Bookman Old Style" w:eastAsia="MS Mincho" w:hAnsi="Bookman Old Style" w:cs="Arial"/>
          <w:sz w:val="24"/>
          <w:szCs w:val="24"/>
          <w:lang w:val="es-MX"/>
        </w:rPr>
        <w:t xml:space="preserve">, toda vez que </w:t>
      </w:r>
      <w:r w:rsidR="00C466C1" w:rsidRPr="001A7323">
        <w:rPr>
          <w:rFonts w:ascii="Bookman Old Style" w:eastAsia="MS Mincho" w:hAnsi="Bookman Old Style" w:cs="Arial"/>
          <w:sz w:val="24"/>
          <w:szCs w:val="24"/>
          <w:lang w:val="es-MX"/>
        </w:rPr>
        <w:t>las inversiones relacionadas con la cone</w:t>
      </w:r>
      <w:r w:rsidR="00711549">
        <w:rPr>
          <w:rFonts w:ascii="Bookman Old Style" w:eastAsia="MS Mincho" w:hAnsi="Bookman Old Style" w:cs="Arial"/>
          <w:sz w:val="24"/>
          <w:szCs w:val="24"/>
          <w:lang w:val="es-MX"/>
        </w:rPr>
        <w:t>x</w:t>
      </w:r>
      <w:r w:rsidR="00C466C1" w:rsidRPr="001A7323">
        <w:rPr>
          <w:rFonts w:ascii="Bookman Old Style" w:eastAsia="MS Mincho" w:hAnsi="Bookman Old Style" w:cs="Arial"/>
          <w:sz w:val="24"/>
          <w:szCs w:val="24"/>
          <w:lang w:val="es-MX"/>
        </w:rPr>
        <w:t xml:space="preserve">ión estarán a cargo de </w:t>
      </w:r>
      <w:r w:rsidR="00940904">
        <w:rPr>
          <w:rFonts w:ascii="Bookman Old Style" w:eastAsia="MS Mincho" w:hAnsi="Bookman Old Style" w:cs="Arial"/>
          <w:sz w:val="24"/>
          <w:szCs w:val="24"/>
          <w:lang w:val="es-MX"/>
        </w:rPr>
        <w:t>ellos mismos</w:t>
      </w:r>
      <w:r w:rsidR="00C466C1" w:rsidRPr="001A7323">
        <w:rPr>
          <w:rFonts w:ascii="Bookman Old Style" w:eastAsia="MS Mincho" w:hAnsi="Bookman Old Style" w:cs="Arial"/>
          <w:sz w:val="24"/>
          <w:szCs w:val="24"/>
          <w:lang w:val="es-MX"/>
        </w:rPr>
        <w:t xml:space="preserve">, </w:t>
      </w:r>
      <w:r w:rsidR="00C17EE3">
        <w:rPr>
          <w:rFonts w:ascii="Bookman Old Style" w:eastAsia="MS Mincho" w:hAnsi="Bookman Old Style" w:cs="Arial"/>
          <w:sz w:val="24"/>
          <w:szCs w:val="24"/>
          <w:lang w:val="es-MX"/>
        </w:rPr>
        <w:t>como se indicó anteriormente</w:t>
      </w:r>
      <w:r w:rsidR="00411604">
        <w:rPr>
          <w:rFonts w:ascii="Bookman Old Style" w:eastAsia="MS Mincho" w:hAnsi="Bookman Old Style" w:cs="Arial"/>
          <w:sz w:val="24"/>
          <w:szCs w:val="24"/>
          <w:lang w:val="es-MX"/>
        </w:rPr>
        <w:t>,</w:t>
      </w:r>
      <w:r w:rsidR="00C17EE3">
        <w:rPr>
          <w:rFonts w:ascii="Bookman Old Style" w:eastAsia="MS Mincho" w:hAnsi="Bookman Old Style" w:cs="Arial"/>
          <w:sz w:val="24"/>
          <w:szCs w:val="24"/>
          <w:lang w:val="es-MX"/>
        </w:rPr>
        <w:t xml:space="preserve"> en el artículo 39 de la Ley </w:t>
      </w:r>
      <w:r w:rsidR="00563E01">
        <w:rPr>
          <w:rFonts w:ascii="Bookman Old Style" w:eastAsia="MS Mincho" w:hAnsi="Bookman Old Style" w:cs="Arial"/>
          <w:sz w:val="24"/>
          <w:szCs w:val="24"/>
          <w:lang w:val="es-MX"/>
        </w:rPr>
        <w:t>142 de 1994 se dispuso:</w:t>
      </w:r>
    </w:p>
    <w:p w14:paraId="7B7E993E" w14:textId="77777777" w:rsidR="00C466C1" w:rsidRDefault="00C466C1" w:rsidP="00C466C1">
      <w:pPr>
        <w:ind w:left="284" w:right="142"/>
        <w:contextualSpacing/>
        <w:jc w:val="both"/>
        <w:rPr>
          <w:rFonts w:ascii="Bookman Old Style" w:eastAsia="MS Mincho" w:hAnsi="Bookman Old Style" w:cs="Arial"/>
          <w:lang w:val="es-MX"/>
        </w:rPr>
      </w:pPr>
    </w:p>
    <w:p w14:paraId="706EFB53" w14:textId="1E7BEA75" w:rsidR="00563E01" w:rsidRPr="00563E01" w:rsidRDefault="00563E01" w:rsidP="00685A18">
      <w:pPr>
        <w:ind w:left="567"/>
        <w:contextualSpacing/>
        <w:jc w:val="both"/>
        <w:rPr>
          <w:rFonts w:ascii="Bookman Old Style" w:hAnsi="Bookman Old Style" w:cs="Arial"/>
          <w:i/>
          <w:iCs/>
          <w:sz w:val="20"/>
          <w:szCs w:val="20"/>
          <w:lang w:val="es-MX"/>
        </w:rPr>
      </w:pPr>
      <w:r>
        <w:rPr>
          <w:rFonts w:ascii="Bookman Old Style" w:hAnsi="Bookman Old Style" w:cs="Arial"/>
          <w:i/>
          <w:iCs/>
          <w:sz w:val="20"/>
          <w:szCs w:val="20"/>
          <w:lang w:val="es-MX"/>
        </w:rPr>
        <w:t xml:space="preserve">“(…) </w:t>
      </w:r>
      <w:r w:rsidRPr="00563E01">
        <w:rPr>
          <w:rFonts w:ascii="Bookman Old Style" w:hAnsi="Bookman Old Style" w:cs="Arial"/>
          <w:i/>
          <w:iCs/>
          <w:sz w:val="20"/>
          <w:szCs w:val="20"/>
          <w:lang w:val="es-MX"/>
        </w:rPr>
        <w:t>Artículo 39. Contratos especiales. Para los efectos de la gestión de los servicios públicos se autoriza la celebración, entre otros, de los siguientes contratos especiales:</w:t>
      </w:r>
      <w:r>
        <w:rPr>
          <w:rFonts w:ascii="Bookman Old Style" w:hAnsi="Bookman Old Style" w:cs="Arial"/>
          <w:i/>
          <w:iCs/>
          <w:sz w:val="20"/>
          <w:szCs w:val="20"/>
          <w:lang w:val="es-MX"/>
        </w:rPr>
        <w:t xml:space="preserve"> (…)</w:t>
      </w:r>
    </w:p>
    <w:p w14:paraId="6CAC92EA" w14:textId="77777777" w:rsidR="00563E01" w:rsidRPr="00563E01" w:rsidRDefault="00563E01" w:rsidP="00685A18">
      <w:pPr>
        <w:ind w:left="567"/>
        <w:contextualSpacing/>
        <w:jc w:val="both"/>
        <w:rPr>
          <w:rFonts w:ascii="Bookman Old Style" w:hAnsi="Bookman Old Style" w:cs="Arial"/>
          <w:i/>
          <w:iCs/>
          <w:sz w:val="20"/>
          <w:szCs w:val="20"/>
          <w:lang w:val="es-MX"/>
        </w:rPr>
      </w:pPr>
    </w:p>
    <w:p w14:paraId="02372917" w14:textId="7BBA3F4D" w:rsidR="002F46B1" w:rsidRPr="008852F5" w:rsidRDefault="00563E01" w:rsidP="00685A18">
      <w:pPr>
        <w:ind w:left="567"/>
        <w:contextualSpacing/>
        <w:jc w:val="both"/>
        <w:rPr>
          <w:rFonts w:ascii="Bookman Old Style" w:hAnsi="Bookman Old Style" w:cs="Arial"/>
          <w:sz w:val="20"/>
          <w:szCs w:val="20"/>
          <w:lang w:val="es-MX"/>
        </w:rPr>
      </w:pPr>
      <w:r w:rsidRPr="00563E01">
        <w:rPr>
          <w:rFonts w:ascii="Bookman Old Style" w:hAnsi="Bookman Old Style" w:cs="Arial"/>
          <w:i/>
          <w:iCs/>
          <w:sz w:val="20"/>
          <w:szCs w:val="20"/>
          <w:lang w:val="es-MX"/>
        </w:rPr>
        <w:t xml:space="preserve">39.4. Contratos en virtud de los cuales dos o mas entidades prestadoras de servicios públicos o éstas con grandes proveedores o usuarios, </w:t>
      </w:r>
      <w:r w:rsidRPr="00157391">
        <w:rPr>
          <w:rFonts w:ascii="Bookman Old Style" w:hAnsi="Bookman Old Style" w:cs="Arial"/>
          <w:b/>
          <w:bCs/>
          <w:i/>
          <w:iCs/>
          <w:sz w:val="20"/>
          <w:szCs w:val="20"/>
          <w:u w:val="single"/>
          <w:lang w:val="es-MX"/>
        </w:rPr>
        <w:t>regulan el acceso compartido o de interconexión</w:t>
      </w:r>
      <w:r w:rsidRPr="00563E01">
        <w:rPr>
          <w:rFonts w:ascii="Bookman Old Style" w:hAnsi="Bookman Old Style" w:cs="Arial"/>
          <w:i/>
          <w:iCs/>
          <w:sz w:val="20"/>
          <w:szCs w:val="20"/>
          <w:lang w:val="es-MX"/>
        </w:rPr>
        <w:t xml:space="preserve"> de bienes indispensables para la prestación de servicios públicos, </w:t>
      </w:r>
      <w:r w:rsidRPr="00157391">
        <w:rPr>
          <w:rFonts w:ascii="Bookman Old Style" w:hAnsi="Bookman Old Style" w:cs="Arial"/>
          <w:b/>
          <w:bCs/>
          <w:i/>
          <w:iCs/>
          <w:sz w:val="20"/>
          <w:szCs w:val="20"/>
          <w:u w:val="single"/>
          <w:lang w:val="es-MX"/>
        </w:rPr>
        <w:t>mediante el pago de remuneración o peaje razonable</w:t>
      </w:r>
      <w:r w:rsidRPr="00563E01">
        <w:rPr>
          <w:rFonts w:ascii="Bookman Old Style" w:hAnsi="Bookman Old Style" w:cs="Arial"/>
          <w:i/>
          <w:iCs/>
          <w:sz w:val="20"/>
          <w:szCs w:val="20"/>
          <w:lang w:val="es-MX"/>
        </w:rPr>
        <w:t>.</w:t>
      </w:r>
      <w:r w:rsidR="008852F5" w:rsidRPr="008852F5">
        <w:rPr>
          <w:rFonts w:ascii="Bookman Old Style" w:hAnsi="Bookman Old Style" w:cs="Arial"/>
          <w:i/>
          <w:iCs/>
          <w:sz w:val="20"/>
          <w:szCs w:val="20"/>
          <w:lang w:val="es-MX"/>
        </w:rPr>
        <w:t xml:space="preserve"> (…)”</w:t>
      </w:r>
      <w:r w:rsidR="008852F5">
        <w:rPr>
          <w:rFonts w:ascii="Bookman Old Style" w:hAnsi="Bookman Old Style" w:cs="Arial"/>
          <w:sz w:val="20"/>
          <w:szCs w:val="20"/>
          <w:lang w:val="es-MX"/>
        </w:rPr>
        <w:t xml:space="preserve"> Resaltado y subrayado fuera de texto</w:t>
      </w:r>
    </w:p>
    <w:p w14:paraId="61E49019" w14:textId="1898AB9A" w:rsidR="00490FE1" w:rsidRDefault="00490FE1" w:rsidP="00B264DC">
      <w:pPr>
        <w:ind w:left="284"/>
        <w:contextualSpacing/>
        <w:jc w:val="both"/>
        <w:rPr>
          <w:rFonts w:ascii="Bookman Old Style" w:hAnsi="Bookman Old Style" w:cs="Arial"/>
        </w:rPr>
      </w:pPr>
    </w:p>
    <w:p w14:paraId="73B17EB4" w14:textId="3E4ED6FF" w:rsidR="00490FE1" w:rsidRDefault="00A332A8" w:rsidP="00B264DC">
      <w:pPr>
        <w:ind w:left="284"/>
        <w:contextualSpacing/>
        <w:jc w:val="both"/>
        <w:rPr>
          <w:rFonts w:ascii="Bookman Old Style" w:hAnsi="Bookman Old Style" w:cs="Arial"/>
        </w:rPr>
      </w:pPr>
      <w:r>
        <w:rPr>
          <w:rFonts w:ascii="Bookman Old Style" w:hAnsi="Bookman Old Style" w:cs="Arial"/>
        </w:rPr>
        <w:t xml:space="preserve">En el caso particular de lo aquí analizado, se encuentra que </w:t>
      </w:r>
      <w:r w:rsidR="00CB36F2">
        <w:rPr>
          <w:rFonts w:ascii="Bookman Old Style" w:hAnsi="Bookman Old Style" w:cs="Arial"/>
        </w:rPr>
        <w:t xml:space="preserve">el activo al que se solicita la conexión es </w:t>
      </w:r>
      <w:r w:rsidR="009A6411">
        <w:rPr>
          <w:rFonts w:ascii="Bookman Old Style" w:hAnsi="Bookman Old Style" w:cs="Arial"/>
        </w:rPr>
        <w:t xml:space="preserve">destinado a </w:t>
      </w:r>
      <w:r w:rsidR="000C746A">
        <w:rPr>
          <w:rFonts w:ascii="Bookman Old Style" w:hAnsi="Bookman Old Style" w:cs="Arial"/>
        </w:rPr>
        <w:t xml:space="preserve">la </w:t>
      </w:r>
      <w:r w:rsidR="00CB36F2">
        <w:rPr>
          <w:rFonts w:ascii="Bookman Old Style" w:hAnsi="Bookman Old Style" w:cs="Arial"/>
        </w:rPr>
        <w:t>distribución de energía</w:t>
      </w:r>
      <w:r w:rsidR="000C746A">
        <w:rPr>
          <w:rFonts w:ascii="Bookman Old Style" w:hAnsi="Bookman Old Style" w:cs="Arial"/>
        </w:rPr>
        <w:t xml:space="preserve"> eléctrica en ZNI</w:t>
      </w:r>
      <w:r w:rsidR="00685A18">
        <w:rPr>
          <w:rFonts w:ascii="Bookman Old Style" w:hAnsi="Bookman Old Style" w:cs="Arial"/>
        </w:rPr>
        <w:t>,</w:t>
      </w:r>
      <w:r w:rsidR="00E611D7">
        <w:rPr>
          <w:rFonts w:ascii="Bookman Old Style" w:hAnsi="Bookman Old Style" w:cs="Arial"/>
        </w:rPr>
        <w:t xml:space="preserve"> y </w:t>
      </w:r>
      <w:r w:rsidR="00DC3709">
        <w:rPr>
          <w:rFonts w:ascii="Bookman Old Style" w:hAnsi="Bookman Old Style" w:cs="Arial"/>
        </w:rPr>
        <w:t xml:space="preserve">el mecanismo para </w:t>
      </w:r>
      <w:r w:rsidR="00E611D7">
        <w:rPr>
          <w:rFonts w:ascii="Bookman Old Style" w:hAnsi="Bookman Old Style" w:cs="Arial"/>
        </w:rPr>
        <w:t>remunera</w:t>
      </w:r>
      <w:r w:rsidR="00DC3709">
        <w:rPr>
          <w:rFonts w:ascii="Bookman Old Style" w:hAnsi="Bookman Old Style" w:cs="Arial"/>
        </w:rPr>
        <w:t>r e</w:t>
      </w:r>
      <w:r w:rsidR="00E611D7">
        <w:rPr>
          <w:rFonts w:ascii="Bookman Old Style" w:hAnsi="Bookman Old Style" w:cs="Arial"/>
        </w:rPr>
        <w:t>st</w:t>
      </w:r>
      <w:r w:rsidR="00DC3709">
        <w:rPr>
          <w:rFonts w:ascii="Bookman Old Style" w:hAnsi="Bookman Old Style" w:cs="Arial"/>
        </w:rPr>
        <w:t>e tipo de</w:t>
      </w:r>
      <w:r w:rsidR="00E611D7">
        <w:rPr>
          <w:rFonts w:ascii="Bookman Old Style" w:hAnsi="Bookman Old Style" w:cs="Arial"/>
        </w:rPr>
        <w:t xml:space="preserve"> activos se encuentra incorporada en la metodología tarifaria definida mediante Resolución CREG 091 de 2007. Inclusive, </w:t>
      </w:r>
      <w:r w:rsidR="00DE02BC">
        <w:rPr>
          <w:rFonts w:ascii="Bookman Old Style" w:hAnsi="Bookman Old Style" w:cs="Arial"/>
        </w:rPr>
        <w:t>se tiene previst</w:t>
      </w:r>
      <w:r w:rsidR="000159FD">
        <w:rPr>
          <w:rFonts w:ascii="Bookman Old Style" w:hAnsi="Bookman Old Style" w:cs="Arial"/>
        </w:rPr>
        <w:t>o</w:t>
      </w:r>
      <w:r w:rsidR="00D51DEF">
        <w:rPr>
          <w:rFonts w:ascii="Bookman Old Style" w:hAnsi="Bookman Old Style" w:cs="Arial"/>
        </w:rPr>
        <w:t xml:space="preserve"> que </w:t>
      </w:r>
      <w:r w:rsidR="00AB628A">
        <w:rPr>
          <w:rFonts w:ascii="Bookman Old Style" w:hAnsi="Bookman Old Style" w:cs="Arial"/>
        </w:rPr>
        <w:t xml:space="preserve">el cargo por uso del sistema de distribución </w:t>
      </w:r>
      <w:r w:rsidR="00DE02BC">
        <w:rPr>
          <w:rFonts w:ascii="Bookman Old Style" w:hAnsi="Bookman Old Style" w:cs="Arial"/>
        </w:rPr>
        <w:t>remuner</w:t>
      </w:r>
      <w:r w:rsidR="00AB628A">
        <w:rPr>
          <w:rFonts w:ascii="Bookman Old Style" w:hAnsi="Bookman Old Style" w:cs="Arial"/>
        </w:rPr>
        <w:t xml:space="preserve">e </w:t>
      </w:r>
      <w:r w:rsidR="00CC394E">
        <w:rPr>
          <w:rFonts w:ascii="Bookman Old Style" w:hAnsi="Bookman Old Style" w:cs="Arial"/>
        </w:rPr>
        <w:t>los costos de conexión</w:t>
      </w:r>
      <w:r w:rsidR="00DE02BC">
        <w:rPr>
          <w:rFonts w:ascii="Bookman Old Style" w:hAnsi="Bookman Old Style" w:cs="Arial"/>
        </w:rPr>
        <w:t>:</w:t>
      </w:r>
    </w:p>
    <w:p w14:paraId="07738813" w14:textId="77777777" w:rsidR="008442D7" w:rsidRPr="00AB628A" w:rsidRDefault="008442D7" w:rsidP="008442D7">
      <w:pPr>
        <w:ind w:left="284"/>
        <w:contextualSpacing/>
        <w:jc w:val="both"/>
        <w:rPr>
          <w:rFonts w:ascii="Bookman Old Style" w:eastAsia="MS Mincho" w:hAnsi="Bookman Old Style" w:cs="Arial"/>
        </w:rPr>
      </w:pPr>
    </w:p>
    <w:p w14:paraId="3E98F51F" w14:textId="53A248D6" w:rsidR="008442D7" w:rsidRDefault="008442D7" w:rsidP="00685A18">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w:t>
      </w:r>
      <w:r w:rsidR="00BA669E">
        <w:rPr>
          <w:rFonts w:ascii="Bookman Old Style" w:eastAsia="MS Mincho" w:hAnsi="Bookman Old Style" w:cs="Arial"/>
          <w:i/>
          <w:iCs/>
          <w:sz w:val="20"/>
          <w:szCs w:val="20"/>
          <w:lang w:val="es-CO"/>
        </w:rPr>
        <w:t xml:space="preserve"> </w:t>
      </w:r>
      <w:r w:rsidRPr="003840C0">
        <w:rPr>
          <w:rFonts w:ascii="Bookman Old Style" w:eastAsia="MS Mincho" w:hAnsi="Bookman Old Style" w:cs="Arial"/>
          <w:i/>
          <w:iCs/>
          <w:sz w:val="20"/>
          <w:szCs w:val="20"/>
          <w:lang w:val="es-CO"/>
        </w:rPr>
        <w:t>Artículo 28.</w:t>
      </w:r>
      <w:r>
        <w:rPr>
          <w:rFonts w:ascii="Bookman Old Style" w:eastAsia="MS Mincho" w:hAnsi="Bookman Old Style" w:cs="Arial"/>
          <w:i/>
          <w:iCs/>
          <w:sz w:val="20"/>
          <w:szCs w:val="20"/>
          <w:lang w:val="es-CO"/>
        </w:rPr>
        <w:t xml:space="preserve"> </w:t>
      </w:r>
      <w:r w:rsidRPr="003840C0">
        <w:rPr>
          <w:rFonts w:ascii="Bookman Old Style" w:eastAsia="MS Mincho" w:hAnsi="Bookman Old Style" w:cs="Arial"/>
          <w:i/>
          <w:iCs/>
          <w:sz w:val="20"/>
          <w:szCs w:val="20"/>
          <w:lang w:val="es-CO"/>
        </w:rPr>
        <w:t>Principios Generales. La aplicación de los cargos por uso de los Sistemas de Distribución tendrá en cuenta los siguientes principios generales:</w:t>
      </w:r>
      <w:r>
        <w:rPr>
          <w:rFonts w:ascii="Bookman Old Style" w:eastAsia="MS Mincho" w:hAnsi="Bookman Old Style" w:cs="Arial"/>
          <w:i/>
          <w:iCs/>
          <w:sz w:val="20"/>
          <w:szCs w:val="20"/>
          <w:lang w:val="es-CO"/>
        </w:rPr>
        <w:t xml:space="preserve"> (…)</w:t>
      </w:r>
    </w:p>
    <w:p w14:paraId="0D008D84" w14:textId="77777777" w:rsidR="008442D7" w:rsidRPr="00BF4835" w:rsidRDefault="008442D7" w:rsidP="008442D7">
      <w:pPr>
        <w:ind w:left="709"/>
        <w:contextualSpacing/>
        <w:jc w:val="both"/>
        <w:rPr>
          <w:rFonts w:ascii="Bookman Old Style" w:eastAsia="MS Mincho" w:hAnsi="Bookman Old Style" w:cs="Arial"/>
          <w:i/>
          <w:iCs/>
          <w:sz w:val="20"/>
          <w:szCs w:val="20"/>
          <w:lang w:val="es-CO"/>
        </w:rPr>
      </w:pPr>
    </w:p>
    <w:p w14:paraId="6941BFF7" w14:textId="77777777" w:rsidR="008442D7" w:rsidRPr="0096365B" w:rsidRDefault="008442D7" w:rsidP="00685A18">
      <w:pPr>
        <w:ind w:left="851" w:hanging="284"/>
        <w:contextualSpacing/>
        <w:jc w:val="both"/>
        <w:rPr>
          <w:rFonts w:ascii="Bookman Old Style" w:eastAsia="MS Mincho" w:hAnsi="Bookman Old Style" w:cs="Arial"/>
          <w:lang w:val="es-CO"/>
        </w:rPr>
      </w:pPr>
      <w:r w:rsidRPr="00BF4835">
        <w:rPr>
          <w:rFonts w:ascii="Bookman Old Style" w:eastAsia="MS Mincho" w:hAnsi="Bookman Old Style" w:cs="Arial"/>
          <w:i/>
          <w:iCs/>
          <w:sz w:val="20"/>
          <w:szCs w:val="20"/>
          <w:lang w:val="es-CO"/>
        </w:rPr>
        <w:t>b)</w:t>
      </w:r>
      <w:r>
        <w:rPr>
          <w:rFonts w:eastAsia="MS Mincho"/>
        </w:rPr>
        <w:tab/>
      </w:r>
      <w:r w:rsidRPr="0096365B">
        <w:rPr>
          <w:rFonts w:ascii="Bookman Old Style" w:eastAsia="MS Mincho" w:hAnsi="Bookman Old Style" w:cs="Arial"/>
          <w:b/>
          <w:bCs/>
          <w:i/>
          <w:iCs/>
          <w:sz w:val="20"/>
          <w:szCs w:val="20"/>
          <w:u w:val="single"/>
          <w:lang w:val="es-CO"/>
        </w:rPr>
        <w:t>Los cargos por uso del Sistema de Distribución remunerarán</w:t>
      </w:r>
      <w:r w:rsidRPr="00D362FD">
        <w:rPr>
          <w:rFonts w:ascii="Bookman Old Style" w:eastAsia="MS Mincho" w:hAnsi="Bookman Old Style" w:cs="Arial"/>
          <w:i/>
          <w:iCs/>
          <w:sz w:val="20"/>
          <w:szCs w:val="20"/>
          <w:lang w:val="es-CO"/>
        </w:rPr>
        <w:t xml:space="preserve"> al Distribuidor la infraestructura necesaria para llevar el suministro</w:t>
      </w:r>
      <w:r w:rsidRPr="0096365B">
        <w:rPr>
          <w:rFonts w:ascii="Bookman Old Style" w:eastAsia="MS Mincho" w:hAnsi="Bookman Old Style" w:cs="Arial"/>
          <w:b/>
          <w:bCs/>
          <w:i/>
          <w:iCs/>
          <w:sz w:val="20"/>
          <w:szCs w:val="20"/>
          <w:u w:val="single"/>
          <w:lang w:val="es-CO"/>
        </w:rPr>
        <w:t xml:space="preserve"> desde el Punto de Salida del Generador</w:t>
      </w:r>
      <w:r w:rsidRPr="00BF4835">
        <w:rPr>
          <w:rFonts w:ascii="Bookman Old Style" w:eastAsia="MS Mincho" w:hAnsi="Bookman Old Style" w:cs="Arial"/>
          <w:i/>
          <w:iCs/>
          <w:sz w:val="20"/>
          <w:szCs w:val="20"/>
          <w:lang w:val="es-CO"/>
        </w:rPr>
        <w:t xml:space="preserve">, hasta el punto de entrega al usuario. </w:t>
      </w:r>
      <w:r w:rsidRPr="006F00F7">
        <w:rPr>
          <w:rFonts w:ascii="Bookman Old Style" w:eastAsia="MS Mincho" w:hAnsi="Bookman Old Style" w:cs="Arial"/>
          <w:b/>
          <w:bCs/>
          <w:i/>
          <w:iCs/>
          <w:sz w:val="20"/>
          <w:szCs w:val="20"/>
          <w:u w:val="single"/>
          <w:lang w:val="es-CO"/>
        </w:rPr>
        <w:t>Incluyen los costos de conexión del Sistema de Distribución al Generador, pero no incluyen</w:t>
      </w:r>
      <w:r w:rsidRPr="00BF4835">
        <w:rPr>
          <w:rFonts w:ascii="Bookman Old Style" w:eastAsia="MS Mincho" w:hAnsi="Bookman Old Style" w:cs="Arial"/>
          <w:i/>
          <w:iCs/>
          <w:sz w:val="20"/>
          <w:szCs w:val="20"/>
          <w:lang w:val="es-CO"/>
        </w:rPr>
        <w:t xml:space="preserve"> los costos de conexión del usuario al respectivo Sistema de Distribución ni </w:t>
      </w:r>
      <w:r w:rsidRPr="006F00F7">
        <w:rPr>
          <w:rFonts w:ascii="Bookman Old Style" w:eastAsia="MS Mincho" w:hAnsi="Bookman Old Style" w:cs="Arial"/>
          <w:b/>
          <w:bCs/>
          <w:i/>
          <w:iCs/>
          <w:sz w:val="20"/>
          <w:szCs w:val="20"/>
          <w:u w:val="single"/>
          <w:lang w:val="es-CO"/>
        </w:rPr>
        <w:t>los costos de los equipos auxiliares y transformadores elevadores que requiera el generador para conectarse al Sistema de Distribución</w:t>
      </w:r>
      <w:r w:rsidRPr="00BF4835">
        <w:rPr>
          <w:rFonts w:ascii="Bookman Old Style" w:eastAsia="MS Mincho" w:hAnsi="Bookman Old Style" w:cs="Arial"/>
          <w:i/>
          <w:iCs/>
          <w:sz w:val="20"/>
          <w:szCs w:val="20"/>
          <w:lang w:val="es-CO"/>
        </w:rPr>
        <w:t>.</w:t>
      </w:r>
      <w:r>
        <w:rPr>
          <w:rFonts w:ascii="Bookman Old Style" w:eastAsia="MS Mincho" w:hAnsi="Bookman Old Style" w:cs="Arial"/>
          <w:i/>
          <w:iCs/>
          <w:sz w:val="20"/>
          <w:szCs w:val="20"/>
          <w:lang w:val="es-CO"/>
        </w:rPr>
        <w:t xml:space="preserve"> (…)”</w:t>
      </w:r>
      <w:r>
        <w:rPr>
          <w:rFonts w:ascii="Bookman Old Style" w:eastAsia="MS Mincho" w:hAnsi="Bookman Old Style" w:cs="Arial"/>
          <w:sz w:val="20"/>
          <w:szCs w:val="20"/>
          <w:lang w:val="es-CO"/>
        </w:rPr>
        <w:t xml:space="preserve"> </w:t>
      </w:r>
      <w:r w:rsidRPr="00076445">
        <w:rPr>
          <w:rFonts w:ascii="Bookman Old Style" w:eastAsia="MS Mincho" w:hAnsi="Bookman Old Style"/>
          <w:sz w:val="20"/>
          <w:lang w:val="es-CO"/>
        </w:rPr>
        <w:t>Resaltado y subrayado fuera de texto.</w:t>
      </w:r>
    </w:p>
    <w:p w14:paraId="65D9DFD4" w14:textId="77777777" w:rsidR="00490FE1" w:rsidRDefault="00490FE1" w:rsidP="00B264DC">
      <w:pPr>
        <w:ind w:left="284"/>
        <w:contextualSpacing/>
        <w:jc w:val="both"/>
        <w:rPr>
          <w:rFonts w:ascii="Bookman Old Style" w:hAnsi="Bookman Old Style" w:cs="Arial"/>
        </w:rPr>
      </w:pPr>
    </w:p>
    <w:p w14:paraId="02C4851F" w14:textId="77777777" w:rsidR="00E60ED8" w:rsidRDefault="00AB628A" w:rsidP="0022721F">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En ese sentido, aunque</w:t>
      </w:r>
      <w:r w:rsidR="00406FA6">
        <w:rPr>
          <w:rFonts w:ascii="Bookman Old Style" w:eastAsia="MS Mincho" w:hAnsi="Bookman Old Style" w:cs="Arial"/>
          <w:lang w:val="es-CO"/>
        </w:rPr>
        <w:t xml:space="preserve"> </w:t>
      </w:r>
      <w:r>
        <w:rPr>
          <w:rFonts w:ascii="Bookman Old Style" w:eastAsia="MS Mincho" w:hAnsi="Bookman Old Style" w:cs="Arial"/>
          <w:lang w:val="es-CO"/>
        </w:rPr>
        <w:t>deba suscribirse un contrato de conexión</w:t>
      </w:r>
      <w:r w:rsidR="000B413C">
        <w:rPr>
          <w:rFonts w:ascii="Bookman Old Style" w:eastAsia="MS Mincho" w:hAnsi="Bookman Old Style" w:cs="Arial"/>
          <w:lang w:val="es-CO"/>
        </w:rPr>
        <w:t>,</w:t>
      </w:r>
      <w:r w:rsidR="0019073E">
        <w:rPr>
          <w:rFonts w:ascii="Bookman Old Style" w:eastAsia="MS Mincho" w:hAnsi="Bookman Old Style" w:cs="Arial"/>
          <w:lang w:val="es-CO"/>
        </w:rPr>
        <w:t xml:space="preserve"> </w:t>
      </w:r>
      <w:r w:rsidR="00406FA6">
        <w:rPr>
          <w:rFonts w:ascii="Bookman Old Style" w:eastAsia="MS Mincho" w:hAnsi="Bookman Old Style" w:cs="Arial"/>
          <w:lang w:val="es-CO"/>
        </w:rPr>
        <w:t>tal como se tiene previsto en Resolución CREG 038 de 2018</w:t>
      </w:r>
      <w:r w:rsidR="00BE6D89">
        <w:rPr>
          <w:rFonts w:ascii="Bookman Old Style" w:eastAsia="MS Mincho" w:hAnsi="Bookman Old Style" w:cs="Arial"/>
          <w:lang w:val="es-CO"/>
        </w:rPr>
        <w:t xml:space="preserve">, </w:t>
      </w:r>
      <w:r w:rsidR="000B413C">
        <w:rPr>
          <w:rFonts w:ascii="Bookman Old Style" w:eastAsia="MS Mincho" w:hAnsi="Bookman Old Style" w:cs="Arial"/>
          <w:lang w:val="es-CO"/>
        </w:rPr>
        <w:t>en el evento en que el proyecto Matakavi se conecte</w:t>
      </w:r>
      <w:r w:rsidR="006D6662">
        <w:rPr>
          <w:rFonts w:ascii="Bookman Old Style" w:eastAsia="MS Mincho" w:hAnsi="Bookman Old Style" w:cs="Arial"/>
          <w:lang w:val="es-CO"/>
        </w:rPr>
        <w:t>,</w:t>
      </w:r>
      <w:r w:rsidR="000B413C">
        <w:rPr>
          <w:rFonts w:ascii="Bookman Old Style" w:eastAsia="MS Mincho" w:hAnsi="Bookman Old Style" w:cs="Arial"/>
          <w:lang w:val="es-CO"/>
        </w:rPr>
        <w:t xml:space="preserve"> </w:t>
      </w:r>
      <w:r w:rsidR="0019073E">
        <w:rPr>
          <w:rFonts w:ascii="Bookman Old Style" w:eastAsia="MS Mincho" w:hAnsi="Bookman Old Style" w:cs="Arial"/>
          <w:lang w:val="es-CO"/>
        </w:rPr>
        <w:t xml:space="preserve">no procedería el </w:t>
      </w:r>
      <w:r w:rsidR="006D6662">
        <w:rPr>
          <w:rFonts w:ascii="Bookman Old Style" w:eastAsia="MS Mincho" w:hAnsi="Bookman Old Style" w:cs="Arial"/>
          <w:lang w:val="es-CO"/>
        </w:rPr>
        <w:t xml:space="preserve">reconocimiento de </w:t>
      </w:r>
      <w:r w:rsidR="00603522" w:rsidRPr="00603522">
        <w:rPr>
          <w:rFonts w:ascii="Bookman Old Style" w:eastAsia="MS Mincho" w:hAnsi="Bookman Old Style" w:cs="Arial"/>
          <w:lang w:val="es-CO"/>
        </w:rPr>
        <w:t>pago o peaje razonable</w:t>
      </w:r>
      <w:r w:rsidR="00603522">
        <w:rPr>
          <w:rFonts w:ascii="Bookman Old Style" w:eastAsia="MS Mincho" w:hAnsi="Bookman Old Style" w:cs="Arial"/>
          <w:lang w:val="es-CO"/>
        </w:rPr>
        <w:t>, del que trata la Ley 142.</w:t>
      </w:r>
    </w:p>
    <w:p w14:paraId="7E96A544" w14:textId="77777777" w:rsidR="00E60ED8" w:rsidRDefault="00E60ED8" w:rsidP="0022721F">
      <w:pPr>
        <w:ind w:left="284"/>
        <w:contextualSpacing/>
        <w:jc w:val="both"/>
        <w:rPr>
          <w:rFonts w:ascii="Bookman Old Style" w:eastAsia="MS Mincho" w:hAnsi="Bookman Old Style" w:cs="Arial"/>
          <w:lang w:val="es-CO"/>
        </w:rPr>
      </w:pPr>
    </w:p>
    <w:p w14:paraId="60E45519" w14:textId="173E7F81" w:rsidR="0080638A" w:rsidRDefault="00357973" w:rsidP="0022721F">
      <w:pPr>
        <w:ind w:left="284"/>
        <w:contextualSpacing/>
        <w:jc w:val="both"/>
        <w:rPr>
          <w:rFonts w:ascii="Bookman Old Style" w:eastAsia="MS Mincho" w:hAnsi="Bookman Old Style" w:cs="Arial"/>
          <w:lang w:val="es-CO"/>
        </w:rPr>
      </w:pPr>
      <w:r>
        <w:rPr>
          <w:rFonts w:ascii="Bookman Old Style" w:eastAsia="MS Mincho" w:hAnsi="Bookman Old Style" w:cs="Arial"/>
          <w:lang w:val="es-CO"/>
        </w:rPr>
        <w:t xml:space="preserve">Sin perjuicio de lo anterior, en la misma Resolución CREG 091 de 2007 se </w:t>
      </w:r>
      <w:r w:rsidR="00054D31">
        <w:rPr>
          <w:rFonts w:ascii="Bookman Old Style" w:eastAsia="MS Mincho" w:hAnsi="Bookman Old Style" w:cs="Arial"/>
          <w:lang w:val="es-CO"/>
        </w:rPr>
        <w:t>dejó pre</w:t>
      </w:r>
      <w:r w:rsidR="008768FD">
        <w:rPr>
          <w:rFonts w:ascii="Bookman Old Style" w:eastAsia="MS Mincho" w:hAnsi="Bookman Old Style" w:cs="Arial"/>
          <w:lang w:val="es-CO"/>
        </w:rPr>
        <w:t xml:space="preserve">visto </w:t>
      </w:r>
      <w:r w:rsidR="006B3A3D">
        <w:rPr>
          <w:rFonts w:ascii="Bookman Old Style" w:eastAsia="MS Mincho" w:hAnsi="Bookman Old Style" w:cs="Arial"/>
          <w:lang w:val="es-CO"/>
        </w:rPr>
        <w:t>que</w:t>
      </w:r>
      <w:r w:rsidR="008F48E0">
        <w:rPr>
          <w:rFonts w:ascii="Bookman Old Style" w:eastAsia="MS Mincho" w:hAnsi="Bookman Old Style" w:cs="Arial"/>
          <w:lang w:val="es-CO"/>
        </w:rPr>
        <w:t>,</w:t>
      </w:r>
      <w:r w:rsidR="006B3A3D">
        <w:rPr>
          <w:rFonts w:ascii="Bookman Old Style" w:eastAsia="MS Mincho" w:hAnsi="Bookman Old Style" w:cs="Arial"/>
          <w:lang w:val="es-CO"/>
        </w:rPr>
        <w:t xml:space="preserve"> </w:t>
      </w:r>
      <w:r w:rsidR="00054D31">
        <w:rPr>
          <w:rFonts w:ascii="Bookman Old Style" w:eastAsia="MS Mincho" w:hAnsi="Bookman Old Style" w:cs="Arial"/>
          <w:lang w:val="es-CO"/>
        </w:rPr>
        <w:t xml:space="preserve">en aplicación de </w:t>
      </w:r>
      <w:r w:rsidR="006B3A3D">
        <w:rPr>
          <w:rFonts w:ascii="Bookman Old Style" w:eastAsia="MS Mincho" w:hAnsi="Bookman Old Style" w:cs="Arial"/>
          <w:lang w:val="es-CO"/>
        </w:rPr>
        <w:t>los cargos por</w:t>
      </w:r>
      <w:r w:rsidR="00054D31">
        <w:rPr>
          <w:rFonts w:ascii="Bookman Old Style" w:eastAsia="MS Mincho" w:hAnsi="Bookman Old Style" w:cs="Arial"/>
          <w:lang w:val="es-CO"/>
        </w:rPr>
        <w:t xml:space="preserve"> uso</w:t>
      </w:r>
      <w:r w:rsidR="008F48E0">
        <w:rPr>
          <w:rFonts w:ascii="Bookman Old Style" w:eastAsia="MS Mincho" w:hAnsi="Bookman Old Style" w:cs="Arial"/>
          <w:lang w:val="es-CO"/>
        </w:rPr>
        <w:t>,</w:t>
      </w:r>
      <w:r w:rsidR="00054D31">
        <w:rPr>
          <w:rFonts w:ascii="Bookman Old Style" w:eastAsia="MS Mincho" w:hAnsi="Bookman Old Style" w:cs="Arial"/>
          <w:lang w:val="es-CO"/>
        </w:rPr>
        <w:t xml:space="preserve"> los usuarios pagarán un único cargo por el uso del sistema de distribución, independientemente del número de propietarios</w:t>
      </w:r>
      <w:r w:rsidR="000D06E4">
        <w:rPr>
          <w:rFonts w:ascii="Bookman Old Style" w:eastAsia="MS Mincho" w:hAnsi="Bookman Old Style" w:cs="Arial"/>
          <w:lang w:val="es-CO"/>
        </w:rPr>
        <w:t>:</w:t>
      </w:r>
    </w:p>
    <w:p w14:paraId="4E46D6F2" w14:textId="77777777" w:rsidR="0022721F" w:rsidRDefault="0022721F" w:rsidP="0022721F">
      <w:pPr>
        <w:ind w:left="284"/>
        <w:contextualSpacing/>
        <w:jc w:val="both"/>
        <w:rPr>
          <w:rFonts w:ascii="Bookman Old Style" w:eastAsia="MS Mincho" w:hAnsi="Bookman Old Style" w:cs="Arial"/>
          <w:lang w:val="es-CO"/>
        </w:rPr>
      </w:pPr>
    </w:p>
    <w:p w14:paraId="12E3C094" w14:textId="7F7E313F" w:rsidR="0022721F" w:rsidRDefault="0022721F" w:rsidP="00685A18">
      <w:pPr>
        <w:ind w:left="567"/>
        <w:contextualSpacing/>
        <w:jc w:val="both"/>
        <w:rPr>
          <w:rFonts w:ascii="Bookman Old Style" w:eastAsia="MS Mincho" w:hAnsi="Bookman Old Style" w:cs="Arial"/>
          <w:i/>
          <w:iCs/>
          <w:sz w:val="20"/>
          <w:szCs w:val="20"/>
          <w:lang w:val="es-CO"/>
        </w:rPr>
      </w:pPr>
      <w:r>
        <w:rPr>
          <w:rFonts w:ascii="Bookman Old Style" w:eastAsia="MS Mincho" w:hAnsi="Bookman Old Style" w:cs="Arial"/>
          <w:i/>
          <w:iCs/>
          <w:sz w:val="20"/>
          <w:szCs w:val="20"/>
          <w:lang w:val="es-CO"/>
        </w:rPr>
        <w:t xml:space="preserve">“(…) </w:t>
      </w:r>
      <w:r w:rsidRPr="003840C0">
        <w:rPr>
          <w:rFonts w:ascii="Bookman Old Style" w:eastAsia="MS Mincho" w:hAnsi="Bookman Old Style" w:cs="Arial"/>
          <w:i/>
          <w:iCs/>
          <w:sz w:val="20"/>
          <w:szCs w:val="20"/>
          <w:lang w:val="es-CO"/>
        </w:rPr>
        <w:t>Artículo 28.</w:t>
      </w:r>
      <w:r>
        <w:rPr>
          <w:rFonts w:ascii="Bookman Old Style" w:eastAsia="MS Mincho" w:hAnsi="Bookman Old Style" w:cs="Arial"/>
          <w:i/>
          <w:iCs/>
          <w:sz w:val="20"/>
          <w:szCs w:val="20"/>
          <w:lang w:val="es-CO"/>
        </w:rPr>
        <w:t xml:space="preserve"> </w:t>
      </w:r>
      <w:r w:rsidRPr="003840C0">
        <w:rPr>
          <w:rFonts w:ascii="Bookman Old Style" w:eastAsia="MS Mincho" w:hAnsi="Bookman Old Style" w:cs="Arial"/>
          <w:i/>
          <w:iCs/>
          <w:sz w:val="20"/>
          <w:szCs w:val="20"/>
          <w:lang w:val="es-CO"/>
        </w:rPr>
        <w:t>Principios Generales. La aplicación de los cargos por uso de los Sistemas de Distribución tendrá en cuenta los siguientes principios generales:</w:t>
      </w:r>
    </w:p>
    <w:p w14:paraId="465F9A93" w14:textId="77777777" w:rsidR="0022721F" w:rsidRPr="00BF4835" w:rsidRDefault="0022721F" w:rsidP="0022721F">
      <w:pPr>
        <w:ind w:left="709"/>
        <w:contextualSpacing/>
        <w:jc w:val="both"/>
        <w:rPr>
          <w:rFonts w:ascii="Bookman Old Style" w:eastAsia="MS Mincho" w:hAnsi="Bookman Old Style" w:cs="Arial"/>
          <w:i/>
          <w:iCs/>
          <w:sz w:val="20"/>
          <w:szCs w:val="20"/>
          <w:lang w:val="es-CO"/>
        </w:rPr>
      </w:pPr>
    </w:p>
    <w:p w14:paraId="5CB9C4B4" w14:textId="5DB23109" w:rsidR="0022721F" w:rsidRPr="009E02FB" w:rsidRDefault="0022721F" w:rsidP="00685A18">
      <w:pPr>
        <w:ind w:left="851" w:hanging="284"/>
        <w:contextualSpacing/>
        <w:jc w:val="both"/>
        <w:rPr>
          <w:rFonts w:ascii="Bookman Old Style" w:eastAsia="MS Mincho" w:hAnsi="Bookman Old Style" w:cs="Arial"/>
          <w:sz w:val="20"/>
          <w:szCs w:val="20"/>
          <w:lang w:val="es-CO"/>
        </w:rPr>
      </w:pPr>
      <w:r w:rsidRPr="00BF4835">
        <w:rPr>
          <w:rFonts w:ascii="Bookman Old Style" w:eastAsia="MS Mincho" w:hAnsi="Bookman Old Style" w:cs="Arial"/>
          <w:i/>
          <w:iCs/>
          <w:sz w:val="20"/>
          <w:szCs w:val="20"/>
          <w:lang w:val="es-CO"/>
        </w:rPr>
        <w:t>a)</w:t>
      </w:r>
      <w:r w:rsidRPr="00BF4835">
        <w:rPr>
          <w:rFonts w:ascii="Bookman Old Style" w:eastAsia="MS Mincho" w:hAnsi="Bookman Old Style" w:cs="Arial"/>
          <w:i/>
          <w:iCs/>
          <w:sz w:val="20"/>
          <w:szCs w:val="20"/>
          <w:lang w:val="es-CO"/>
        </w:rPr>
        <w:tab/>
      </w:r>
      <w:r w:rsidRPr="006035F9">
        <w:rPr>
          <w:rFonts w:ascii="Bookman Old Style" w:eastAsia="MS Mincho" w:hAnsi="Bookman Old Style" w:cs="Arial"/>
          <w:b/>
          <w:bCs/>
          <w:i/>
          <w:iCs/>
          <w:sz w:val="20"/>
          <w:szCs w:val="20"/>
          <w:u w:val="single"/>
          <w:lang w:val="es-CO"/>
        </w:rPr>
        <w:t>Los cargos por uso</w:t>
      </w:r>
      <w:r w:rsidRPr="00BF4835">
        <w:rPr>
          <w:rFonts w:ascii="Bookman Old Style" w:eastAsia="MS Mincho" w:hAnsi="Bookman Old Style" w:cs="Arial"/>
          <w:i/>
          <w:iCs/>
          <w:sz w:val="20"/>
          <w:szCs w:val="20"/>
          <w:lang w:val="es-CO"/>
        </w:rPr>
        <w:t xml:space="preserve"> de los Sistemas de Distribución aprobados por la CREG </w:t>
      </w:r>
      <w:r w:rsidRPr="006035F9">
        <w:rPr>
          <w:rFonts w:ascii="Bookman Old Style" w:eastAsia="MS Mincho" w:hAnsi="Bookman Old Style" w:cs="Arial"/>
          <w:b/>
          <w:bCs/>
          <w:i/>
          <w:iCs/>
          <w:sz w:val="20"/>
          <w:szCs w:val="20"/>
          <w:u w:val="single"/>
          <w:lang w:val="es-CO"/>
        </w:rPr>
        <w:t>se aplicarán de forma tal que los usuarios de las redes paguen un único cargo por el uso de cada sistema, independientemente del número de propietarios del mismo</w:t>
      </w:r>
      <w:r w:rsidRPr="00BF4835">
        <w:rPr>
          <w:rFonts w:ascii="Bookman Old Style" w:eastAsia="MS Mincho" w:hAnsi="Bookman Old Style" w:cs="Arial"/>
          <w:i/>
          <w:iCs/>
          <w:sz w:val="20"/>
          <w:szCs w:val="20"/>
          <w:lang w:val="es-CO"/>
        </w:rPr>
        <w:t>.</w:t>
      </w:r>
      <w:r w:rsidR="009E02FB">
        <w:rPr>
          <w:rFonts w:ascii="Bookman Old Style" w:eastAsia="MS Mincho" w:hAnsi="Bookman Old Style" w:cs="Arial"/>
          <w:i/>
          <w:iCs/>
          <w:sz w:val="20"/>
          <w:szCs w:val="20"/>
          <w:lang w:val="es-CO"/>
        </w:rPr>
        <w:t xml:space="preserve"> (…)” </w:t>
      </w:r>
      <w:r w:rsidR="009E02FB">
        <w:rPr>
          <w:rFonts w:ascii="Bookman Old Style" w:eastAsia="MS Mincho" w:hAnsi="Bookman Old Style" w:cs="Arial"/>
          <w:sz w:val="20"/>
          <w:szCs w:val="20"/>
          <w:lang w:val="es-CO"/>
        </w:rPr>
        <w:t>Resaltado y subrayado fuera de texto</w:t>
      </w:r>
    </w:p>
    <w:p w14:paraId="758ACF39" w14:textId="77777777" w:rsidR="0008448D" w:rsidRDefault="0008448D" w:rsidP="00B264DC">
      <w:pPr>
        <w:ind w:left="284"/>
        <w:contextualSpacing/>
        <w:jc w:val="both"/>
        <w:rPr>
          <w:rFonts w:ascii="Bookman Old Style" w:hAnsi="Bookman Old Style" w:cs="Arial"/>
        </w:rPr>
      </w:pPr>
    </w:p>
    <w:p w14:paraId="59CFEB15" w14:textId="21FE6FD9" w:rsidR="0008448D" w:rsidRDefault="005843D8" w:rsidP="00B264DC">
      <w:pPr>
        <w:ind w:left="284"/>
        <w:contextualSpacing/>
        <w:jc w:val="both"/>
        <w:rPr>
          <w:rFonts w:ascii="Bookman Old Style" w:eastAsia="MS Mincho" w:hAnsi="Bookman Old Style" w:cs="Arial"/>
          <w:lang w:val="es-CO"/>
        </w:rPr>
      </w:pPr>
      <w:r>
        <w:rPr>
          <w:rFonts w:ascii="Bookman Old Style" w:hAnsi="Bookman Old Style" w:cs="Arial"/>
        </w:rPr>
        <w:t xml:space="preserve">Lo anterior fue </w:t>
      </w:r>
      <w:r w:rsidR="00054D31">
        <w:rPr>
          <w:rFonts w:ascii="Bookman Old Style" w:hAnsi="Bookman Old Style" w:cs="Arial"/>
        </w:rPr>
        <w:t>complement</w:t>
      </w:r>
      <w:r>
        <w:rPr>
          <w:rFonts w:ascii="Bookman Old Style" w:hAnsi="Bookman Old Style" w:cs="Arial"/>
        </w:rPr>
        <w:t xml:space="preserve">ado en esa misma resolución, al definirse </w:t>
      </w:r>
      <w:r w:rsidR="00054D31">
        <w:rPr>
          <w:rFonts w:ascii="Bookman Old Style" w:eastAsia="MS Mincho" w:hAnsi="Bookman Old Style" w:cs="Arial"/>
          <w:lang w:val="es-CO"/>
        </w:rPr>
        <w:t xml:space="preserve">el procedimiento para la </w:t>
      </w:r>
      <w:r w:rsidR="009F487A">
        <w:rPr>
          <w:rFonts w:ascii="Bookman Old Style" w:eastAsia="MS Mincho" w:hAnsi="Bookman Old Style" w:cs="Arial"/>
          <w:lang w:val="es-CO"/>
        </w:rPr>
        <w:t xml:space="preserve">asignación de la remuneración </w:t>
      </w:r>
      <w:r w:rsidR="00054D31">
        <w:rPr>
          <w:rFonts w:ascii="Bookman Old Style" w:eastAsia="MS Mincho" w:hAnsi="Bookman Old Style" w:cs="Arial"/>
          <w:lang w:val="es-CO"/>
        </w:rPr>
        <w:t>por uso del sistema de distribución cuando el mismo es de propiedad múltiple</w:t>
      </w:r>
      <w:r w:rsidR="009C4C92">
        <w:rPr>
          <w:rFonts w:ascii="Bookman Old Style" w:eastAsia="MS Mincho" w:hAnsi="Bookman Old Style" w:cs="Arial"/>
          <w:lang w:val="es-CO"/>
        </w:rPr>
        <w:t>:</w:t>
      </w:r>
    </w:p>
    <w:p w14:paraId="57B1799E" w14:textId="77777777" w:rsidR="009C4C92" w:rsidRPr="009C4C92" w:rsidRDefault="009C4C92" w:rsidP="00B264DC">
      <w:pPr>
        <w:ind w:left="284"/>
        <w:contextualSpacing/>
        <w:jc w:val="both"/>
        <w:rPr>
          <w:rFonts w:ascii="Bookman Old Style" w:hAnsi="Bookman Old Style" w:cs="Arial"/>
          <w:lang w:val="es-CO"/>
        </w:rPr>
      </w:pPr>
    </w:p>
    <w:p w14:paraId="36AA06F8" w14:textId="77777777" w:rsidR="009C4C92" w:rsidRPr="009C4C92" w:rsidRDefault="009C4C92" w:rsidP="00685A18">
      <w:pPr>
        <w:pStyle w:val="Textoindependiente21"/>
        <w:ind w:left="567"/>
        <w:contextualSpacing/>
        <w:rPr>
          <w:rFonts w:ascii="Bookman Old Style" w:hAnsi="Bookman Old Style" w:cs="Arial"/>
          <w:i/>
          <w:iCs/>
          <w:sz w:val="20"/>
          <w:lang w:val="es-ES"/>
        </w:rPr>
      </w:pPr>
      <w:r w:rsidRPr="009C4C92">
        <w:rPr>
          <w:rFonts w:ascii="Bookman Old Style" w:hAnsi="Bookman Old Style" w:cs="Arial"/>
          <w:i/>
          <w:iCs/>
          <w:sz w:val="20"/>
          <w:lang w:val="es-ES"/>
        </w:rPr>
        <w:t>“(…) Artículo 31.</w:t>
      </w:r>
      <w:r w:rsidRPr="009C4C92">
        <w:rPr>
          <w:rFonts w:ascii="Bookman Old Style" w:hAnsi="Bookman Old Style"/>
          <w:sz w:val="20"/>
        </w:rPr>
        <w:t xml:space="preserve"> </w:t>
      </w:r>
      <w:r w:rsidRPr="009C4C92">
        <w:rPr>
          <w:rFonts w:ascii="Bookman Old Style" w:hAnsi="Bookman Old Style" w:cs="Arial"/>
          <w:b/>
          <w:bCs/>
          <w:i/>
          <w:iCs/>
          <w:sz w:val="20"/>
          <w:u w:val="single"/>
          <w:lang w:val="es-ES"/>
        </w:rPr>
        <w:t>Sistemas de Distribución de Propiedad Múltiple.</w:t>
      </w:r>
      <w:r w:rsidRPr="009C4C92">
        <w:rPr>
          <w:rFonts w:ascii="Bookman Old Style" w:hAnsi="Bookman Old Style" w:cs="Arial"/>
          <w:i/>
          <w:iCs/>
          <w:sz w:val="20"/>
          <w:lang w:val="es-ES"/>
        </w:rPr>
        <w:t xml:space="preserve"> Si en un Sistema de Distribución existen dos o más propietarios, o cuando un Distribuidor utiliza activos de terceros para uso general, el procedimiento que se aplicará para la asignación de la remuneración y para la administración, operación y mantenimiento (AOM) del respectivo sistema tendrá en cuenta las siguientes reglas generales:</w:t>
      </w:r>
    </w:p>
    <w:p w14:paraId="33DA348E" w14:textId="77777777" w:rsidR="009C4C92" w:rsidRPr="009C4C92" w:rsidRDefault="009C4C92" w:rsidP="00685A18">
      <w:pPr>
        <w:pStyle w:val="Textoindependiente21"/>
        <w:ind w:left="567"/>
        <w:contextualSpacing/>
        <w:rPr>
          <w:rFonts w:ascii="Bookman Old Style" w:hAnsi="Bookman Old Style" w:cs="Arial"/>
          <w:i/>
          <w:iCs/>
          <w:sz w:val="20"/>
          <w:lang w:val="es-ES"/>
        </w:rPr>
      </w:pPr>
    </w:p>
    <w:p w14:paraId="551F0AF8" w14:textId="77777777" w:rsidR="009C4C92" w:rsidRPr="009C4C92" w:rsidRDefault="009C4C92" w:rsidP="00685A18">
      <w:pPr>
        <w:pStyle w:val="Textoindependiente21"/>
        <w:ind w:left="567"/>
        <w:contextualSpacing/>
        <w:rPr>
          <w:rFonts w:ascii="Bookman Old Style" w:hAnsi="Bookman Old Style" w:cs="Arial"/>
          <w:i/>
          <w:iCs/>
          <w:sz w:val="20"/>
          <w:lang w:val="es-ES"/>
        </w:rPr>
      </w:pPr>
      <w:r w:rsidRPr="009C4C92">
        <w:rPr>
          <w:rFonts w:ascii="Bookman Old Style" w:hAnsi="Bookman Old Style" w:cs="Arial"/>
          <w:i/>
          <w:iCs/>
          <w:sz w:val="20"/>
          <w:lang w:val="es-ES"/>
        </w:rPr>
        <w:t>a)</w:t>
      </w:r>
      <w:r w:rsidRPr="009C4C92">
        <w:rPr>
          <w:rFonts w:ascii="Bookman Old Style" w:hAnsi="Bookman Old Style"/>
          <w:sz w:val="20"/>
        </w:rPr>
        <w:t xml:space="preserve"> </w:t>
      </w:r>
      <w:r w:rsidRPr="009E4878">
        <w:rPr>
          <w:rFonts w:ascii="Bookman Old Style" w:hAnsi="Bookman Old Style" w:cs="Arial"/>
          <w:b/>
          <w:bCs/>
          <w:i/>
          <w:iCs/>
          <w:sz w:val="20"/>
          <w:u w:val="single"/>
          <w:lang w:val="es-ES"/>
        </w:rPr>
        <w:t>La asignación de los ingresos que remuneran la Inversión, se efectuará con el porcentaje de participación de cada propietario en la inversión</w:t>
      </w:r>
      <w:r w:rsidRPr="009C4C92">
        <w:rPr>
          <w:rFonts w:ascii="Bookman Old Style" w:hAnsi="Bookman Old Style" w:cs="Arial"/>
          <w:i/>
          <w:iCs/>
          <w:sz w:val="20"/>
          <w:lang w:val="es-ES"/>
        </w:rPr>
        <w:t>, el cual será definido entre ellos, entre otros criterios, con base en la longitud de red y/o de la capacidad de transformación de cada uno.</w:t>
      </w:r>
    </w:p>
    <w:p w14:paraId="22F4AEB4" w14:textId="77777777" w:rsidR="009C4C92" w:rsidRPr="009C4C92" w:rsidRDefault="009C4C92" w:rsidP="00685A18">
      <w:pPr>
        <w:pStyle w:val="Textoindependiente21"/>
        <w:ind w:left="567"/>
        <w:contextualSpacing/>
        <w:rPr>
          <w:rFonts w:ascii="Bookman Old Style" w:hAnsi="Bookman Old Style" w:cs="Arial"/>
          <w:i/>
          <w:iCs/>
          <w:sz w:val="20"/>
          <w:lang w:val="es-ES"/>
        </w:rPr>
      </w:pPr>
    </w:p>
    <w:p w14:paraId="1FDEE45E" w14:textId="77777777" w:rsidR="009C4C92" w:rsidRPr="009C4C92" w:rsidRDefault="009C4C92" w:rsidP="00685A18">
      <w:pPr>
        <w:pStyle w:val="Textoindependiente21"/>
        <w:ind w:left="567"/>
        <w:contextualSpacing/>
        <w:rPr>
          <w:rFonts w:ascii="Bookman Old Style" w:hAnsi="Bookman Old Style" w:cs="Arial"/>
          <w:i/>
          <w:iCs/>
          <w:sz w:val="20"/>
          <w:lang w:val="es-ES"/>
        </w:rPr>
      </w:pPr>
      <w:r w:rsidRPr="009C4C92">
        <w:rPr>
          <w:rFonts w:ascii="Bookman Old Style" w:hAnsi="Bookman Old Style" w:cs="Arial"/>
          <w:i/>
          <w:iCs/>
          <w:sz w:val="20"/>
          <w:lang w:val="es-ES"/>
        </w:rPr>
        <w:t>b)</w:t>
      </w:r>
      <w:r w:rsidRPr="009C4C92">
        <w:rPr>
          <w:rFonts w:ascii="Bookman Old Style" w:hAnsi="Bookman Old Style"/>
          <w:sz w:val="20"/>
        </w:rPr>
        <w:t xml:space="preserve"> </w:t>
      </w:r>
      <w:r w:rsidRPr="009E4878">
        <w:rPr>
          <w:rFonts w:ascii="Bookman Old Style" w:hAnsi="Bookman Old Style" w:cs="Arial"/>
          <w:b/>
          <w:bCs/>
          <w:i/>
          <w:iCs/>
          <w:sz w:val="20"/>
          <w:u w:val="single"/>
          <w:lang w:val="es-ES"/>
        </w:rPr>
        <w:t>La Administración, Operación y Mantenimiento de dichos activos será realizada por el Distribuidor y a éste le corresponderá el Cargo de AOM establecido por la CREG.</w:t>
      </w:r>
    </w:p>
    <w:p w14:paraId="44EBADBC" w14:textId="77777777" w:rsidR="009C4C92" w:rsidRPr="009C4C92" w:rsidRDefault="009C4C92" w:rsidP="00685A18">
      <w:pPr>
        <w:pStyle w:val="Textoindependiente21"/>
        <w:ind w:left="567"/>
        <w:contextualSpacing/>
        <w:rPr>
          <w:rFonts w:ascii="Bookman Old Style" w:hAnsi="Bookman Old Style" w:cs="Arial"/>
          <w:i/>
          <w:iCs/>
          <w:sz w:val="20"/>
          <w:lang w:val="es-ES"/>
        </w:rPr>
      </w:pPr>
    </w:p>
    <w:p w14:paraId="2074D8FE" w14:textId="77777777" w:rsidR="009C4C92" w:rsidRPr="009C4C92" w:rsidRDefault="009C4C92" w:rsidP="00685A18">
      <w:pPr>
        <w:pStyle w:val="Textoindependiente21"/>
        <w:ind w:left="567"/>
        <w:contextualSpacing/>
        <w:rPr>
          <w:rFonts w:ascii="Bookman Old Style" w:hAnsi="Bookman Old Style" w:cs="Arial"/>
          <w:i/>
          <w:iCs/>
          <w:sz w:val="20"/>
          <w:lang w:val="es-ES"/>
        </w:rPr>
      </w:pPr>
      <w:r w:rsidRPr="009C4C92">
        <w:rPr>
          <w:rFonts w:ascii="Bookman Old Style" w:hAnsi="Bookman Old Style" w:cs="Arial"/>
          <w:i/>
          <w:iCs/>
          <w:sz w:val="20"/>
          <w:lang w:val="es-ES"/>
        </w:rPr>
        <w:t>Parágrafo 1. Cuando sea necesario realizar la reposición de redes de terceros que sean de uso general, la obligación de reposición corresponde en primer lugar al propietario del activo. Si éste no hace la reposición oportunamente, el Distribuidor que está utilizando dicho activo podrá realizarla. En este caso, el Distribuidor ajustará la remuneración al tercero de conformidad con el esquema regulatorio que esté vigente y con la reposición efectuada.</w:t>
      </w:r>
    </w:p>
    <w:p w14:paraId="3DB55DFE" w14:textId="77777777" w:rsidR="009C4C92" w:rsidRPr="009C4C92" w:rsidRDefault="009C4C92" w:rsidP="00685A18">
      <w:pPr>
        <w:pStyle w:val="Textoindependiente21"/>
        <w:ind w:left="567"/>
        <w:contextualSpacing/>
        <w:rPr>
          <w:rFonts w:ascii="Bookman Old Style" w:hAnsi="Bookman Old Style" w:cs="Arial"/>
          <w:i/>
          <w:iCs/>
          <w:sz w:val="20"/>
          <w:lang w:val="es-ES"/>
        </w:rPr>
      </w:pPr>
    </w:p>
    <w:p w14:paraId="71E3AB51" w14:textId="15CD7139" w:rsidR="009C4C92" w:rsidRPr="009C4C92" w:rsidRDefault="009C4C92" w:rsidP="00685A18">
      <w:pPr>
        <w:pStyle w:val="Textoindependiente21"/>
        <w:ind w:left="567"/>
        <w:contextualSpacing/>
        <w:rPr>
          <w:rFonts w:ascii="Bookman Old Style" w:hAnsi="Bookman Old Style" w:cs="Arial"/>
          <w:sz w:val="20"/>
          <w:lang w:val="es-ES"/>
        </w:rPr>
      </w:pPr>
      <w:r w:rsidRPr="009C4C92">
        <w:rPr>
          <w:rFonts w:ascii="Bookman Old Style" w:hAnsi="Bookman Old Style" w:cs="Arial"/>
          <w:i/>
          <w:iCs/>
          <w:sz w:val="20"/>
          <w:lang w:val="es-ES"/>
        </w:rPr>
        <w:t>Parágrafo 2. La enajenación, de las obras de infraestructura construidas por un suscriptor o usuario dentro de un Sistema de Distribución se determinará de común acuerdo entre las partes y en ningún caso podrá ser a título gratuito. (…)”</w:t>
      </w:r>
      <w:r>
        <w:rPr>
          <w:rFonts w:ascii="Bookman Old Style" w:hAnsi="Bookman Old Style" w:cs="Arial"/>
          <w:i/>
          <w:iCs/>
          <w:sz w:val="20"/>
          <w:lang w:val="es-ES"/>
        </w:rPr>
        <w:t xml:space="preserve"> </w:t>
      </w:r>
      <w:r>
        <w:rPr>
          <w:rFonts w:ascii="Bookman Old Style" w:hAnsi="Bookman Old Style" w:cs="Arial"/>
          <w:sz w:val="20"/>
          <w:lang w:val="es-ES"/>
        </w:rPr>
        <w:t>Resaltado y subrayado fuera de texto</w:t>
      </w:r>
    </w:p>
    <w:p w14:paraId="2AF87E23" w14:textId="77777777" w:rsidR="009C4C92" w:rsidRPr="009C4C92" w:rsidRDefault="009C4C92" w:rsidP="00B264DC">
      <w:pPr>
        <w:ind w:left="284"/>
        <w:contextualSpacing/>
        <w:jc w:val="both"/>
        <w:rPr>
          <w:rFonts w:ascii="Bookman Old Style" w:hAnsi="Bookman Old Style" w:cs="Arial"/>
          <w:lang w:val="es-CO"/>
        </w:rPr>
      </w:pPr>
    </w:p>
    <w:p w14:paraId="54D8BA15" w14:textId="7F11AEB2" w:rsidR="009C4C92" w:rsidRDefault="00CA0112" w:rsidP="00B264DC">
      <w:pPr>
        <w:ind w:left="284"/>
        <w:contextualSpacing/>
        <w:jc w:val="both"/>
        <w:rPr>
          <w:rFonts w:ascii="Bookman Old Style" w:hAnsi="Bookman Old Style" w:cs="Arial"/>
          <w:lang w:val="es-CO"/>
        </w:rPr>
      </w:pPr>
      <w:r>
        <w:rPr>
          <w:rFonts w:ascii="Bookman Old Style" w:hAnsi="Bookman Old Style" w:cs="Arial"/>
          <w:lang w:val="es-CO"/>
        </w:rPr>
        <w:t xml:space="preserve">De esta manera, la regulación ya tiene previsto el mecanismo para la remuneración de las </w:t>
      </w:r>
      <w:r w:rsidR="0099342D">
        <w:rPr>
          <w:rFonts w:ascii="Bookman Old Style" w:hAnsi="Bookman Old Style" w:cs="Arial"/>
          <w:lang w:val="es-CO"/>
        </w:rPr>
        <w:t>obras de conexión a las que hace referencia DUE</w:t>
      </w:r>
      <w:r w:rsidR="00685A18">
        <w:rPr>
          <w:rFonts w:ascii="Bookman Old Style" w:hAnsi="Bookman Old Style" w:cs="Arial"/>
          <w:lang w:val="es-CO"/>
        </w:rPr>
        <w:t>,</w:t>
      </w:r>
      <w:r w:rsidR="0099342D">
        <w:rPr>
          <w:rFonts w:ascii="Bookman Old Style" w:hAnsi="Bookman Old Style" w:cs="Arial"/>
          <w:lang w:val="es-CO"/>
        </w:rPr>
        <w:t xml:space="preserve"> y adicionalmente a las obras que GENSA indica como necesarias en la Subestación Mitú, toda vez que la remuneración de estos activos estaría recogida en el cargo de distribución del respectivo nivel de tensión.</w:t>
      </w:r>
    </w:p>
    <w:p w14:paraId="393E0C7C" w14:textId="77777777" w:rsidR="009C4C92" w:rsidRPr="009C4C92" w:rsidRDefault="009C4C92" w:rsidP="00B264DC">
      <w:pPr>
        <w:ind w:left="284"/>
        <w:contextualSpacing/>
        <w:jc w:val="both"/>
        <w:rPr>
          <w:rFonts w:ascii="Bookman Old Style" w:hAnsi="Bookman Old Style" w:cs="Arial"/>
          <w:lang w:val="es-CO"/>
        </w:rPr>
      </w:pPr>
    </w:p>
    <w:p w14:paraId="52CE7111" w14:textId="6467DF58" w:rsidR="00997270" w:rsidRDefault="00C02647" w:rsidP="00997270">
      <w:pPr>
        <w:ind w:left="284"/>
        <w:contextualSpacing/>
        <w:jc w:val="both"/>
        <w:rPr>
          <w:rFonts w:ascii="Bookman Old Style" w:hAnsi="Bookman Old Style" w:cs="Arial"/>
        </w:rPr>
      </w:pPr>
      <w:r>
        <w:rPr>
          <w:rFonts w:ascii="Bookman Old Style" w:hAnsi="Bookman Old Style" w:cs="Arial"/>
        </w:rPr>
        <w:t>Ahora, c</w:t>
      </w:r>
      <w:r w:rsidR="00E43A00">
        <w:rPr>
          <w:rFonts w:ascii="Bookman Old Style" w:hAnsi="Bookman Old Style" w:cs="Arial"/>
        </w:rPr>
        <w:t>omo parte d</w:t>
      </w:r>
      <w:r w:rsidR="00650123">
        <w:rPr>
          <w:rFonts w:ascii="Bookman Old Style" w:hAnsi="Bookman Old Style" w:cs="Arial"/>
        </w:rPr>
        <w:t xml:space="preserve">el análisis </w:t>
      </w:r>
      <w:r w:rsidR="00997270">
        <w:rPr>
          <w:rFonts w:ascii="Bookman Old Style" w:hAnsi="Bookman Old Style" w:cs="Arial"/>
        </w:rPr>
        <w:t>del sistema energético de Mitú</w:t>
      </w:r>
      <w:r w:rsidR="00444C86">
        <w:rPr>
          <w:rFonts w:ascii="Bookman Old Style" w:hAnsi="Bookman Old Style" w:cs="Arial"/>
        </w:rPr>
        <w:t xml:space="preserve">, se identificó </w:t>
      </w:r>
      <w:r w:rsidR="00997270">
        <w:rPr>
          <w:rFonts w:ascii="Bookman Old Style" w:hAnsi="Bookman Old Style" w:cs="Arial"/>
        </w:rPr>
        <w:t>que el mismo cuenta con NT3</w:t>
      </w:r>
      <w:r w:rsidR="004B6C37">
        <w:rPr>
          <w:rFonts w:ascii="Bookman Old Style" w:hAnsi="Bookman Old Style" w:cs="Arial"/>
        </w:rPr>
        <w:t>. Sobre esta situación, e</w:t>
      </w:r>
      <w:r w:rsidR="00997270">
        <w:rPr>
          <w:rFonts w:ascii="Bookman Old Style" w:hAnsi="Bookman Old Style" w:cs="Arial"/>
        </w:rPr>
        <w:t>n Resolución CREG 091 de 2007, modificada mediante Resolución CREG 057 de 2009, se definieron los cargos máximos de distribución aplicables para NT1 y NT2. En relación con los cargos máximos para niveles de tensión superior</w:t>
      </w:r>
      <w:r w:rsidR="00685A18">
        <w:rPr>
          <w:rFonts w:ascii="Bookman Old Style" w:hAnsi="Bookman Old Style" w:cs="Arial"/>
        </w:rPr>
        <w:t>,</w:t>
      </w:r>
      <w:r w:rsidR="00997270">
        <w:rPr>
          <w:rFonts w:ascii="Bookman Old Style" w:hAnsi="Bookman Old Style" w:cs="Arial"/>
        </w:rPr>
        <w:t xml:space="preserve"> </w:t>
      </w:r>
      <w:r>
        <w:rPr>
          <w:rFonts w:ascii="Bookman Old Style" w:hAnsi="Bookman Old Style" w:cs="Arial"/>
        </w:rPr>
        <w:t xml:space="preserve">la CREG </w:t>
      </w:r>
      <w:r w:rsidR="00997270">
        <w:rPr>
          <w:rFonts w:ascii="Bookman Old Style" w:hAnsi="Bookman Old Style" w:cs="Arial"/>
        </w:rPr>
        <w:t>dejó previsto:</w:t>
      </w:r>
    </w:p>
    <w:p w14:paraId="54D4745D" w14:textId="77777777" w:rsidR="00997270" w:rsidRPr="0086458B" w:rsidRDefault="00997270" w:rsidP="00997270">
      <w:pPr>
        <w:pStyle w:val="Textoindependiente21"/>
        <w:ind w:left="284"/>
        <w:contextualSpacing/>
        <w:rPr>
          <w:rFonts w:ascii="Bookman Old Style" w:hAnsi="Bookman Old Style" w:cs="Arial"/>
          <w:sz w:val="24"/>
          <w:szCs w:val="24"/>
          <w:lang w:val="es-ES"/>
        </w:rPr>
      </w:pPr>
    </w:p>
    <w:p w14:paraId="7580EFCB" w14:textId="77777777" w:rsidR="00997270" w:rsidRPr="00023485" w:rsidRDefault="00997270" w:rsidP="00685A18">
      <w:pPr>
        <w:pStyle w:val="Textoindependiente21"/>
        <w:ind w:left="567"/>
        <w:contextualSpacing/>
        <w:rPr>
          <w:rFonts w:ascii="Bookman Old Style" w:hAnsi="Bookman Old Style" w:cs="Arial"/>
          <w:i/>
          <w:sz w:val="20"/>
          <w:lang w:val="es-ES"/>
        </w:rPr>
      </w:pPr>
      <w:r w:rsidRPr="00023485">
        <w:rPr>
          <w:rFonts w:ascii="Bookman Old Style" w:hAnsi="Bookman Old Style" w:cs="Arial"/>
          <w:i/>
          <w:sz w:val="20"/>
          <w:lang w:val="es-ES"/>
        </w:rPr>
        <w:t>“(…) Artículo 29.</w:t>
      </w:r>
      <w:r>
        <w:rPr>
          <w:rFonts w:ascii="Bookman Old Style" w:hAnsi="Bookman Old Style" w:cs="Arial"/>
          <w:i/>
          <w:sz w:val="20"/>
          <w:lang w:val="es-ES"/>
        </w:rPr>
        <w:t xml:space="preserve"> </w:t>
      </w:r>
      <w:r w:rsidRPr="00023485">
        <w:rPr>
          <w:rFonts w:ascii="Bookman Old Style" w:hAnsi="Bookman Old Style" w:cs="Arial"/>
          <w:i/>
          <w:sz w:val="20"/>
          <w:lang w:val="es-ES"/>
        </w:rPr>
        <w:t>Remuneración de la Actividad de Distribución de Energía Eléctrica. La actividad de Distribución de Energía Eléctrica se remunerará utilizando los siguientes Cargos Máximos para los niveles de tensión 1 y 2 ($ de diciembre de 2006): (…)</w:t>
      </w:r>
    </w:p>
    <w:p w14:paraId="6E7C410B" w14:textId="77777777" w:rsidR="00997270" w:rsidRPr="00023485" w:rsidRDefault="00997270" w:rsidP="00685A18">
      <w:pPr>
        <w:pStyle w:val="Textoindependiente21"/>
        <w:ind w:left="567"/>
        <w:contextualSpacing/>
        <w:rPr>
          <w:rFonts w:ascii="Bookman Old Style" w:hAnsi="Bookman Old Style" w:cs="Arial"/>
          <w:i/>
          <w:iCs/>
          <w:sz w:val="20"/>
          <w:lang w:val="es-ES"/>
        </w:rPr>
      </w:pPr>
    </w:p>
    <w:p w14:paraId="2FD83E68" w14:textId="77777777" w:rsidR="00997270" w:rsidRPr="00023485" w:rsidRDefault="00997270" w:rsidP="00685A18">
      <w:pPr>
        <w:pStyle w:val="Textoindependiente21"/>
        <w:ind w:left="567"/>
        <w:contextualSpacing/>
        <w:rPr>
          <w:rFonts w:ascii="Bookman Old Style" w:hAnsi="Bookman Old Style" w:cs="Arial"/>
          <w:i/>
          <w:sz w:val="20"/>
          <w:lang w:val="es-ES"/>
        </w:rPr>
      </w:pPr>
      <w:r w:rsidRPr="00023485">
        <w:rPr>
          <w:rFonts w:ascii="Bookman Old Style" w:hAnsi="Bookman Old Style" w:cs="Arial"/>
          <w:i/>
          <w:sz w:val="20"/>
          <w:lang w:val="es-ES"/>
        </w:rPr>
        <w:t xml:space="preserve">Parágrafo 1. </w:t>
      </w:r>
      <w:r w:rsidRPr="000E1224">
        <w:rPr>
          <w:rFonts w:ascii="Bookman Old Style" w:hAnsi="Bookman Old Style" w:cs="Arial"/>
          <w:b/>
          <w:bCs/>
          <w:i/>
          <w:sz w:val="20"/>
          <w:u w:val="single"/>
          <w:lang w:val="es-ES"/>
        </w:rPr>
        <w:t>En caso de requerirse Sistemas de Distribución con niveles de voltaje superiores</w:t>
      </w:r>
      <w:r w:rsidRPr="00023485">
        <w:rPr>
          <w:rFonts w:ascii="Bookman Old Style" w:hAnsi="Bookman Old Style" w:cs="Arial"/>
          <w:i/>
          <w:sz w:val="20"/>
          <w:lang w:val="es-ES"/>
        </w:rPr>
        <w:t xml:space="preserve"> a los establecidos en el presente artículo, </w:t>
      </w:r>
      <w:r w:rsidRPr="000E1224">
        <w:rPr>
          <w:rFonts w:ascii="Bookman Old Style" w:hAnsi="Bookman Old Style" w:cs="Arial"/>
          <w:b/>
          <w:bCs/>
          <w:i/>
          <w:sz w:val="20"/>
          <w:u w:val="single"/>
          <w:lang w:val="es-ES"/>
        </w:rPr>
        <w:t>la Comisión establecerá los cargos máximos correspondientes en Resolución particular</w:t>
      </w:r>
      <w:r w:rsidRPr="00023485">
        <w:rPr>
          <w:rFonts w:ascii="Bookman Old Style" w:hAnsi="Bookman Old Style" w:cs="Arial"/>
          <w:i/>
          <w:sz w:val="20"/>
          <w:lang w:val="es-ES"/>
        </w:rPr>
        <w:t>. (…)”</w:t>
      </w:r>
    </w:p>
    <w:p w14:paraId="15DED58E" w14:textId="77777777" w:rsidR="00997270" w:rsidRPr="0086458B" w:rsidRDefault="00997270" w:rsidP="00997270">
      <w:pPr>
        <w:pStyle w:val="Textoindependiente21"/>
        <w:ind w:left="284"/>
        <w:contextualSpacing/>
        <w:rPr>
          <w:rFonts w:ascii="Bookman Old Style" w:hAnsi="Bookman Old Style" w:cs="Arial"/>
          <w:sz w:val="24"/>
          <w:szCs w:val="24"/>
          <w:lang w:val="es-ES"/>
        </w:rPr>
      </w:pPr>
    </w:p>
    <w:p w14:paraId="20B35DCA" w14:textId="48AA0D57" w:rsidR="00997270" w:rsidRPr="0086458B" w:rsidRDefault="00997270" w:rsidP="00997270">
      <w:pPr>
        <w:pStyle w:val="Textoindependiente21"/>
        <w:ind w:left="284"/>
        <w:contextualSpacing/>
        <w:rPr>
          <w:rFonts w:ascii="Bookman Old Style" w:hAnsi="Bookman Old Style" w:cs="Arial"/>
          <w:sz w:val="24"/>
          <w:szCs w:val="24"/>
          <w:lang w:val="es-ES"/>
        </w:rPr>
      </w:pPr>
      <w:r>
        <w:rPr>
          <w:rFonts w:ascii="Bookman Old Style" w:hAnsi="Bookman Old Style" w:cs="Arial"/>
          <w:sz w:val="24"/>
          <w:szCs w:val="24"/>
          <w:lang w:val="es-ES"/>
        </w:rPr>
        <w:t xml:space="preserve">Para el caso particular del mercado relevante de comercialización de Mitú, hasta </w:t>
      </w:r>
      <w:r w:rsidRPr="0086458B">
        <w:rPr>
          <w:rFonts w:ascii="Bookman Old Style" w:hAnsi="Bookman Old Style" w:cs="Arial"/>
          <w:sz w:val="24"/>
          <w:szCs w:val="24"/>
          <w:lang w:val="es-ES"/>
        </w:rPr>
        <w:t xml:space="preserve">la fecha </w:t>
      </w:r>
      <w:r>
        <w:rPr>
          <w:rFonts w:ascii="Bookman Old Style" w:hAnsi="Bookman Old Style" w:cs="Arial"/>
          <w:sz w:val="24"/>
          <w:szCs w:val="24"/>
          <w:lang w:val="es-ES"/>
        </w:rPr>
        <w:t xml:space="preserve">de la presente resolución, </w:t>
      </w:r>
      <w:r w:rsidRPr="0086458B">
        <w:rPr>
          <w:rFonts w:ascii="Bookman Old Style" w:hAnsi="Bookman Old Style" w:cs="Arial"/>
          <w:sz w:val="24"/>
          <w:szCs w:val="24"/>
          <w:lang w:val="es-ES"/>
        </w:rPr>
        <w:t>la CREG no ha</w:t>
      </w:r>
      <w:r>
        <w:rPr>
          <w:rFonts w:ascii="Bookman Old Style" w:hAnsi="Bookman Old Style" w:cs="Arial"/>
          <w:sz w:val="24"/>
          <w:szCs w:val="24"/>
          <w:lang w:val="es-ES"/>
        </w:rPr>
        <w:t>bía</w:t>
      </w:r>
      <w:r w:rsidRPr="0086458B">
        <w:rPr>
          <w:rFonts w:ascii="Bookman Old Style" w:hAnsi="Bookman Old Style" w:cs="Arial"/>
          <w:sz w:val="24"/>
          <w:szCs w:val="24"/>
          <w:lang w:val="es-ES"/>
        </w:rPr>
        <w:t xml:space="preserve"> recibido solicitud para definir </w:t>
      </w:r>
      <w:r>
        <w:rPr>
          <w:rFonts w:ascii="Bookman Old Style" w:hAnsi="Bookman Old Style" w:cs="Arial"/>
          <w:sz w:val="24"/>
          <w:szCs w:val="24"/>
          <w:lang w:val="es-ES"/>
        </w:rPr>
        <w:t xml:space="preserve">un </w:t>
      </w:r>
      <w:r w:rsidRPr="0086458B">
        <w:rPr>
          <w:rFonts w:ascii="Bookman Old Style" w:hAnsi="Bookman Old Style" w:cs="Arial"/>
          <w:sz w:val="24"/>
          <w:szCs w:val="24"/>
          <w:lang w:val="es-ES"/>
        </w:rPr>
        <w:t xml:space="preserve">cargo </w:t>
      </w:r>
      <w:r>
        <w:rPr>
          <w:rFonts w:ascii="Bookman Old Style" w:hAnsi="Bookman Old Style" w:cs="Arial"/>
          <w:sz w:val="24"/>
          <w:szCs w:val="24"/>
          <w:lang w:val="es-ES"/>
        </w:rPr>
        <w:t xml:space="preserve">máximo </w:t>
      </w:r>
      <w:r w:rsidRPr="0086458B">
        <w:rPr>
          <w:rFonts w:ascii="Bookman Old Style" w:hAnsi="Bookman Old Style" w:cs="Arial"/>
          <w:sz w:val="24"/>
          <w:szCs w:val="24"/>
          <w:lang w:val="es-ES"/>
        </w:rPr>
        <w:t xml:space="preserve">de distribución de </w:t>
      </w:r>
      <w:r>
        <w:rPr>
          <w:rFonts w:ascii="Bookman Old Style" w:hAnsi="Bookman Old Style" w:cs="Arial"/>
          <w:sz w:val="24"/>
          <w:szCs w:val="24"/>
          <w:lang w:val="es-ES"/>
        </w:rPr>
        <w:t>NT3</w:t>
      </w:r>
      <w:r w:rsidRPr="0086458B">
        <w:rPr>
          <w:rFonts w:ascii="Bookman Old Style" w:hAnsi="Bookman Old Style" w:cs="Arial"/>
          <w:sz w:val="24"/>
          <w:szCs w:val="24"/>
          <w:lang w:val="es-ES"/>
        </w:rPr>
        <w:t xml:space="preserve">. </w:t>
      </w:r>
      <w:r>
        <w:rPr>
          <w:rFonts w:ascii="Bookman Old Style" w:hAnsi="Bookman Old Style" w:cs="Arial"/>
          <w:sz w:val="24"/>
          <w:szCs w:val="24"/>
          <w:lang w:val="es-ES"/>
        </w:rPr>
        <w:t>Sin perjuicio de lo anterior</w:t>
      </w:r>
      <w:r w:rsidR="00685A18">
        <w:rPr>
          <w:rFonts w:ascii="Bookman Old Style" w:hAnsi="Bookman Old Style" w:cs="Arial"/>
          <w:sz w:val="24"/>
          <w:szCs w:val="24"/>
          <w:lang w:val="es-ES"/>
        </w:rPr>
        <w:t>,</w:t>
      </w:r>
      <w:r>
        <w:rPr>
          <w:rFonts w:ascii="Bookman Old Style" w:hAnsi="Bookman Old Style" w:cs="Arial"/>
          <w:sz w:val="24"/>
          <w:szCs w:val="24"/>
          <w:lang w:val="es-ES"/>
        </w:rPr>
        <w:t xml:space="preserve"> y habiéndose identificado la situación en Mitú, </w:t>
      </w:r>
      <w:r w:rsidRPr="0086458B">
        <w:rPr>
          <w:rFonts w:ascii="Bookman Old Style" w:hAnsi="Bookman Old Style" w:cs="Arial"/>
          <w:sz w:val="24"/>
          <w:szCs w:val="24"/>
          <w:lang w:val="es-ES"/>
        </w:rPr>
        <w:t>en resolución aparte</w:t>
      </w:r>
      <w:r>
        <w:rPr>
          <w:rFonts w:ascii="Bookman Old Style" w:hAnsi="Bookman Old Style" w:cs="Arial"/>
          <w:sz w:val="24"/>
          <w:szCs w:val="24"/>
          <w:lang w:val="es-ES"/>
        </w:rPr>
        <w:t xml:space="preserve"> la CREG </w:t>
      </w:r>
      <w:r w:rsidRPr="0086458B">
        <w:rPr>
          <w:rFonts w:ascii="Bookman Old Style" w:hAnsi="Bookman Old Style" w:cs="Arial"/>
          <w:sz w:val="24"/>
          <w:szCs w:val="24"/>
          <w:lang w:val="es-ES"/>
        </w:rPr>
        <w:t>adelantará la respectiva actuación.</w:t>
      </w:r>
    </w:p>
    <w:p w14:paraId="18F7311E" w14:textId="77777777" w:rsidR="00E83B2B" w:rsidRDefault="00E83B2B" w:rsidP="00E83B2B">
      <w:pPr>
        <w:ind w:left="284"/>
        <w:contextualSpacing/>
        <w:jc w:val="both"/>
        <w:rPr>
          <w:rFonts w:ascii="Bookman Old Style" w:hAnsi="Bookman Old Style" w:cs="Arial"/>
        </w:rPr>
      </w:pPr>
    </w:p>
    <w:p w14:paraId="55032529" w14:textId="554026D1" w:rsidR="0031509F" w:rsidRDefault="00FF5888" w:rsidP="00B264DC">
      <w:pPr>
        <w:ind w:left="284"/>
        <w:contextualSpacing/>
        <w:jc w:val="both"/>
        <w:rPr>
          <w:rFonts w:ascii="Bookman Old Style" w:hAnsi="Bookman Old Style" w:cs="Arial"/>
        </w:rPr>
      </w:pPr>
      <w:r>
        <w:rPr>
          <w:rFonts w:ascii="Bookman Old Style" w:hAnsi="Bookman Old Style" w:cs="Arial"/>
        </w:rPr>
        <w:t>Finalmente, sobre la solicitud subsidiaria presentada por DUE</w:t>
      </w:r>
      <w:r w:rsidR="00291B8A">
        <w:rPr>
          <w:rFonts w:ascii="Bookman Old Style" w:hAnsi="Bookman Old Style" w:cs="Arial"/>
        </w:rPr>
        <w:t>,</w:t>
      </w:r>
      <w:r>
        <w:rPr>
          <w:rFonts w:ascii="Bookman Old Style" w:hAnsi="Bookman Old Style" w:cs="Arial"/>
        </w:rPr>
        <w:t xml:space="preserve"> al no contarse dentro del estudio de conexión presentado para análisis de GENSA </w:t>
      </w:r>
      <w:r w:rsidR="009E209A">
        <w:rPr>
          <w:rFonts w:ascii="Bookman Old Style" w:hAnsi="Bookman Old Style" w:cs="Arial"/>
        </w:rPr>
        <w:t xml:space="preserve">el escenario en que </w:t>
      </w:r>
      <w:r w:rsidR="008D5917">
        <w:rPr>
          <w:rFonts w:ascii="Bookman Old Style" w:hAnsi="Bookman Old Style" w:cs="Arial"/>
        </w:rPr>
        <w:t xml:space="preserve">la </w:t>
      </w:r>
      <w:r w:rsidR="00C62AE3" w:rsidRPr="00C62AE3">
        <w:rPr>
          <w:rFonts w:ascii="Bookman Old Style" w:hAnsi="Bookman Old Style" w:cs="Arial"/>
        </w:rPr>
        <w:t xml:space="preserve">conexión </w:t>
      </w:r>
      <w:r w:rsidR="008D5917">
        <w:rPr>
          <w:rFonts w:ascii="Bookman Old Style" w:hAnsi="Bookman Old Style" w:cs="Arial"/>
        </w:rPr>
        <w:t xml:space="preserve">se efectuara en </w:t>
      </w:r>
      <w:r w:rsidR="00A77D95" w:rsidRPr="00A77D95">
        <w:rPr>
          <w:rFonts w:ascii="Bookman Old Style" w:hAnsi="Bookman Old Style" w:cs="Arial"/>
          <w:i/>
          <w:iCs/>
        </w:rPr>
        <w:t>“</w:t>
      </w:r>
      <w:r w:rsidR="00C62AE3" w:rsidRPr="00A77D95">
        <w:rPr>
          <w:rFonts w:ascii="Bookman Old Style" w:hAnsi="Bookman Old Style" w:cs="Arial"/>
          <w:i/>
          <w:iCs/>
        </w:rPr>
        <w:t>la barra de conexión de la central diésel con la red de distribución de 13.2kV</w:t>
      </w:r>
      <w:r w:rsidR="00A77D95" w:rsidRPr="00A77D95">
        <w:rPr>
          <w:rFonts w:ascii="Bookman Old Style" w:hAnsi="Bookman Old Style" w:cs="Arial"/>
          <w:i/>
          <w:iCs/>
        </w:rPr>
        <w:t>”</w:t>
      </w:r>
      <w:r w:rsidR="00B20981">
        <w:rPr>
          <w:rFonts w:ascii="Bookman Old Style" w:hAnsi="Bookman Old Style" w:cs="Arial"/>
        </w:rPr>
        <w:t xml:space="preserve">, </w:t>
      </w:r>
      <w:r w:rsidR="006D39CB">
        <w:rPr>
          <w:rFonts w:ascii="Bookman Old Style" w:hAnsi="Bookman Old Style" w:cs="Arial"/>
        </w:rPr>
        <w:t xml:space="preserve">no </w:t>
      </w:r>
      <w:r w:rsidR="00B20981">
        <w:rPr>
          <w:rFonts w:ascii="Bookman Old Style" w:hAnsi="Bookman Old Style" w:cs="Arial"/>
        </w:rPr>
        <w:t xml:space="preserve">se </w:t>
      </w:r>
      <w:r w:rsidR="001B6269">
        <w:rPr>
          <w:rFonts w:ascii="Bookman Old Style" w:hAnsi="Bookman Old Style" w:cs="Arial"/>
        </w:rPr>
        <w:t xml:space="preserve">cuenta con un pronunciamiento </w:t>
      </w:r>
      <w:r w:rsidR="004C5A18" w:rsidRPr="004C5A18">
        <w:rPr>
          <w:rFonts w:ascii="Bookman Old Style" w:hAnsi="Bookman Old Style" w:cs="Arial"/>
        </w:rPr>
        <w:t xml:space="preserve">sobre la factibilidad técnica de </w:t>
      </w:r>
      <w:r w:rsidR="00476FFC">
        <w:rPr>
          <w:rFonts w:ascii="Bookman Old Style" w:hAnsi="Bookman Old Style" w:cs="Arial"/>
        </w:rPr>
        <w:t>este caso</w:t>
      </w:r>
      <w:r w:rsidR="006D39CB">
        <w:rPr>
          <w:rFonts w:ascii="Bookman Old Style" w:hAnsi="Bookman Old Style" w:cs="Arial"/>
        </w:rPr>
        <w:t>. No obstante, la respuesta</w:t>
      </w:r>
      <w:r w:rsidR="008E165E">
        <w:rPr>
          <w:rFonts w:ascii="Bookman Old Style" w:hAnsi="Bookman Old Style" w:cs="Arial"/>
        </w:rPr>
        <w:t xml:space="preserve"> de GENSA, en los términos indicados anteriormente, sobre la solicitud principal es favorable.</w:t>
      </w:r>
    </w:p>
    <w:p w14:paraId="51591B9C" w14:textId="653D9B8C" w:rsidR="004850D3" w:rsidRPr="0086458B" w:rsidRDefault="004850D3" w:rsidP="00B264DC">
      <w:pPr>
        <w:pStyle w:val="Textoindependiente21"/>
        <w:ind w:left="284"/>
        <w:contextualSpacing/>
        <w:rPr>
          <w:rFonts w:ascii="Bookman Old Style" w:hAnsi="Bookman Old Style"/>
          <w:szCs w:val="22"/>
          <w:lang w:val="es-ES"/>
        </w:rPr>
      </w:pPr>
    </w:p>
    <w:p w14:paraId="577A1F08" w14:textId="61C984D5" w:rsidR="008B6CE5" w:rsidRPr="0086458B" w:rsidRDefault="00A6610A" w:rsidP="00B264DC">
      <w:pPr>
        <w:pStyle w:val="Textoindependiente21"/>
        <w:ind w:left="284"/>
        <w:contextualSpacing/>
        <w:rPr>
          <w:rFonts w:ascii="Bookman Old Style" w:hAnsi="Bookman Old Style" w:cs="Arial"/>
          <w:sz w:val="24"/>
          <w:szCs w:val="24"/>
          <w:lang w:val="es-ES"/>
        </w:rPr>
      </w:pPr>
      <w:r w:rsidRPr="0086458B">
        <w:rPr>
          <w:rFonts w:ascii="Bookman Old Style" w:hAnsi="Bookman Old Style" w:cs="Arial"/>
          <w:sz w:val="24"/>
          <w:szCs w:val="24"/>
          <w:lang w:val="es-ES"/>
        </w:rPr>
        <w:t xml:space="preserve">El documento CREG </w:t>
      </w:r>
      <w:r w:rsidR="00225865">
        <w:rPr>
          <w:rFonts w:ascii="Bookman Old Style" w:hAnsi="Bookman Old Style" w:cs="Arial"/>
          <w:sz w:val="24"/>
          <w:szCs w:val="24"/>
          <w:lang w:val="es-ES"/>
        </w:rPr>
        <w:t>501 004</w:t>
      </w:r>
      <w:r w:rsidRPr="0086458B">
        <w:rPr>
          <w:rFonts w:ascii="Bookman Old Style" w:hAnsi="Bookman Old Style" w:cs="Arial"/>
          <w:sz w:val="24"/>
          <w:szCs w:val="24"/>
          <w:lang w:val="es-ES"/>
        </w:rPr>
        <w:t xml:space="preserve"> de 202</w:t>
      </w:r>
      <w:r w:rsidR="00132633" w:rsidRPr="0086458B">
        <w:rPr>
          <w:rFonts w:ascii="Bookman Old Style" w:hAnsi="Bookman Old Style" w:cs="Arial"/>
          <w:sz w:val="24"/>
          <w:szCs w:val="24"/>
          <w:lang w:val="es-ES"/>
        </w:rPr>
        <w:t>2</w:t>
      </w:r>
      <w:r w:rsidRPr="0086458B">
        <w:rPr>
          <w:rFonts w:ascii="Bookman Old Style" w:hAnsi="Bookman Old Style" w:cs="Arial"/>
          <w:sz w:val="24"/>
          <w:szCs w:val="24"/>
          <w:lang w:val="es-ES"/>
        </w:rPr>
        <w:t xml:space="preserve">, soporte de la presente resolución, detalla el análisis realizado para resolver la solicitud de </w:t>
      </w:r>
      <w:r w:rsidR="00406D07">
        <w:rPr>
          <w:rFonts w:ascii="Bookman Old Style" w:hAnsi="Bookman Old Style" w:cs="Arial"/>
          <w:sz w:val="24"/>
          <w:szCs w:val="24"/>
          <w:lang w:val="es-ES"/>
        </w:rPr>
        <w:t>DUE</w:t>
      </w:r>
      <w:r w:rsidRPr="0086458B">
        <w:rPr>
          <w:rFonts w:ascii="Bookman Old Style" w:hAnsi="Bookman Old Style" w:cs="Arial"/>
          <w:sz w:val="24"/>
          <w:szCs w:val="24"/>
          <w:lang w:val="es-ES"/>
        </w:rPr>
        <w:t>.</w:t>
      </w:r>
    </w:p>
    <w:p w14:paraId="22C428D9" w14:textId="6B6E4717" w:rsidR="008B6CE5" w:rsidRPr="0086458B" w:rsidRDefault="008B6CE5" w:rsidP="00B264DC">
      <w:pPr>
        <w:pStyle w:val="Textoindependiente21"/>
        <w:ind w:left="284"/>
        <w:contextualSpacing/>
        <w:rPr>
          <w:rFonts w:ascii="Bookman Old Style" w:hAnsi="Bookman Old Style" w:cs="Arial"/>
          <w:sz w:val="24"/>
          <w:szCs w:val="24"/>
          <w:lang w:val="es-ES"/>
        </w:rPr>
      </w:pPr>
    </w:p>
    <w:p w14:paraId="284155B9" w14:textId="549E337B" w:rsidR="008B6CE5" w:rsidRPr="0086458B" w:rsidRDefault="00FB483F" w:rsidP="00B264DC">
      <w:pPr>
        <w:pStyle w:val="Textoindependiente21"/>
        <w:ind w:left="284"/>
        <w:contextualSpacing/>
        <w:rPr>
          <w:rFonts w:ascii="Bookman Old Style" w:hAnsi="Bookman Old Style" w:cs="Arial"/>
          <w:sz w:val="24"/>
          <w:szCs w:val="24"/>
          <w:lang w:val="es-ES"/>
        </w:rPr>
      </w:pPr>
      <w:r w:rsidRPr="0086458B">
        <w:rPr>
          <w:rFonts w:ascii="Bookman Old Style" w:hAnsi="Bookman Old Style" w:cs="Arial"/>
          <w:sz w:val="24"/>
          <w:szCs w:val="24"/>
          <w:lang w:val="es-ES"/>
        </w:rPr>
        <w:t>E</w:t>
      </w:r>
      <w:r w:rsidR="00CF403A" w:rsidRPr="0086458B">
        <w:rPr>
          <w:rFonts w:ascii="Bookman Old Style" w:hAnsi="Bookman Old Style" w:cs="Arial"/>
          <w:sz w:val="24"/>
          <w:szCs w:val="24"/>
          <w:lang w:val="es-ES"/>
        </w:rPr>
        <w:t>n s</w:t>
      </w:r>
      <w:r w:rsidR="008B6CE5" w:rsidRPr="0086458B">
        <w:rPr>
          <w:rFonts w:ascii="Bookman Old Style" w:hAnsi="Bookman Old Style" w:cs="Arial"/>
          <w:sz w:val="24"/>
          <w:szCs w:val="24"/>
          <w:lang w:val="es-ES"/>
        </w:rPr>
        <w:t>esión No</w:t>
      </w:r>
      <w:r w:rsidR="005B5C99" w:rsidRPr="0086458B">
        <w:rPr>
          <w:rFonts w:ascii="Bookman Old Style" w:hAnsi="Bookman Old Style" w:cs="Arial"/>
          <w:sz w:val="24"/>
          <w:szCs w:val="24"/>
          <w:lang w:val="es-ES"/>
        </w:rPr>
        <w:t>.</w:t>
      </w:r>
      <w:r w:rsidR="00F0656E">
        <w:rPr>
          <w:rFonts w:ascii="Bookman Old Style" w:hAnsi="Bookman Old Style" w:cs="Arial"/>
          <w:sz w:val="24"/>
          <w:szCs w:val="24"/>
          <w:lang w:val="es-ES"/>
        </w:rPr>
        <w:t>1156</w:t>
      </w:r>
      <w:r w:rsidR="005B5C99" w:rsidRPr="0086458B">
        <w:rPr>
          <w:rFonts w:ascii="Bookman Old Style" w:hAnsi="Bookman Old Style" w:cs="Arial"/>
          <w:sz w:val="24"/>
          <w:szCs w:val="24"/>
          <w:lang w:val="es-ES"/>
        </w:rPr>
        <w:t xml:space="preserve"> </w:t>
      </w:r>
      <w:r w:rsidR="005B5C99" w:rsidRPr="0ECC7FE6">
        <w:rPr>
          <w:rFonts w:ascii="Bookman Old Style" w:hAnsi="Bookman Old Style" w:cs="Arial"/>
          <w:sz w:val="24"/>
          <w:szCs w:val="24"/>
          <w:lang w:val="es-ES"/>
        </w:rPr>
        <w:t xml:space="preserve">del </w:t>
      </w:r>
      <w:r w:rsidR="00F0656E">
        <w:rPr>
          <w:rFonts w:ascii="Bookman Old Style" w:hAnsi="Bookman Old Style" w:cs="Arial"/>
          <w:sz w:val="24"/>
          <w:szCs w:val="24"/>
          <w:lang w:val="es-ES"/>
        </w:rPr>
        <w:t>16</w:t>
      </w:r>
      <w:r w:rsidR="005B5C99" w:rsidRPr="0ECC7FE6">
        <w:rPr>
          <w:rFonts w:ascii="Bookman Old Style" w:hAnsi="Bookman Old Style" w:cs="Arial"/>
          <w:sz w:val="24"/>
          <w:szCs w:val="24"/>
          <w:lang w:val="es-ES"/>
        </w:rPr>
        <w:t xml:space="preserve"> </w:t>
      </w:r>
      <w:r w:rsidR="005B5C99" w:rsidRPr="0086458B">
        <w:rPr>
          <w:rFonts w:ascii="Bookman Old Style" w:hAnsi="Bookman Old Style" w:cs="Arial"/>
          <w:sz w:val="24"/>
          <w:szCs w:val="24"/>
          <w:lang w:val="es-ES"/>
        </w:rPr>
        <w:t xml:space="preserve">de </w:t>
      </w:r>
      <w:r w:rsidR="005B5C99" w:rsidRPr="0ECC7FE6">
        <w:rPr>
          <w:rFonts w:ascii="Bookman Old Style" w:hAnsi="Bookman Old Style" w:cs="Arial"/>
          <w:sz w:val="24"/>
          <w:szCs w:val="24"/>
          <w:lang w:val="es-ES"/>
        </w:rPr>
        <w:t>marzo</w:t>
      </w:r>
      <w:r w:rsidR="000360EB" w:rsidRPr="0086458B">
        <w:rPr>
          <w:rFonts w:ascii="Bookman Old Style" w:hAnsi="Bookman Old Style" w:cs="Arial"/>
          <w:sz w:val="24"/>
          <w:szCs w:val="24"/>
          <w:lang w:val="es-ES"/>
        </w:rPr>
        <w:t xml:space="preserve"> </w:t>
      </w:r>
      <w:r w:rsidR="00D238B3" w:rsidRPr="0086458B">
        <w:rPr>
          <w:rFonts w:ascii="Bookman Old Style" w:hAnsi="Bookman Old Style" w:cs="Arial"/>
          <w:sz w:val="24"/>
          <w:szCs w:val="24"/>
          <w:lang w:val="es-ES"/>
        </w:rPr>
        <w:t xml:space="preserve">de </w:t>
      </w:r>
      <w:r w:rsidR="00A6610A" w:rsidRPr="0ECC7FE6">
        <w:rPr>
          <w:rFonts w:ascii="Bookman Old Style" w:hAnsi="Bookman Old Style" w:cs="Arial"/>
          <w:sz w:val="24"/>
          <w:szCs w:val="24"/>
          <w:lang w:val="es-ES"/>
        </w:rPr>
        <w:t>202</w:t>
      </w:r>
      <w:r w:rsidR="007C22FB" w:rsidRPr="0ECC7FE6">
        <w:rPr>
          <w:rFonts w:ascii="Bookman Old Style" w:hAnsi="Bookman Old Style" w:cs="Arial"/>
          <w:sz w:val="24"/>
          <w:szCs w:val="24"/>
          <w:lang w:val="es-ES"/>
        </w:rPr>
        <w:t>2</w:t>
      </w:r>
      <w:r w:rsidR="008B6CE5" w:rsidRPr="0086458B">
        <w:rPr>
          <w:rFonts w:ascii="Bookman Old Style" w:hAnsi="Bookman Old Style" w:cs="Arial"/>
          <w:sz w:val="24"/>
          <w:szCs w:val="24"/>
          <w:lang w:val="es-ES"/>
        </w:rPr>
        <w:t>, la Comisión de Regulación de Energía y Gas analizó la presente actuación administrativa y</w:t>
      </w:r>
    </w:p>
    <w:p w14:paraId="6D825CAA" w14:textId="77777777" w:rsidR="008B6CE5" w:rsidRPr="0086458B" w:rsidRDefault="008B6CE5" w:rsidP="00B264DC">
      <w:pPr>
        <w:pStyle w:val="Textoindependiente21"/>
        <w:ind w:left="284" w:right="142"/>
        <w:contextualSpacing/>
        <w:rPr>
          <w:rFonts w:ascii="Bookman Old Style" w:hAnsi="Bookman Old Style" w:cs="Arial"/>
          <w:sz w:val="24"/>
          <w:szCs w:val="24"/>
          <w:lang w:val="es-ES"/>
        </w:rPr>
      </w:pPr>
    </w:p>
    <w:p w14:paraId="0C117890" w14:textId="48D69FEC" w:rsidR="00ED514A" w:rsidRPr="0086458B" w:rsidRDefault="008B6CE5" w:rsidP="00B264DC">
      <w:pPr>
        <w:pStyle w:val="Textoindependiente21"/>
        <w:ind w:left="284" w:right="142"/>
        <w:contextualSpacing/>
        <w:rPr>
          <w:rFonts w:ascii="Bookman Old Style" w:hAnsi="Bookman Old Style" w:cs="Arial"/>
          <w:sz w:val="24"/>
          <w:szCs w:val="24"/>
          <w:lang w:val="es-ES"/>
        </w:rPr>
      </w:pPr>
      <w:r w:rsidRPr="0086458B">
        <w:rPr>
          <w:rFonts w:ascii="Bookman Old Style" w:hAnsi="Bookman Old Style" w:cs="Arial"/>
          <w:sz w:val="24"/>
          <w:szCs w:val="24"/>
          <w:lang w:val="es-ES"/>
        </w:rPr>
        <w:t>Por lo anteriormente expuesto,</w:t>
      </w:r>
      <w:r w:rsidR="00B874CA" w:rsidRPr="0086458B">
        <w:rPr>
          <w:rFonts w:ascii="Bookman Old Style" w:hAnsi="Bookman Old Style" w:cs="Arial"/>
          <w:sz w:val="24"/>
          <w:szCs w:val="24"/>
          <w:lang w:val="es-ES"/>
        </w:rPr>
        <w:t xml:space="preserve"> se</w:t>
      </w:r>
    </w:p>
    <w:p w14:paraId="3ACD4503" w14:textId="77777777" w:rsidR="00406D07" w:rsidRDefault="00406D07" w:rsidP="00B264DC">
      <w:pPr>
        <w:pStyle w:val="Textoindependiente21"/>
        <w:ind w:left="284" w:right="142"/>
        <w:contextualSpacing/>
        <w:rPr>
          <w:rFonts w:ascii="Bookman Old Style" w:hAnsi="Bookman Old Style" w:cs="Arial"/>
          <w:sz w:val="24"/>
          <w:szCs w:val="24"/>
        </w:rPr>
      </w:pPr>
    </w:p>
    <w:p w14:paraId="18557D10" w14:textId="77777777" w:rsidR="00406D07" w:rsidRPr="0086458B" w:rsidRDefault="00406D07" w:rsidP="00B264DC">
      <w:pPr>
        <w:pStyle w:val="Textoindependiente21"/>
        <w:ind w:left="284" w:right="142"/>
        <w:contextualSpacing/>
        <w:rPr>
          <w:rFonts w:ascii="Bookman Old Style" w:hAnsi="Bookman Old Style" w:cs="Arial"/>
          <w:sz w:val="24"/>
          <w:szCs w:val="24"/>
        </w:rPr>
      </w:pPr>
    </w:p>
    <w:p w14:paraId="748C3926" w14:textId="70F054D3" w:rsidR="00903C58" w:rsidRDefault="25474C84" w:rsidP="00ED28D7">
      <w:pPr>
        <w:pStyle w:val="Ttulo1"/>
      </w:pPr>
      <w:r w:rsidRPr="0086458B">
        <w:t>R E S U E L V E:</w:t>
      </w:r>
    </w:p>
    <w:p w14:paraId="4EF30ACD" w14:textId="77777777" w:rsidR="00851482" w:rsidRPr="00851482" w:rsidRDefault="00851482" w:rsidP="00851482">
      <w:pPr>
        <w:rPr>
          <w:lang w:val="es-CO"/>
        </w:rPr>
      </w:pPr>
    </w:p>
    <w:p w14:paraId="67056DCC" w14:textId="77777777" w:rsidR="00050936" w:rsidRDefault="00050936" w:rsidP="00E57F55">
      <w:pPr>
        <w:pStyle w:val="Piedepgina"/>
        <w:tabs>
          <w:tab w:val="clear" w:pos="4252"/>
          <w:tab w:val="clear" w:pos="8504"/>
          <w:tab w:val="center" w:pos="4845"/>
        </w:tabs>
        <w:ind w:left="284" w:right="142"/>
        <w:contextualSpacing/>
        <w:jc w:val="both"/>
        <w:rPr>
          <w:rFonts w:ascii="Bookman Old Style" w:hAnsi="Bookman Old Style" w:cs="Arial"/>
          <w:bCs/>
        </w:rPr>
      </w:pPr>
    </w:p>
    <w:p w14:paraId="637368F9" w14:textId="65D8D4E2" w:rsidR="003F7019" w:rsidRDefault="44A6EEBF" w:rsidP="0087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rFonts w:ascii="Bookman Old Style" w:hAnsi="Bookman Old Style" w:cs="Arial"/>
        </w:rPr>
      </w:pPr>
      <w:r w:rsidRPr="5624EE1F">
        <w:rPr>
          <w:rFonts w:ascii="Bookman Old Style" w:hAnsi="Bookman Old Style" w:cs="Arial"/>
          <w:b/>
          <w:bCs/>
        </w:rPr>
        <w:t>ARTÍCULO 1</w:t>
      </w:r>
      <w:r w:rsidR="5D811454" w:rsidRPr="5624EE1F">
        <w:rPr>
          <w:rFonts w:ascii="Bookman Old Style" w:hAnsi="Bookman Old Style" w:cs="Arial"/>
          <w:b/>
          <w:bCs/>
        </w:rPr>
        <w:t xml:space="preserve">. </w:t>
      </w:r>
      <w:r w:rsidR="7900566D" w:rsidRPr="5624EE1F">
        <w:rPr>
          <w:rFonts w:ascii="Bookman Old Style" w:hAnsi="Bookman Old Style" w:cs="Arial"/>
          <w:b/>
          <w:bCs/>
        </w:rPr>
        <w:t>Imposición de servidumbre</w:t>
      </w:r>
      <w:r w:rsidR="0464CA66" w:rsidRPr="5624EE1F">
        <w:rPr>
          <w:rFonts w:ascii="Bookman Old Style" w:hAnsi="Bookman Old Style" w:cs="Arial"/>
          <w:b/>
          <w:bCs/>
        </w:rPr>
        <w:t xml:space="preserve">. </w:t>
      </w:r>
      <w:r w:rsidR="0464CA66" w:rsidRPr="5624EE1F">
        <w:rPr>
          <w:rFonts w:ascii="Bookman Old Style" w:hAnsi="Bookman Old Style" w:cs="Arial"/>
        </w:rPr>
        <w:t xml:space="preserve">Imponer </w:t>
      </w:r>
      <w:r w:rsidR="00876EAD" w:rsidRPr="5624EE1F">
        <w:rPr>
          <w:rFonts w:ascii="Bookman Old Style" w:hAnsi="Bookman Old Style" w:cs="Arial"/>
        </w:rPr>
        <w:t>servidumbre de conexión eléctrica en la línea de 34.5 kV</w:t>
      </w:r>
      <w:r w:rsidR="00876EAD">
        <w:rPr>
          <w:rFonts w:ascii="Bookman Old Style" w:hAnsi="Bookman Old Style" w:cs="Arial"/>
        </w:rPr>
        <w:t>,</w:t>
      </w:r>
      <w:r w:rsidR="00876EAD" w:rsidRPr="5624EE1F">
        <w:rPr>
          <w:rFonts w:ascii="Bookman Old Style" w:hAnsi="Bookman Old Style" w:cs="Arial"/>
        </w:rPr>
        <w:t xml:space="preserve"> </w:t>
      </w:r>
      <w:r w:rsidR="00876EAD">
        <w:rPr>
          <w:rFonts w:ascii="Bookman Old Style" w:hAnsi="Bookman Old Style" w:cs="Arial"/>
        </w:rPr>
        <w:t xml:space="preserve">activo identificado como </w:t>
      </w:r>
      <w:r w:rsidR="00876EAD" w:rsidRPr="5624EE1F">
        <w:rPr>
          <w:rFonts w:ascii="Bookman Old Style" w:hAnsi="Bookman Old Style" w:cs="Arial"/>
          <w:i/>
          <w:iCs/>
        </w:rPr>
        <w:t>“Línea de Transmisión de la MCH Mitú a la Subestación Eléctrica de Mitú”</w:t>
      </w:r>
      <w:r w:rsidR="00876EAD" w:rsidRPr="5624EE1F">
        <w:rPr>
          <w:rFonts w:ascii="Bookman Old Style" w:hAnsi="Bookman Old Style" w:cs="Arial"/>
        </w:rPr>
        <w:t xml:space="preserve"> en el contrato especial No. GGC 209-2013 suscrito entre </w:t>
      </w:r>
      <w:r w:rsidR="00876EAD">
        <w:rPr>
          <w:rFonts w:ascii="Bookman Old Style" w:hAnsi="Bookman Old Style" w:cs="Arial"/>
        </w:rPr>
        <w:t xml:space="preserve">GENSA S.A. E.S.P. </w:t>
      </w:r>
      <w:r w:rsidR="00876EAD" w:rsidRPr="5624EE1F">
        <w:rPr>
          <w:rFonts w:ascii="Bookman Old Style" w:hAnsi="Bookman Old Style" w:cs="Arial"/>
        </w:rPr>
        <w:t>y el Ministerio de Minas y Energía</w:t>
      </w:r>
      <w:r w:rsidR="00876EAD" w:rsidRPr="5624EE1F">
        <w:rPr>
          <w:rFonts w:ascii="Bookman Old Style" w:eastAsia="MS Mincho" w:hAnsi="Bookman Old Style" w:cs="Arial"/>
          <w:lang w:val="es-CO"/>
        </w:rPr>
        <w:t>,</w:t>
      </w:r>
      <w:r w:rsidR="00876EAD" w:rsidRPr="5624EE1F">
        <w:rPr>
          <w:rFonts w:ascii="Bookman Old Style" w:hAnsi="Bookman Old Style" w:cs="Arial"/>
        </w:rPr>
        <w:t xml:space="preserve"> en la torre 117</w:t>
      </w:r>
      <w:r w:rsidR="00876EAD">
        <w:rPr>
          <w:rFonts w:ascii="Bookman Old Style" w:hAnsi="Bookman Old Style" w:cs="Arial"/>
        </w:rPr>
        <w:t>,</w:t>
      </w:r>
      <w:r w:rsidR="00876EAD" w:rsidRPr="003130E4">
        <w:rPr>
          <w:rFonts w:ascii="Bookman Old Style" w:hAnsi="Bookman Old Style" w:cs="Arial"/>
        </w:rPr>
        <w:t xml:space="preserve"> </w:t>
      </w:r>
      <w:r w:rsidR="00876EAD">
        <w:rPr>
          <w:rFonts w:ascii="Bookman Old Style" w:hAnsi="Bookman Old Style" w:cs="Arial"/>
        </w:rPr>
        <w:t xml:space="preserve">para conectar </w:t>
      </w:r>
      <w:r w:rsidR="0029760D">
        <w:rPr>
          <w:rFonts w:ascii="Bookman Old Style" w:hAnsi="Bookman Old Style" w:cs="Arial"/>
        </w:rPr>
        <w:t xml:space="preserve">generación </w:t>
      </w:r>
      <w:r w:rsidR="00DB436B" w:rsidRPr="5624EE1F">
        <w:rPr>
          <w:rFonts w:ascii="Bookman Old Style" w:hAnsi="Bookman Old Style" w:cs="Arial"/>
        </w:rPr>
        <w:t xml:space="preserve">solar </w:t>
      </w:r>
      <w:r w:rsidR="00DB436B">
        <w:rPr>
          <w:rFonts w:ascii="Bookman Old Style" w:hAnsi="Bookman Old Style" w:cs="Arial"/>
        </w:rPr>
        <w:t xml:space="preserve">fotovoltaica con </w:t>
      </w:r>
      <w:r w:rsidR="00876EAD" w:rsidRPr="00244851">
        <w:rPr>
          <w:rFonts w:ascii="Bookman Old Style" w:hAnsi="Bookman Old Style" w:cs="Arial"/>
        </w:rPr>
        <w:t xml:space="preserve">capacidad pico de </w:t>
      </w:r>
      <w:r w:rsidR="00876EAD">
        <w:rPr>
          <w:rFonts w:ascii="Bookman Old Style" w:hAnsi="Bookman Old Style" w:cs="Arial"/>
        </w:rPr>
        <w:t xml:space="preserve">hasta </w:t>
      </w:r>
      <w:r w:rsidR="00876EAD" w:rsidRPr="00244851">
        <w:rPr>
          <w:rFonts w:ascii="Bookman Old Style" w:hAnsi="Bookman Old Style" w:cs="Arial"/>
        </w:rPr>
        <w:t>7</w:t>
      </w:r>
      <w:r w:rsidR="00876EAD">
        <w:rPr>
          <w:rFonts w:ascii="Bookman Old Style" w:hAnsi="Bookman Old Style" w:cs="Arial"/>
        </w:rPr>
        <w:t>,</w:t>
      </w:r>
      <w:r w:rsidR="00876EAD" w:rsidRPr="00244851">
        <w:rPr>
          <w:rFonts w:ascii="Bookman Old Style" w:hAnsi="Bookman Old Style" w:cs="Arial"/>
        </w:rPr>
        <w:t>6 MWp</w:t>
      </w:r>
      <w:r w:rsidR="00876EAD">
        <w:rPr>
          <w:rFonts w:ascii="Bookman Old Style" w:hAnsi="Bookman Old Style" w:cs="Arial"/>
        </w:rPr>
        <w:t xml:space="preserve"> y hasta </w:t>
      </w:r>
      <w:r w:rsidR="00876EAD" w:rsidRPr="00244851">
        <w:rPr>
          <w:rFonts w:ascii="Bookman Old Style" w:hAnsi="Bookman Old Style" w:cs="Arial"/>
        </w:rPr>
        <w:t>8</w:t>
      </w:r>
      <w:r w:rsidR="00876EAD">
        <w:rPr>
          <w:rFonts w:ascii="Bookman Old Style" w:hAnsi="Bookman Old Style" w:cs="Arial"/>
        </w:rPr>
        <w:t>,</w:t>
      </w:r>
      <w:r w:rsidR="00876EAD" w:rsidRPr="00244851">
        <w:rPr>
          <w:rFonts w:ascii="Bookman Old Style" w:hAnsi="Bookman Old Style" w:cs="Arial"/>
        </w:rPr>
        <w:t>8 MWh de acumulación</w:t>
      </w:r>
      <w:r w:rsidR="00876EAD">
        <w:rPr>
          <w:rFonts w:ascii="Bookman Old Style" w:hAnsi="Bookman Old Style" w:cs="Arial"/>
        </w:rPr>
        <w:t xml:space="preserve">; </w:t>
      </w:r>
      <w:r w:rsidR="00876EAD" w:rsidRPr="5624EE1F">
        <w:rPr>
          <w:rFonts w:ascii="Bookman Old Style" w:hAnsi="Bookman Old Style" w:cs="Arial"/>
        </w:rPr>
        <w:t xml:space="preserve">a cargo de </w:t>
      </w:r>
      <w:r w:rsidR="00876EAD" w:rsidRPr="5624EE1F">
        <w:rPr>
          <w:rFonts w:ascii="Bookman Old Style" w:eastAsia="MS Mincho" w:hAnsi="Bookman Old Style" w:cs="Arial"/>
          <w:lang w:val="es-CO"/>
        </w:rPr>
        <w:t>GENSA S.A. E.S.P.</w:t>
      </w:r>
      <w:r w:rsidR="00876EAD">
        <w:rPr>
          <w:rFonts w:ascii="Bookman Old Style" w:eastAsia="MS Mincho" w:hAnsi="Bookman Old Style" w:cs="Arial"/>
          <w:lang w:val="es-CO"/>
        </w:rPr>
        <w:t xml:space="preserve"> </w:t>
      </w:r>
      <w:r w:rsidR="00876EAD" w:rsidRPr="00B321FC">
        <w:rPr>
          <w:rFonts w:ascii="Bookman Old Style" w:hAnsi="Bookman Old Style" w:cs="Arial"/>
        </w:rPr>
        <w:t>o del operador que a futuro cuente con la administración, operación, uso y goce</w:t>
      </w:r>
      <w:r w:rsidR="00876EAD">
        <w:rPr>
          <w:rFonts w:ascii="Bookman Old Style" w:hAnsi="Bookman Old Style" w:cs="Arial"/>
        </w:rPr>
        <w:t xml:space="preserve"> de</w:t>
      </w:r>
      <w:r w:rsidR="00DA3B1F">
        <w:rPr>
          <w:rFonts w:ascii="Bookman Old Style" w:hAnsi="Bookman Old Style" w:cs="Arial"/>
        </w:rPr>
        <w:t xml:space="preserve"> </w:t>
      </w:r>
      <w:r w:rsidR="00DA3B1F" w:rsidRPr="5624EE1F">
        <w:rPr>
          <w:rFonts w:ascii="Bookman Old Style" w:hAnsi="Bookman Old Style" w:cs="Arial"/>
        </w:rPr>
        <w:t>la línea de 34.5 kV</w:t>
      </w:r>
      <w:r w:rsidR="00876EAD">
        <w:rPr>
          <w:rFonts w:ascii="Bookman Old Style" w:hAnsi="Bookman Old Style" w:cs="Arial"/>
        </w:rPr>
        <w:t>;</w:t>
      </w:r>
      <w:r w:rsidR="00876EAD" w:rsidRPr="5624EE1F">
        <w:rPr>
          <w:rFonts w:ascii="Bookman Old Style" w:hAnsi="Bookman Old Style" w:cs="Arial"/>
        </w:rPr>
        <w:t xml:space="preserve"> a favor de </w:t>
      </w:r>
      <w:r w:rsidR="00876EAD" w:rsidRPr="5624EE1F">
        <w:rPr>
          <w:rFonts w:ascii="Bookman Old Style" w:hAnsi="Bookman Old Style"/>
        </w:rPr>
        <w:t>DUE CAPITAL AND SERVICES S.A.S.</w:t>
      </w:r>
      <w:r w:rsidR="00876EAD">
        <w:rPr>
          <w:rFonts w:ascii="Bookman Old Style" w:eastAsia="MS Mincho" w:hAnsi="Bookman Old Style" w:cs="Arial"/>
        </w:rPr>
        <w:t xml:space="preserve"> </w:t>
      </w:r>
      <w:r w:rsidR="00876EAD" w:rsidRPr="5624EE1F">
        <w:rPr>
          <w:rFonts w:ascii="Bookman Old Style" w:hAnsi="Bookman Old Style" w:cs="Arial"/>
        </w:rPr>
        <w:t>o de quien actúe como generado</w:t>
      </w:r>
      <w:r w:rsidR="00F42B06">
        <w:rPr>
          <w:rFonts w:ascii="Bookman Old Style" w:hAnsi="Bookman Old Style" w:cs="Arial"/>
        </w:rPr>
        <w:t>r</w:t>
      </w:r>
      <w:r w:rsidR="00876EAD">
        <w:rPr>
          <w:rFonts w:ascii="Bookman Old Style" w:hAnsi="Bookman Old Style" w:cs="Arial"/>
        </w:rPr>
        <w:t>.</w:t>
      </w:r>
    </w:p>
    <w:p w14:paraId="753A7FB6" w14:textId="77777777" w:rsidR="003130E4" w:rsidRPr="00225865" w:rsidRDefault="003130E4" w:rsidP="00E57F55">
      <w:pPr>
        <w:ind w:left="284" w:right="142"/>
        <w:contextualSpacing/>
        <w:jc w:val="both"/>
        <w:rPr>
          <w:rFonts w:ascii="Bookman Old Style" w:hAnsi="Bookman Old Style" w:cs="Arial"/>
          <w:sz w:val="32"/>
          <w:szCs w:val="32"/>
        </w:rPr>
      </w:pPr>
    </w:p>
    <w:p w14:paraId="0B1367A6" w14:textId="5D9C4241" w:rsidR="00456C04" w:rsidRDefault="6F6A906B" w:rsidP="00456C04">
      <w:pPr>
        <w:ind w:left="284"/>
        <w:contextualSpacing/>
        <w:jc w:val="both"/>
        <w:rPr>
          <w:rFonts w:ascii="Bookman Old Style" w:hAnsi="Bookman Old Style" w:cs="Arial"/>
          <w:bCs/>
        </w:rPr>
      </w:pPr>
      <w:r w:rsidRPr="6B19321E">
        <w:rPr>
          <w:rFonts w:ascii="Bookman Old Style" w:hAnsi="Bookman Old Style" w:cs="Arial"/>
          <w:b/>
          <w:bCs/>
        </w:rPr>
        <w:t xml:space="preserve">ARTÍCULO </w:t>
      </w:r>
      <w:r w:rsidR="43DDB20D" w:rsidRPr="6B19321E">
        <w:rPr>
          <w:rFonts w:ascii="Bookman Old Style" w:hAnsi="Bookman Old Style" w:cs="Arial"/>
          <w:b/>
          <w:bCs/>
        </w:rPr>
        <w:t>2</w:t>
      </w:r>
      <w:r w:rsidRPr="6B19321E">
        <w:rPr>
          <w:rFonts w:ascii="Bookman Old Style" w:hAnsi="Bookman Old Style" w:cs="Arial"/>
          <w:b/>
          <w:bCs/>
        </w:rPr>
        <w:t xml:space="preserve">. </w:t>
      </w:r>
      <w:r w:rsidR="58AFE36C" w:rsidRPr="6B19321E">
        <w:rPr>
          <w:rFonts w:ascii="Bookman Old Style" w:hAnsi="Bookman Old Style" w:cs="Arial"/>
          <w:b/>
          <w:bCs/>
        </w:rPr>
        <w:t>Plazo y extinción de la servidumbre</w:t>
      </w:r>
      <w:r w:rsidR="2365FA0F" w:rsidRPr="6B19321E">
        <w:rPr>
          <w:rFonts w:ascii="Bookman Old Style" w:hAnsi="Bookman Old Style" w:cs="Arial"/>
          <w:b/>
          <w:bCs/>
        </w:rPr>
        <w:t>.</w:t>
      </w:r>
      <w:r w:rsidR="2365FA0F" w:rsidRPr="6B19321E">
        <w:rPr>
          <w:rFonts w:ascii="Bookman Old Style" w:hAnsi="Bookman Old Style" w:cs="Arial"/>
        </w:rPr>
        <w:t xml:space="preserve"> </w:t>
      </w:r>
      <w:r w:rsidR="004918D5">
        <w:rPr>
          <w:rFonts w:ascii="Bookman Old Style" w:hAnsi="Bookman Old Style" w:cs="Arial"/>
        </w:rPr>
        <w:t>La extin</w:t>
      </w:r>
      <w:r w:rsidR="00AC220B">
        <w:rPr>
          <w:rFonts w:ascii="Bookman Old Style" w:hAnsi="Bookman Old Style" w:cs="Arial"/>
        </w:rPr>
        <w:t>c</w:t>
      </w:r>
      <w:r w:rsidR="004918D5">
        <w:rPr>
          <w:rFonts w:ascii="Bookman Old Style" w:hAnsi="Bookman Old Style" w:cs="Arial"/>
        </w:rPr>
        <w:t xml:space="preserve">ión </w:t>
      </w:r>
      <w:r w:rsidR="00AC220B">
        <w:rPr>
          <w:rFonts w:ascii="Bookman Old Style" w:hAnsi="Bookman Old Style" w:cs="Arial"/>
        </w:rPr>
        <w:t>de la servidumbre</w:t>
      </w:r>
      <w:r w:rsidR="003F5674">
        <w:rPr>
          <w:rFonts w:ascii="Bookman Old Style" w:hAnsi="Bookman Old Style" w:cs="Arial"/>
        </w:rPr>
        <w:t xml:space="preserve"> se dará por las causas previstas en la Ley 142 de 1994 y el artículo 942 de Código Civil.</w:t>
      </w:r>
      <w:r w:rsidR="00456C04">
        <w:rPr>
          <w:rFonts w:ascii="Bookman Old Style" w:hAnsi="Bookman Old Style" w:cs="Arial"/>
        </w:rPr>
        <w:t xml:space="preserve"> </w:t>
      </w:r>
      <w:r w:rsidR="00214014">
        <w:rPr>
          <w:rFonts w:ascii="Bookman Old Style" w:hAnsi="Bookman Old Style" w:cs="Arial"/>
        </w:rPr>
        <w:t>Adicionalmente, e</w:t>
      </w:r>
      <w:r w:rsidR="007F482D">
        <w:rPr>
          <w:rFonts w:ascii="Bookman Old Style" w:hAnsi="Bookman Old Style" w:cs="Arial"/>
        </w:rPr>
        <w:t xml:space="preserve">n concordancia con </w:t>
      </w:r>
      <w:r w:rsidR="00A62994">
        <w:rPr>
          <w:rFonts w:ascii="Bookman Old Style" w:hAnsi="Bookman Old Style" w:cs="Arial"/>
        </w:rPr>
        <w:t>el numeral segundo del citado artículo de</w:t>
      </w:r>
      <w:r w:rsidR="005B2D54">
        <w:rPr>
          <w:rFonts w:ascii="Bookman Old Style" w:hAnsi="Bookman Old Style" w:cs="Arial"/>
        </w:rPr>
        <w:t>l</w:t>
      </w:r>
      <w:r w:rsidR="00A62994">
        <w:rPr>
          <w:rFonts w:ascii="Bookman Old Style" w:hAnsi="Bookman Old Style" w:cs="Arial"/>
        </w:rPr>
        <w:t xml:space="preserve"> Código Civil, se </w:t>
      </w:r>
      <w:r w:rsidR="005B2D54">
        <w:rPr>
          <w:rFonts w:ascii="Bookman Old Style" w:hAnsi="Bookman Old Style" w:cs="Arial"/>
        </w:rPr>
        <w:t xml:space="preserve">entiende </w:t>
      </w:r>
      <w:r w:rsidR="00456C04">
        <w:rPr>
          <w:rFonts w:ascii="Bookman Old Style" w:hAnsi="Bookman Old Style" w:cs="Arial"/>
          <w:bCs/>
        </w:rPr>
        <w:t>extinguida la servidumbre si</w:t>
      </w:r>
      <w:r w:rsidR="00685A18">
        <w:rPr>
          <w:rFonts w:ascii="Bookman Old Style" w:hAnsi="Bookman Old Style" w:cs="Arial"/>
          <w:bCs/>
        </w:rPr>
        <w:t>,</w:t>
      </w:r>
      <w:r w:rsidR="00456C04">
        <w:rPr>
          <w:rFonts w:ascii="Bookman Old Style" w:hAnsi="Bookman Old Style" w:cs="Arial"/>
          <w:bCs/>
        </w:rPr>
        <w:t xml:space="preserve"> pasada la fecha de conexión que se establezca en el respectivo contrato de conexión, esta no ha entrado en operación.</w:t>
      </w:r>
    </w:p>
    <w:p w14:paraId="1F335B19" w14:textId="77777777" w:rsidR="008623C4" w:rsidRPr="00225865" w:rsidRDefault="008623C4" w:rsidP="008623C4">
      <w:pPr>
        <w:ind w:left="284"/>
        <w:contextualSpacing/>
        <w:jc w:val="both"/>
        <w:rPr>
          <w:rFonts w:ascii="Bookman Old Style" w:hAnsi="Bookman Old Style" w:cs="Arial"/>
          <w:bCs/>
          <w:sz w:val="32"/>
          <w:szCs w:val="32"/>
        </w:rPr>
      </w:pPr>
    </w:p>
    <w:p w14:paraId="103A823C" w14:textId="4C5858EA" w:rsidR="008623C4" w:rsidRDefault="008623C4" w:rsidP="008623C4">
      <w:pPr>
        <w:ind w:left="284"/>
        <w:contextualSpacing/>
        <w:jc w:val="both"/>
        <w:rPr>
          <w:rFonts w:ascii="Bookman Old Style" w:hAnsi="Bookman Old Style" w:cs="Arial"/>
          <w:bCs/>
        </w:rPr>
      </w:pPr>
      <w:r>
        <w:rPr>
          <w:rFonts w:ascii="Bookman Old Style" w:hAnsi="Bookman Old Style" w:cs="Arial"/>
          <w:bCs/>
        </w:rPr>
        <w:t xml:space="preserve">Para efectos de lo anterior, entre </w:t>
      </w:r>
      <w:r w:rsidRPr="00C027B9">
        <w:rPr>
          <w:rFonts w:ascii="Bookman Old Style" w:hAnsi="Bookman Old Style" w:cs="Arial"/>
          <w:bCs/>
        </w:rPr>
        <w:t>GENSA S.A. E.S.P.</w:t>
      </w:r>
      <w:r>
        <w:rPr>
          <w:rFonts w:ascii="Bookman Old Style" w:hAnsi="Bookman Old Style" w:cs="Arial"/>
          <w:bCs/>
        </w:rPr>
        <w:t xml:space="preserve"> y </w:t>
      </w:r>
      <w:r w:rsidRPr="00C027B9">
        <w:rPr>
          <w:rFonts w:ascii="Bookman Old Style" w:hAnsi="Bookman Old Style" w:cs="Arial"/>
          <w:bCs/>
        </w:rPr>
        <w:t>DUE CAPITAL AND SERVICES S.A.S.</w:t>
      </w:r>
      <w:r>
        <w:rPr>
          <w:rFonts w:ascii="Bookman Old Style" w:hAnsi="Bookman Old Style" w:cs="Arial"/>
          <w:bCs/>
        </w:rPr>
        <w:t xml:space="preserve">, se deberá suscribir el </w:t>
      </w:r>
      <w:r w:rsidR="001A1A0A">
        <w:rPr>
          <w:rFonts w:ascii="Bookman Old Style" w:hAnsi="Bookman Old Style" w:cs="Arial"/>
          <w:bCs/>
        </w:rPr>
        <w:t xml:space="preserve">respectivo </w:t>
      </w:r>
      <w:r>
        <w:rPr>
          <w:rFonts w:ascii="Bookman Old Style" w:hAnsi="Bookman Old Style" w:cs="Arial"/>
          <w:bCs/>
        </w:rPr>
        <w:t>contrato de conexión, en los términos previstos en el artículo 5 de la Resolución CREG 038 de 2018</w:t>
      </w:r>
      <w:r w:rsidR="0006117A">
        <w:rPr>
          <w:rFonts w:ascii="Bookman Old Style" w:hAnsi="Bookman Old Style" w:cs="Arial"/>
          <w:bCs/>
        </w:rPr>
        <w:t xml:space="preserve">, en </w:t>
      </w:r>
      <w:r w:rsidR="0006117A" w:rsidRPr="0006117A">
        <w:rPr>
          <w:rFonts w:ascii="Bookman Old Style" w:hAnsi="Bookman Old Style" w:cs="Arial"/>
          <w:bCs/>
        </w:rPr>
        <w:t xml:space="preserve">un plazo máximo de quince (15) días hábiles, contados a partir del </w:t>
      </w:r>
      <w:r w:rsidR="0026689F">
        <w:rPr>
          <w:rFonts w:ascii="Bookman Old Style" w:hAnsi="Bookman Old Style" w:cs="Arial"/>
          <w:bCs/>
        </w:rPr>
        <w:t xml:space="preserve">día hábil </w:t>
      </w:r>
      <w:r w:rsidR="0006117A" w:rsidRPr="0006117A">
        <w:rPr>
          <w:rFonts w:ascii="Bookman Old Style" w:hAnsi="Bookman Old Style" w:cs="Arial"/>
          <w:bCs/>
        </w:rPr>
        <w:t>siguiente a la entrada en vigencia de la presente resolución</w:t>
      </w:r>
      <w:r w:rsidR="006615A7">
        <w:rPr>
          <w:rFonts w:ascii="Bookman Old Style" w:hAnsi="Bookman Old Style" w:cs="Arial"/>
          <w:bCs/>
        </w:rPr>
        <w:t>.</w:t>
      </w:r>
      <w:r w:rsidR="00197229">
        <w:rPr>
          <w:rFonts w:ascii="Bookman Old Style" w:hAnsi="Bookman Old Style" w:cs="Arial"/>
          <w:bCs/>
        </w:rPr>
        <w:t xml:space="preserve"> </w:t>
      </w:r>
      <w:r>
        <w:rPr>
          <w:rFonts w:ascii="Bookman Old Style" w:hAnsi="Bookman Old Style" w:cs="Arial"/>
          <w:bCs/>
        </w:rPr>
        <w:t xml:space="preserve">En dicho contrato se deberá incluir como fecha máxima de entrada en operación de la conexión la que sea igual a dos (2) años contados </w:t>
      </w:r>
      <w:r w:rsidR="00A0345B">
        <w:rPr>
          <w:rFonts w:ascii="Bookman Old Style" w:hAnsi="Bookman Old Style" w:cs="Arial"/>
          <w:bCs/>
        </w:rPr>
        <w:t xml:space="preserve">a partir </w:t>
      </w:r>
      <w:r w:rsidR="00065CF3">
        <w:rPr>
          <w:rFonts w:ascii="Bookman Old Style" w:hAnsi="Bookman Old Style" w:cs="Arial"/>
          <w:bCs/>
        </w:rPr>
        <w:t xml:space="preserve">de la </w:t>
      </w:r>
      <w:r w:rsidR="00A0345B" w:rsidRPr="0006117A">
        <w:rPr>
          <w:rFonts w:ascii="Bookman Old Style" w:hAnsi="Bookman Old Style" w:cs="Arial"/>
          <w:bCs/>
        </w:rPr>
        <w:t>entrada en vigencia de la presente resolución</w:t>
      </w:r>
      <w:r>
        <w:rPr>
          <w:rFonts w:ascii="Bookman Old Style" w:hAnsi="Bookman Old Style" w:cs="Arial"/>
          <w:bCs/>
        </w:rPr>
        <w:t xml:space="preserve">. Será </w:t>
      </w:r>
      <w:r w:rsidRPr="00C027B9">
        <w:rPr>
          <w:rFonts w:ascii="Bookman Old Style" w:hAnsi="Bookman Old Style" w:cs="Arial"/>
          <w:bCs/>
        </w:rPr>
        <w:t>DUE CAPITAL AND SERVICES S.A.S.</w:t>
      </w:r>
      <w:r w:rsidRPr="5624EE1F">
        <w:rPr>
          <w:rFonts w:ascii="Bookman Old Style" w:hAnsi="Bookman Old Style" w:cs="Arial"/>
        </w:rPr>
        <w:t xml:space="preserve"> </w:t>
      </w:r>
      <w:r>
        <w:rPr>
          <w:rFonts w:ascii="Bookman Old Style" w:hAnsi="Bookman Old Style" w:cs="Arial"/>
          <w:bCs/>
        </w:rPr>
        <w:t>quién defina esta fecha.</w:t>
      </w:r>
    </w:p>
    <w:p w14:paraId="58AEC6B8" w14:textId="77777777" w:rsidR="008623C4" w:rsidRPr="00225865" w:rsidRDefault="008623C4" w:rsidP="00E57F55">
      <w:pPr>
        <w:ind w:left="284" w:right="142"/>
        <w:contextualSpacing/>
        <w:jc w:val="both"/>
        <w:rPr>
          <w:rFonts w:ascii="Bookman Old Style" w:hAnsi="Bookman Old Style" w:cs="Arial"/>
          <w:bCs/>
          <w:sz w:val="32"/>
          <w:szCs w:val="32"/>
        </w:rPr>
      </w:pPr>
    </w:p>
    <w:p w14:paraId="366C97E5" w14:textId="6251D602" w:rsidR="008623C4" w:rsidRDefault="0076434E" w:rsidP="00E57F55">
      <w:pPr>
        <w:ind w:left="284" w:right="142"/>
        <w:contextualSpacing/>
        <w:jc w:val="both"/>
        <w:rPr>
          <w:rFonts w:ascii="Bookman Old Style" w:hAnsi="Bookman Old Style" w:cs="Arial"/>
          <w:bCs/>
        </w:rPr>
      </w:pPr>
      <w:r w:rsidRPr="0076434E">
        <w:rPr>
          <w:rFonts w:ascii="Bookman Old Style" w:hAnsi="Bookman Old Style" w:cs="Arial"/>
          <w:b/>
        </w:rPr>
        <w:t>Parágrafo.</w:t>
      </w:r>
      <w:r>
        <w:rPr>
          <w:rFonts w:ascii="Bookman Old Style" w:hAnsi="Bookman Old Style" w:cs="Arial"/>
          <w:bCs/>
        </w:rPr>
        <w:t xml:space="preserve"> </w:t>
      </w:r>
      <w:r w:rsidR="005E3F7C">
        <w:rPr>
          <w:rFonts w:ascii="Bookman Old Style" w:hAnsi="Bookman Old Style" w:cs="Arial"/>
          <w:bCs/>
        </w:rPr>
        <w:t>En caso de que</w:t>
      </w:r>
      <w:r w:rsidR="00DF64AC">
        <w:rPr>
          <w:rFonts w:ascii="Bookman Old Style" w:hAnsi="Bookman Old Style" w:cs="Arial"/>
          <w:bCs/>
        </w:rPr>
        <w:t xml:space="preserve"> tercero</w:t>
      </w:r>
      <w:r w:rsidR="000014F5">
        <w:rPr>
          <w:rFonts w:ascii="Bookman Old Style" w:hAnsi="Bookman Old Style" w:cs="Arial"/>
          <w:bCs/>
        </w:rPr>
        <w:t>s</w:t>
      </w:r>
      <w:r w:rsidR="00DF64AC">
        <w:rPr>
          <w:rFonts w:ascii="Bookman Old Style" w:hAnsi="Bookman Old Style" w:cs="Arial"/>
          <w:bCs/>
        </w:rPr>
        <w:t xml:space="preserve"> distint</w:t>
      </w:r>
      <w:r w:rsidR="00DB6A0B">
        <w:rPr>
          <w:rFonts w:ascii="Bookman Old Style" w:hAnsi="Bookman Old Style" w:cs="Arial"/>
          <w:bCs/>
        </w:rPr>
        <w:t>o</w:t>
      </w:r>
      <w:r w:rsidR="000014F5">
        <w:rPr>
          <w:rFonts w:ascii="Bookman Old Style" w:hAnsi="Bookman Old Style" w:cs="Arial"/>
          <w:bCs/>
        </w:rPr>
        <w:t>s</w:t>
      </w:r>
      <w:r w:rsidR="00DB6A0B">
        <w:rPr>
          <w:rFonts w:ascii="Bookman Old Style" w:hAnsi="Bookman Old Style" w:cs="Arial"/>
          <w:bCs/>
        </w:rPr>
        <w:t xml:space="preserve"> a </w:t>
      </w:r>
      <w:r w:rsidR="005E3F7C">
        <w:rPr>
          <w:rFonts w:ascii="Bookman Old Style" w:hAnsi="Bookman Old Style" w:cs="Arial"/>
          <w:bCs/>
        </w:rPr>
        <w:t xml:space="preserve">GENSA S.A. E.S.P. o DUE CAPITAL AND SERVICES </w:t>
      </w:r>
      <w:r w:rsidR="000014F5">
        <w:rPr>
          <w:rFonts w:ascii="Bookman Old Style" w:hAnsi="Bookman Old Style" w:cs="Arial"/>
          <w:bCs/>
        </w:rPr>
        <w:t>lleguen a ser operadores de la línea de 34.5kV o de la generación</w:t>
      </w:r>
      <w:r w:rsidR="009241C8">
        <w:rPr>
          <w:rFonts w:ascii="Bookman Old Style" w:hAnsi="Bookman Old Style" w:cs="Arial"/>
          <w:bCs/>
        </w:rPr>
        <w:t xml:space="preserve"> de la que trata este artículo, </w:t>
      </w:r>
      <w:r w:rsidR="002F0269">
        <w:rPr>
          <w:rFonts w:ascii="Bookman Old Style" w:hAnsi="Bookman Old Style" w:cs="Arial"/>
          <w:bCs/>
        </w:rPr>
        <w:t xml:space="preserve">la respectiva empresa deberá hacer </w:t>
      </w:r>
      <w:r w:rsidR="00134EDB">
        <w:rPr>
          <w:rFonts w:ascii="Bookman Old Style" w:hAnsi="Bookman Old Style" w:cs="Arial"/>
          <w:bCs/>
        </w:rPr>
        <w:t>la cesión del contrato de conexión</w:t>
      </w:r>
      <w:r w:rsidR="00AF4E7B">
        <w:rPr>
          <w:rFonts w:ascii="Bookman Old Style" w:hAnsi="Bookman Old Style" w:cs="Arial"/>
          <w:bCs/>
        </w:rPr>
        <w:t xml:space="preserve"> a dicho tercero</w:t>
      </w:r>
      <w:r w:rsidR="00134EDB">
        <w:rPr>
          <w:rFonts w:ascii="Bookman Old Style" w:hAnsi="Bookman Old Style" w:cs="Arial"/>
          <w:bCs/>
        </w:rPr>
        <w:t>.</w:t>
      </w:r>
    </w:p>
    <w:p w14:paraId="5940FE1E" w14:textId="77777777" w:rsidR="008623C4" w:rsidRPr="00225865" w:rsidRDefault="008623C4" w:rsidP="00E57F55">
      <w:pPr>
        <w:ind w:left="284" w:right="142"/>
        <w:contextualSpacing/>
        <w:jc w:val="both"/>
        <w:rPr>
          <w:rFonts w:ascii="Bookman Old Style" w:hAnsi="Bookman Old Style" w:cs="Arial"/>
          <w:bCs/>
          <w:sz w:val="32"/>
          <w:szCs w:val="32"/>
        </w:rPr>
      </w:pPr>
    </w:p>
    <w:p w14:paraId="4C9289C7" w14:textId="277BF4DA" w:rsidR="008F1D89" w:rsidRPr="0086458B" w:rsidRDefault="009D02D6" w:rsidP="00E57F55">
      <w:pPr>
        <w:ind w:left="284" w:right="142"/>
        <w:contextualSpacing/>
        <w:jc w:val="both"/>
        <w:rPr>
          <w:rFonts w:ascii="Bookman Old Style" w:hAnsi="Bookman Old Style" w:cs="Arial"/>
        </w:rPr>
      </w:pPr>
      <w:bookmarkStart w:id="3" w:name="_Hlk86165395"/>
      <w:r w:rsidRPr="0086458B">
        <w:rPr>
          <w:rFonts w:ascii="Bookman Old Style" w:hAnsi="Bookman Old Style" w:cs="Arial"/>
          <w:b/>
        </w:rPr>
        <w:t xml:space="preserve">ARTÍCULO </w:t>
      </w:r>
      <w:r w:rsidR="00AB653B">
        <w:rPr>
          <w:rFonts w:ascii="Bookman Old Style" w:hAnsi="Bookman Old Style" w:cs="Arial"/>
          <w:b/>
        </w:rPr>
        <w:t>3</w:t>
      </w:r>
      <w:r w:rsidRPr="0086458B">
        <w:rPr>
          <w:rFonts w:ascii="Bookman Old Style" w:hAnsi="Bookman Old Style" w:cs="Arial"/>
          <w:b/>
        </w:rPr>
        <w:t>.</w:t>
      </w:r>
      <w:r w:rsidR="0022157F" w:rsidRPr="0086458B">
        <w:rPr>
          <w:rFonts w:ascii="Bookman Old Style" w:hAnsi="Bookman Old Style" w:cs="Arial"/>
          <w:b/>
        </w:rPr>
        <w:t xml:space="preserve"> </w:t>
      </w:r>
      <w:bookmarkEnd w:id="3"/>
      <w:r w:rsidR="00900445">
        <w:rPr>
          <w:rFonts w:ascii="Bookman Old Style" w:hAnsi="Bookman Old Style" w:cs="Arial"/>
          <w:b/>
        </w:rPr>
        <w:t>Notificaciones</w:t>
      </w:r>
      <w:r w:rsidR="00900BD3">
        <w:rPr>
          <w:rFonts w:ascii="Bookman Old Style" w:hAnsi="Bookman Old Style" w:cs="Arial"/>
          <w:b/>
        </w:rPr>
        <w:t>.</w:t>
      </w:r>
      <w:r w:rsidR="00A7175B" w:rsidRPr="00900BD3">
        <w:rPr>
          <w:rFonts w:ascii="Bookman Old Style" w:hAnsi="Bookman Old Style" w:cs="Arial"/>
          <w:bCs/>
        </w:rPr>
        <w:t xml:space="preserve"> </w:t>
      </w:r>
      <w:r w:rsidR="00903C58" w:rsidRPr="0086458B">
        <w:rPr>
          <w:rFonts w:ascii="Bookman Old Style" w:hAnsi="Bookman Old Style" w:cs="Arial"/>
        </w:rPr>
        <w:t>Notificar a</w:t>
      </w:r>
      <w:r w:rsidR="005D0AE3" w:rsidRPr="0086458B">
        <w:rPr>
          <w:rFonts w:ascii="Bookman Old Style" w:hAnsi="Bookman Old Style" w:cs="Arial"/>
        </w:rPr>
        <w:t xml:space="preserve"> los representantes legales</w:t>
      </w:r>
      <w:r w:rsidR="00903C58" w:rsidRPr="0086458B">
        <w:rPr>
          <w:rFonts w:ascii="Bookman Old Style" w:hAnsi="Bookman Old Style" w:cs="Arial"/>
        </w:rPr>
        <w:t xml:space="preserve"> de </w:t>
      </w:r>
      <w:r w:rsidR="008D38DF" w:rsidRPr="0086458B">
        <w:rPr>
          <w:rFonts w:ascii="Bookman Old Style" w:hAnsi="Bookman Old Style" w:cs="Arial"/>
        </w:rPr>
        <w:t>la</w:t>
      </w:r>
      <w:r w:rsidR="005D0AE3" w:rsidRPr="0086458B">
        <w:rPr>
          <w:rFonts w:ascii="Bookman Old Style" w:hAnsi="Bookman Old Style" w:cs="Arial"/>
        </w:rPr>
        <w:t>s</w:t>
      </w:r>
      <w:r w:rsidR="008D38DF" w:rsidRPr="0086458B">
        <w:rPr>
          <w:rFonts w:ascii="Bookman Old Style" w:hAnsi="Bookman Old Style" w:cs="Arial"/>
        </w:rPr>
        <w:t xml:space="preserve"> </w:t>
      </w:r>
      <w:r w:rsidR="00903C58" w:rsidRPr="0086458B">
        <w:rPr>
          <w:rFonts w:ascii="Bookman Old Style" w:hAnsi="Bookman Old Style"/>
        </w:rPr>
        <w:t>empresa</w:t>
      </w:r>
      <w:r w:rsidR="005D0AE3" w:rsidRPr="0086458B">
        <w:rPr>
          <w:rFonts w:ascii="Bookman Old Style" w:hAnsi="Bookman Old Style"/>
        </w:rPr>
        <w:t>s</w:t>
      </w:r>
      <w:r w:rsidR="00903C58" w:rsidRPr="0086458B">
        <w:rPr>
          <w:rFonts w:ascii="Bookman Old Style" w:hAnsi="Bookman Old Style"/>
        </w:rPr>
        <w:t xml:space="preserve"> </w:t>
      </w:r>
      <w:r w:rsidR="00443AF4" w:rsidRPr="0086458B">
        <w:rPr>
          <w:rFonts w:ascii="Bookman Old Style" w:hAnsi="Bookman Old Style"/>
        </w:rPr>
        <w:t>DUE CAPITAL AND SERVICES</w:t>
      </w:r>
      <w:r w:rsidR="005D0AE3" w:rsidRPr="0086458B">
        <w:rPr>
          <w:rFonts w:ascii="Bookman Old Style" w:hAnsi="Bookman Old Style"/>
        </w:rPr>
        <w:t xml:space="preserve"> S.A.S</w:t>
      </w:r>
      <w:r w:rsidR="00443AF4" w:rsidRPr="0086458B">
        <w:rPr>
          <w:rFonts w:ascii="Bookman Old Style" w:hAnsi="Bookman Old Style"/>
        </w:rPr>
        <w:t>.</w:t>
      </w:r>
      <w:r w:rsidR="00153EC8">
        <w:rPr>
          <w:rFonts w:ascii="Bookman Old Style" w:hAnsi="Bookman Old Style"/>
        </w:rPr>
        <w:t>,</w:t>
      </w:r>
      <w:r w:rsidR="005D0AE3" w:rsidRPr="0086458B">
        <w:rPr>
          <w:rFonts w:ascii="Bookman Old Style" w:hAnsi="Bookman Old Style"/>
        </w:rPr>
        <w:t xml:space="preserve"> </w:t>
      </w:r>
      <w:r w:rsidR="008F1D89" w:rsidRPr="0086458B">
        <w:rPr>
          <w:rFonts w:ascii="Bookman Old Style" w:hAnsi="Bookman Old Style"/>
        </w:rPr>
        <w:t xml:space="preserve">identificada con NIT </w:t>
      </w:r>
      <w:r w:rsidR="00141732" w:rsidRPr="00141732">
        <w:rPr>
          <w:rFonts w:ascii="Bookman Old Style" w:hAnsi="Bookman Old Style"/>
        </w:rPr>
        <w:t>900410830-0</w:t>
      </w:r>
      <w:r w:rsidR="00153EC8">
        <w:rPr>
          <w:rFonts w:ascii="Bookman Old Style" w:hAnsi="Bookman Old Style"/>
        </w:rPr>
        <w:t>,</w:t>
      </w:r>
      <w:r w:rsidR="005D0AE3" w:rsidRPr="0086458B">
        <w:rPr>
          <w:rFonts w:ascii="Bookman Old Style" w:hAnsi="Bookman Old Style"/>
        </w:rPr>
        <w:t xml:space="preserve"> </w:t>
      </w:r>
      <w:r w:rsidR="00DF516C" w:rsidRPr="0086458B">
        <w:rPr>
          <w:rFonts w:ascii="Bookman Old Style" w:hAnsi="Bookman Old Style"/>
        </w:rPr>
        <w:t>GENSA</w:t>
      </w:r>
      <w:r w:rsidR="00DB5492" w:rsidRPr="0086458B">
        <w:rPr>
          <w:rFonts w:ascii="Bookman Old Style" w:hAnsi="Bookman Old Style"/>
        </w:rPr>
        <w:t xml:space="preserve"> S.A. E.S.P. </w:t>
      </w:r>
      <w:r w:rsidR="008F1D89" w:rsidRPr="0086458B">
        <w:rPr>
          <w:rFonts w:ascii="Bookman Old Style" w:hAnsi="Bookman Old Style"/>
        </w:rPr>
        <w:t xml:space="preserve">identificada con NIT </w:t>
      </w:r>
      <w:r w:rsidR="00A7466B">
        <w:rPr>
          <w:rFonts w:ascii="Bookman Old Style" w:hAnsi="Bookman Old Style"/>
        </w:rPr>
        <w:t>800</w:t>
      </w:r>
      <w:r w:rsidR="00F73051">
        <w:rPr>
          <w:rFonts w:ascii="Bookman Old Style" w:hAnsi="Bookman Old Style"/>
        </w:rPr>
        <w:t>194208-9</w:t>
      </w:r>
      <w:r w:rsidR="008F1D89" w:rsidRPr="0086458B">
        <w:rPr>
          <w:rFonts w:ascii="Bookman Old Style" w:hAnsi="Bookman Old Style"/>
        </w:rPr>
        <w:t xml:space="preserve"> </w:t>
      </w:r>
      <w:r w:rsidR="00084082" w:rsidRPr="0086458B">
        <w:rPr>
          <w:rFonts w:ascii="Bookman Old Style" w:hAnsi="Bookman Old Style"/>
        </w:rPr>
        <w:t>y del Ministerio de Minas y Energía</w:t>
      </w:r>
      <w:r w:rsidR="00EB2D40">
        <w:rPr>
          <w:rFonts w:ascii="Bookman Old Style" w:hAnsi="Bookman Old Style"/>
        </w:rPr>
        <w:t>,</w:t>
      </w:r>
      <w:r w:rsidR="00084082" w:rsidRPr="0086458B">
        <w:rPr>
          <w:rFonts w:ascii="Bookman Old Style" w:hAnsi="Bookman Old Style"/>
        </w:rPr>
        <w:t xml:space="preserve"> </w:t>
      </w:r>
      <w:r w:rsidR="00903C58" w:rsidRPr="0086458B">
        <w:rPr>
          <w:rFonts w:ascii="Bookman Old Style" w:hAnsi="Bookman Old Style" w:cs="Arial"/>
        </w:rPr>
        <w:t xml:space="preserve">el contenido de </w:t>
      </w:r>
      <w:r w:rsidR="00BF1B50" w:rsidRPr="0086458B">
        <w:rPr>
          <w:rFonts w:ascii="Bookman Old Style" w:hAnsi="Bookman Old Style" w:cs="Arial"/>
        </w:rPr>
        <w:t>esta resolución</w:t>
      </w:r>
      <w:r w:rsidR="00903C58" w:rsidRPr="0086458B">
        <w:rPr>
          <w:rFonts w:ascii="Bookman Old Style" w:hAnsi="Bookman Old Style" w:cs="Arial"/>
        </w:rPr>
        <w:t>.</w:t>
      </w:r>
    </w:p>
    <w:p w14:paraId="1D1997C9" w14:textId="0BD1F9E1" w:rsidR="008F1D89" w:rsidRPr="00225865" w:rsidRDefault="008F1D89" w:rsidP="00E57F55">
      <w:pPr>
        <w:ind w:left="284" w:right="142"/>
        <w:contextualSpacing/>
        <w:jc w:val="both"/>
        <w:rPr>
          <w:rFonts w:ascii="Bookman Old Style" w:hAnsi="Bookman Old Style" w:cs="Arial"/>
          <w:sz w:val="32"/>
          <w:szCs w:val="32"/>
        </w:rPr>
      </w:pPr>
    </w:p>
    <w:p w14:paraId="5D1CEE69" w14:textId="5A25E4CF" w:rsidR="008F1D89" w:rsidRPr="0086458B" w:rsidRDefault="008F1D89" w:rsidP="00E57F55">
      <w:pPr>
        <w:ind w:left="284" w:right="142"/>
        <w:contextualSpacing/>
        <w:jc w:val="both"/>
        <w:rPr>
          <w:rFonts w:ascii="Bookman Old Style" w:hAnsi="Bookman Old Style" w:cs="Arial"/>
        </w:rPr>
      </w:pPr>
      <w:r w:rsidRPr="0086458B">
        <w:rPr>
          <w:rFonts w:ascii="Bookman Old Style" w:hAnsi="Bookman Old Style" w:cs="Arial"/>
          <w:b/>
          <w:bCs/>
        </w:rPr>
        <w:t xml:space="preserve">ARTÍCULO </w:t>
      </w:r>
      <w:r w:rsidR="00AB653B">
        <w:rPr>
          <w:rFonts w:ascii="Bookman Old Style" w:hAnsi="Bookman Old Style" w:cs="Arial"/>
          <w:b/>
          <w:bCs/>
        </w:rPr>
        <w:t>4</w:t>
      </w:r>
      <w:r w:rsidRPr="00EB4ABA">
        <w:rPr>
          <w:rFonts w:ascii="Bookman Old Style" w:hAnsi="Bookman Old Style" w:cs="Arial"/>
          <w:b/>
          <w:bCs/>
        </w:rPr>
        <w:t xml:space="preserve">. </w:t>
      </w:r>
      <w:r w:rsidR="00EB4ABA" w:rsidRPr="00EB4ABA">
        <w:rPr>
          <w:rFonts w:ascii="Bookman Old Style" w:hAnsi="Bookman Old Style" w:cs="Arial"/>
          <w:b/>
          <w:bCs/>
        </w:rPr>
        <w:t>Comunicaciones.</w:t>
      </w:r>
      <w:r w:rsidR="00EB4ABA">
        <w:rPr>
          <w:rFonts w:ascii="Bookman Old Style" w:hAnsi="Bookman Old Style" w:cs="Arial"/>
        </w:rPr>
        <w:t xml:space="preserve"> </w:t>
      </w:r>
      <w:r w:rsidRPr="0086458B">
        <w:rPr>
          <w:rFonts w:ascii="Bookman Old Style" w:hAnsi="Bookman Old Style" w:cs="Arial"/>
        </w:rPr>
        <w:t xml:space="preserve">Comunicar a la Superintendencia de Servicios Públicos </w:t>
      </w:r>
      <w:r w:rsidR="002C6F28" w:rsidRPr="00430815">
        <w:rPr>
          <w:rFonts w:ascii="Bookman Old Style" w:hAnsi="Bookman Old Style" w:cs="Arial"/>
        </w:rPr>
        <w:t>D</w:t>
      </w:r>
      <w:r w:rsidRPr="00430815">
        <w:rPr>
          <w:rFonts w:ascii="Bookman Old Style" w:hAnsi="Bookman Old Style" w:cs="Arial"/>
        </w:rPr>
        <w:t xml:space="preserve">omiciliarios </w:t>
      </w:r>
      <w:r w:rsidR="00A51E15" w:rsidRPr="00430815">
        <w:rPr>
          <w:rFonts w:ascii="Bookman Old Style" w:hAnsi="Bookman Old Style" w:cs="Arial"/>
        </w:rPr>
        <w:t>y a la Gobernación de Vaupés</w:t>
      </w:r>
      <w:r w:rsidR="00A51E15" w:rsidRPr="0086458B">
        <w:rPr>
          <w:rFonts w:ascii="Bookman Old Style" w:hAnsi="Bookman Old Style" w:cs="Arial"/>
        </w:rPr>
        <w:t xml:space="preserve"> </w:t>
      </w:r>
      <w:r w:rsidRPr="0086458B">
        <w:rPr>
          <w:rFonts w:ascii="Bookman Old Style" w:hAnsi="Bookman Old Style" w:cs="Arial"/>
        </w:rPr>
        <w:t>el contenido de la presente resolución para lo de su competencia.</w:t>
      </w:r>
    </w:p>
    <w:p w14:paraId="44DAB753" w14:textId="77777777" w:rsidR="00CF661B" w:rsidRPr="00225865" w:rsidRDefault="00CF661B" w:rsidP="00E57F55">
      <w:pPr>
        <w:ind w:left="284" w:right="142"/>
        <w:contextualSpacing/>
        <w:jc w:val="both"/>
        <w:rPr>
          <w:rFonts w:ascii="Bookman Old Style" w:hAnsi="Bookman Old Style" w:cs="Arial"/>
          <w:sz w:val="36"/>
          <w:szCs w:val="36"/>
        </w:rPr>
      </w:pPr>
    </w:p>
    <w:p w14:paraId="2B708D62" w14:textId="128AB8D2" w:rsidR="00903C58" w:rsidRPr="0086458B" w:rsidRDefault="008F1D89" w:rsidP="00E57F55">
      <w:pPr>
        <w:ind w:left="284" w:right="142"/>
        <w:contextualSpacing/>
        <w:jc w:val="both"/>
        <w:rPr>
          <w:rFonts w:ascii="Bookman Old Style" w:hAnsi="Bookman Old Style" w:cs="Arial"/>
        </w:rPr>
      </w:pPr>
      <w:r w:rsidRPr="0086458B">
        <w:rPr>
          <w:rFonts w:ascii="Bookman Old Style" w:hAnsi="Bookman Old Style" w:cs="Arial"/>
          <w:b/>
        </w:rPr>
        <w:t xml:space="preserve">ARTÍCULO </w:t>
      </w:r>
      <w:r w:rsidR="00AB653B">
        <w:rPr>
          <w:rFonts w:ascii="Bookman Old Style" w:hAnsi="Bookman Old Style" w:cs="Arial"/>
          <w:b/>
        </w:rPr>
        <w:t>5</w:t>
      </w:r>
      <w:r w:rsidRPr="0086458B">
        <w:rPr>
          <w:rFonts w:ascii="Bookman Old Style" w:hAnsi="Bookman Old Style" w:cs="Arial"/>
          <w:b/>
        </w:rPr>
        <w:t xml:space="preserve">. </w:t>
      </w:r>
      <w:r w:rsidR="00BB1810">
        <w:rPr>
          <w:rFonts w:ascii="Bookman Old Style" w:hAnsi="Bookman Old Style" w:cs="Arial"/>
          <w:b/>
        </w:rPr>
        <w:t>R</w:t>
      </w:r>
      <w:r w:rsidR="00BB1810" w:rsidRPr="00BB1810">
        <w:rPr>
          <w:rFonts w:ascii="Bookman Old Style" w:hAnsi="Bookman Old Style" w:cs="Arial"/>
          <w:b/>
        </w:rPr>
        <w:t>ecurso de reposición</w:t>
      </w:r>
      <w:r w:rsidR="00BB1810">
        <w:rPr>
          <w:rFonts w:ascii="Bookman Old Style" w:hAnsi="Bookman Old Style" w:cs="Arial"/>
          <w:b/>
        </w:rPr>
        <w:t>.</w:t>
      </w:r>
      <w:r w:rsidR="00BB1810" w:rsidRPr="00BB1810">
        <w:rPr>
          <w:rFonts w:ascii="Bookman Old Style" w:hAnsi="Bookman Old Style" w:cs="Arial"/>
          <w:b/>
        </w:rPr>
        <w:t xml:space="preserve"> </w:t>
      </w:r>
      <w:r w:rsidRPr="0086458B">
        <w:rPr>
          <w:rFonts w:ascii="Bookman Old Style" w:hAnsi="Bookman Old Style" w:cs="Arial"/>
        </w:rPr>
        <w:t>En c</w:t>
      </w:r>
      <w:r w:rsidR="00903C58" w:rsidRPr="0086458B">
        <w:rPr>
          <w:rFonts w:ascii="Bookman Old Style" w:hAnsi="Bookman Old Style" w:cs="Arial"/>
        </w:rPr>
        <w:t>ontra</w:t>
      </w:r>
      <w:r w:rsidRPr="0086458B">
        <w:rPr>
          <w:rFonts w:ascii="Bookman Old Style" w:hAnsi="Bookman Old Style" w:cs="Arial"/>
        </w:rPr>
        <w:t xml:space="preserve"> de</w:t>
      </w:r>
      <w:r w:rsidR="00903C58" w:rsidRPr="0086458B">
        <w:rPr>
          <w:rFonts w:ascii="Bookman Old Style" w:hAnsi="Bookman Old Style" w:cs="Arial"/>
        </w:rPr>
        <w:t xml:space="preserve"> lo dispuesto en </w:t>
      </w:r>
      <w:r w:rsidR="00BF1B50" w:rsidRPr="0086458B">
        <w:rPr>
          <w:rFonts w:ascii="Bookman Old Style" w:hAnsi="Bookman Old Style" w:cs="Arial"/>
        </w:rPr>
        <w:t>la</w:t>
      </w:r>
      <w:r w:rsidR="00903C58" w:rsidRPr="0086458B">
        <w:rPr>
          <w:rFonts w:ascii="Bookman Old Style" w:hAnsi="Bookman Old Style" w:cs="Arial"/>
        </w:rPr>
        <w:t xml:space="preserve"> presente </w:t>
      </w:r>
      <w:r w:rsidR="00BF1B50" w:rsidRPr="0086458B">
        <w:rPr>
          <w:rFonts w:ascii="Bookman Old Style" w:hAnsi="Bookman Old Style" w:cs="Arial"/>
        </w:rPr>
        <w:t>resolución</w:t>
      </w:r>
      <w:r w:rsidRPr="0086458B">
        <w:rPr>
          <w:rFonts w:ascii="Bookman Old Style" w:hAnsi="Bookman Old Style" w:cs="Arial"/>
        </w:rPr>
        <w:t>,</w:t>
      </w:r>
      <w:r w:rsidR="008D38DF" w:rsidRPr="0086458B">
        <w:rPr>
          <w:rFonts w:ascii="Bookman Old Style" w:hAnsi="Bookman Old Style" w:cs="Arial"/>
        </w:rPr>
        <w:t xml:space="preserve"> </w:t>
      </w:r>
      <w:r w:rsidR="00903C58" w:rsidRPr="0086458B">
        <w:rPr>
          <w:rFonts w:ascii="Bookman Old Style" w:hAnsi="Bookman Old Style" w:cs="Arial"/>
        </w:rPr>
        <w:t>procede recurso de reposición</w:t>
      </w:r>
      <w:r w:rsidR="008D38DF" w:rsidRPr="0086458B">
        <w:rPr>
          <w:rFonts w:ascii="Bookman Old Style" w:hAnsi="Bookman Old Style" w:cs="Arial"/>
        </w:rPr>
        <w:t>,</w:t>
      </w:r>
      <w:r w:rsidR="00903C58" w:rsidRPr="0086458B">
        <w:rPr>
          <w:rFonts w:ascii="Bookman Old Style" w:hAnsi="Bookman Old Style" w:cs="Arial"/>
        </w:rPr>
        <w:t xml:space="preserve"> el cual deberá interponerse ante la Dirección Ejecutiva de la CREG dentro de los cinco (5) días siguientes a su notificación</w:t>
      </w:r>
      <w:r w:rsidRPr="0086458B">
        <w:rPr>
          <w:rFonts w:ascii="Bookman Old Style" w:hAnsi="Bookman Old Style" w:cs="Arial"/>
        </w:rPr>
        <w:t xml:space="preserve">, conforme con lo establecido en </w:t>
      </w:r>
      <w:r w:rsidRPr="0ECC7FE6">
        <w:rPr>
          <w:rFonts w:ascii="Bookman Old Style" w:hAnsi="Bookman Old Style" w:cs="Arial"/>
        </w:rPr>
        <w:t>el artículo 113 de la Ley 142 de 1994.</w:t>
      </w:r>
    </w:p>
    <w:p w14:paraId="7BE324D8" w14:textId="77777777" w:rsidR="003027B1" w:rsidRDefault="003027B1" w:rsidP="00E57F55">
      <w:pPr>
        <w:ind w:left="284" w:right="142"/>
        <w:contextualSpacing/>
        <w:jc w:val="both"/>
        <w:rPr>
          <w:rFonts w:ascii="Bookman Old Style" w:hAnsi="Bookman Old Style" w:cs="Arial"/>
        </w:rPr>
      </w:pPr>
    </w:p>
    <w:p w14:paraId="4B377268" w14:textId="77777777" w:rsidR="00BB1810" w:rsidRPr="0086458B" w:rsidRDefault="00BB1810" w:rsidP="00E57F55">
      <w:pPr>
        <w:ind w:left="284" w:right="142"/>
        <w:contextualSpacing/>
        <w:jc w:val="both"/>
        <w:rPr>
          <w:rFonts w:ascii="Bookman Old Style" w:hAnsi="Bookman Old Style" w:cs="Arial"/>
        </w:rPr>
      </w:pPr>
    </w:p>
    <w:p w14:paraId="70C14FAB" w14:textId="58E14406" w:rsidR="00DE4BF8" w:rsidRPr="0086458B" w:rsidRDefault="00DE4BF8" w:rsidP="00E57F55">
      <w:pPr>
        <w:ind w:left="284" w:right="142"/>
        <w:contextualSpacing/>
        <w:jc w:val="center"/>
        <w:rPr>
          <w:rFonts w:ascii="Bookman Old Style" w:hAnsi="Bookman Old Style" w:cs="Arial"/>
          <w:b/>
        </w:rPr>
      </w:pPr>
      <w:r w:rsidRPr="0086458B">
        <w:rPr>
          <w:rFonts w:ascii="Bookman Old Style" w:hAnsi="Bookman Old Style" w:cs="Arial"/>
          <w:b/>
        </w:rPr>
        <w:t xml:space="preserve">NOTIFÍQUESE, </w:t>
      </w:r>
      <w:r w:rsidRPr="0086458B">
        <w:rPr>
          <w:rFonts w:ascii="Bookman Old Style" w:hAnsi="Bookman Old Style" w:cs="Arial"/>
          <w:b/>
          <w:bCs/>
        </w:rPr>
        <w:t>COMUNIQUESE, PUBLÍQUESE</w:t>
      </w:r>
      <w:r w:rsidRPr="0086458B">
        <w:rPr>
          <w:rFonts w:ascii="Bookman Old Style" w:hAnsi="Bookman Old Style" w:cs="Arial"/>
          <w:b/>
        </w:rPr>
        <w:t xml:space="preserve"> Y CÚMPLASE</w:t>
      </w:r>
    </w:p>
    <w:p w14:paraId="431A4F21" w14:textId="77777777" w:rsidR="00DE4BF8" w:rsidRDefault="00DE4BF8" w:rsidP="00E57F55">
      <w:pPr>
        <w:ind w:left="284" w:right="142"/>
        <w:contextualSpacing/>
        <w:rPr>
          <w:rFonts w:ascii="Bookman Old Style" w:hAnsi="Bookman Old Style" w:cs="Arial"/>
        </w:rPr>
      </w:pPr>
    </w:p>
    <w:p w14:paraId="398B7017" w14:textId="77777777" w:rsidR="00BB1810" w:rsidRPr="0086458B" w:rsidRDefault="00BB1810" w:rsidP="00E57F55">
      <w:pPr>
        <w:ind w:left="284" w:right="142"/>
        <w:contextualSpacing/>
        <w:rPr>
          <w:rFonts w:ascii="Bookman Old Style" w:hAnsi="Bookman Old Style" w:cs="Arial"/>
        </w:rPr>
      </w:pPr>
    </w:p>
    <w:p w14:paraId="635A7024" w14:textId="7672D9E6" w:rsidR="00881DFA" w:rsidRDefault="00881DFA" w:rsidP="00E57F55">
      <w:pPr>
        <w:ind w:left="284"/>
        <w:contextualSpacing/>
        <w:rPr>
          <w:rFonts w:ascii="Bookman Old Style" w:hAnsi="Bookman Old Style"/>
        </w:rPr>
      </w:pPr>
      <w:r w:rsidRPr="0086458B">
        <w:rPr>
          <w:rFonts w:ascii="Bookman Old Style" w:hAnsi="Bookman Old Style"/>
        </w:rPr>
        <w:t xml:space="preserve">Dada en Bogotá. D. C., </w:t>
      </w:r>
      <w:r w:rsidR="00851482" w:rsidRPr="00851482">
        <w:rPr>
          <w:rFonts w:ascii="Bookman Old Style" w:hAnsi="Bookman Old Style"/>
          <w:b/>
          <w:bCs/>
        </w:rPr>
        <w:t>16 MAR. 2022</w:t>
      </w:r>
    </w:p>
    <w:p w14:paraId="42BE8CF1" w14:textId="77777777" w:rsidR="00D1667E" w:rsidRDefault="00D1667E" w:rsidP="00E57F55">
      <w:pPr>
        <w:ind w:left="284"/>
        <w:contextualSpacing/>
        <w:rPr>
          <w:rFonts w:ascii="Bookman Old Style" w:hAnsi="Bookman Old Style"/>
        </w:rPr>
      </w:pPr>
    </w:p>
    <w:p w14:paraId="203A421C" w14:textId="77777777" w:rsidR="00D1667E" w:rsidRDefault="00D1667E" w:rsidP="00E57F55">
      <w:pPr>
        <w:ind w:left="284"/>
        <w:contextualSpacing/>
        <w:rPr>
          <w:rFonts w:ascii="Bookman Old Style" w:hAnsi="Bookman Old Style"/>
        </w:rPr>
      </w:pPr>
    </w:p>
    <w:p w14:paraId="438A3B41" w14:textId="77777777" w:rsidR="001B4D2B" w:rsidRDefault="001B4D2B" w:rsidP="00E57F55">
      <w:pPr>
        <w:ind w:left="284"/>
        <w:contextualSpacing/>
        <w:rPr>
          <w:rFonts w:ascii="Bookman Old Style" w:hAnsi="Bookman Old Style"/>
        </w:rPr>
      </w:pPr>
    </w:p>
    <w:p w14:paraId="009956A9" w14:textId="77777777" w:rsidR="00D1667E" w:rsidRDefault="00D1667E" w:rsidP="00E57F55">
      <w:pPr>
        <w:ind w:left="284"/>
        <w:contextualSpacing/>
        <w:rPr>
          <w:rFonts w:ascii="Bookman Old Style" w:hAnsi="Bookman Old Style"/>
        </w:rPr>
      </w:pPr>
    </w:p>
    <w:p w14:paraId="75FE1713" w14:textId="77777777" w:rsidR="00D1667E" w:rsidRDefault="00D1667E" w:rsidP="00E57F55">
      <w:pPr>
        <w:ind w:left="284"/>
        <w:contextualSpacing/>
        <w:rPr>
          <w:rFonts w:ascii="Bookman Old Style" w:hAnsi="Bookman Old Style"/>
        </w:rPr>
      </w:pPr>
    </w:p>
    <w:tbl>
      <w:tblPr>
        <w:tblW w:w="9389" w:type="dxa"/>
        <w:tblCellSpacing w:w="0" w:type="dxa"/>
        <w:tblInd w:w="258" w:type="dxa"/>
        <w:tblCellMar>
          <w:left w:w="0" w:type="dxa"/>
          <w:right w:w="0" w:type="dxa"/>
        </w:tblCellMar>
        <w:tblLook w:val="04A0" w:firstRow="1" w:lastRow="0" w:firstColumn="1" w:lastColumn="0" w:noHBand="0" w:noVBand="1"/>
      </w:tblPr>
      <w:tblGrid>
        <w:gridCol w:w="4763"/>
        <w:gridCol w:w="4626"/>
      </w:tblGrid>
      <w:tr w:rsidR="00D1667E" w:rsidRPr="0086458B" w14:paraId="2E4549AA" w14:textId="77777777" w:rsidTr="002375B3">
        <w:trPr>
          <w:trHeight w:val="279"/>
          <w:tblCellSpacing w:w="0" w:type="dxa"/>
        </w:trPr>
        <w:tc>
          <w:tcPr>
            <w:tcW w:w="4763" w:type="dxa"/>
          </w:tcPr>
          <w:p w14:paraId="0A1F628B" w14:textId="77777777" w:rsidR="00D1667E" w:rsidRPr="0086458B" w:rsidRDefault="00D1667E" w:rsidP="002375B3">
            <w:pPr>
              <w:ind w:left="66"/>
              <w:contextualSpacing/>
              <w:jc w:val="center"/>
              <w:rPr>
                <w:rFonts w:ascii="Bookman Old Style" w:hAnsi="Bookman Old Style" w:cs="Arial"/>
                <w:b/>
                <w:spacing w:val="-3"/>
              </w:rPr>
            </w:pPr>
            <w:r w:rsidRPr="0086458B">
              <w:rPr>
                <w:rFonts w:ascii="Bookman Old Style" w:hAnsi="Bookman Old Style" w:cs="Arial"/>
                <w:b/>
              </w:rPr>
              <w:t>DIEGO MESA PUYO</w:t>
            </w:r>
          </w:p>
        </w:tc>
        <w:tc>
          <w:tcPr>
            <w:tcW w:w="4626" w:type="dxa"/>
          </w:tcPr>
          <w:p w14:paraId="71142E68" w14:textId="77777777" w:rsidR="00D1667E" w:rsidRPr="0086458B" w:rsidRDefault="00D1667E" w:rsidP="002375B3">
            <w:pPr>
              <w:ind w:left="89"/>
              <w:contextualSpacing/>
              <w:jc w:val="center"/>
              <w:rPr>
                <w:rFonts w:ascii="Bookman Old Style" w:hAnsi="Bookman Old Style" w:cs="Arial"/>
                <w:b/>
                <w:spacing w:val="-3"/>
              </w:rPr>
            </w:pPr>
            <w:r w:rsidRPr="0086458B">
              <w:rPr>
                <w:rFonts w:ascii="Bookman Old Style" w:hAnsi="Bookman Old Style" w:cs="Arial"/>
                <w:b/>
                <w:spacing w:val="-3"/>
              </w:rPr>
              <w:t>JORGE ALBERTO VALENCIA MARÍN</w:t>
            </w:r>
          </w:p>
        </w:tc>
      </w:tr>
      <w:tr w:rsidR="00D1667E" w:rsidRPr="0086458B" w14:paraId="6B5AE13C" w14:textId="77777777" w:rsidTr="002375B3">
        <w:trPr>
          <w:trHeight w:val="224"/>
          <w:tblCellSpacing w:w="0" w:type="dxa"/>
        </w:trPr>
        <w:tc>
          <w:tcPr>
            <w:tcW w:w="4763" w:type="dxa"/>
            <w:hideMark/>
          </w:tcPr>
          <w:p w14:paraId="3327B83B" w14:textId="77777777" w:rsidR="00D1667E" w:rsidRPr="0086458B" w:rsidRDefault="00D1667E" w:rsidP="002375B3">
            <w:pPr>
              <w:ind w:left="66"/>
              <w:contextualSpacing/>
              <w:jc w:val="center"/>
              <w:rPr>
                <w:rFonts w:ascii="Bookman Old Style" w:eastAsia="Arial Unicode MS" w:hAnsi="Bookman Old Style" w:cs="Arial"/>
                <w:color w:val="000000"/>
              </w:rPr>
            </w:pPr>
            <w:r w:rsidRPr="0086458B">
              <w:rPr>
                <w:rFonts w:ascii="Bookman Old Style" w:hAnsi="Bookman Old Style" w:cs="Arial"/>
                <w:spacing w:val="-3"/>
              </w:rPr>
              <w:t>Ministro de Minas y Energía</w:t>
            </w:r>
          </w:p>
        </w:tc>
        <w:tc>
          <w:tcPr>
            <w:tcW w:w="4626" w:type="dxa"/>
            <w:hideMark/>
          </w:tcPr>
          <w:p w14:paraId="15D36F20" w14:textId="77777777" w:rsidR="00D1667E" w:rsidRPr="0086458B" w:rsidRDefault="00D1667E" w:rsidP="002375B3">
            <w:pPr>
              <w:contextualSpacing/>
              <w:jc w:val="center"/>
              <w:rPr>
                <w:rFonts w:ascii="Bookman Old Style" w:eastAsia="Arial Unicode MS" w:hAnsi="Bookman Old Style" w:cs="Arial"/>
                <w:color w:val="000000"/>
              </w:rPr>
            </w:pPr>
            <w:r w:rsidRPr="0086458B">
              <w:rPr>
                <w:rFonts w:ascii="Bookman Old Style" w:hAnsi="Bookman Old Style" w:cs="Arial"/>
                <w:spacing w:val="-3"/>
              </w:rPr>
              <w:t>Director Ejecutivo</w:t>
            </w:r>
          </w:p>
        </w:tc>
      </w:tr>
      <w:tr w:rsidR="00D1667E" w:rsidRPr="0086458B" w14:paraId="60BCEF11" w14:textId="77777777" w:rsidTr="002375B3">
        <w:trPr>
          <w:trHeight w:val="277"/>
          <w:tblCellSpacing w:w="0" w:type="dxa"/>
        </w:trPr>
        <w:tc>
          <w:tcPr>
            <w:tcW w:w="4763" w:type="dxa"/>
            <w:hideMark/>
          </w:tcPr>
          <w:p w14:paraId="187FA6FF" w14:textId="77777777" w:rsidR="00D1667E" w:rsidRPr="0086458B" w:rsidRDefault="00D1667E" w:rsidP="002375B3">
            <w:pPr>
              <w:ind w:left="66"/>
              <w:contextualSpacing/>
              <w:jc w:val="center"/>
              <w:rPr>
                <w:rFonts w:ascii="Bookman Old Style" w:eastAsia="Arial Unicode MS" w:hAnsi="Bookman Old Style" w:cs="Arial"/>
                <w:color w:val="000000"/>
              </w:rPr>
            </w:pPr>
            <w:r w:rsidRPr="0086458B">
              <w:rPr>
                <w:rFonts w:ascii="Bookman Old Style" w:hAnsi="Bookman Old Style" w:cs="Arial"/>
                <w:spacing w:val="-3"/>
              </w:rPr>
              <w:t>Presidente</w:t>
            </w:r>
          </w:p>
        </w:tc>
        <w:tc>
          <w:tcPr>
            <w:tcW w:w="4626" w:type="dxa"/>
          </w:tcPr>
          <w:p w14:paraId="74364333" w14:textId="77777777" w:rsidR="00D1667E" w:rsidRPr="0086458B" w:rsidRDefault="00D1667E" w:rsidP="002375B3">
            <w:pPr>
              <w:contextualSpacing/>
              <w:jc w:val="center"/>
              <w:rPr>
                <w:rFonts w:ascii="Bookman Old Style" w:eastAsia="Arial Unicode MS" w:hAnsi="Bookman Old Style" w:cs="Arial"/>
                <w:color w:val="000000"/>
              </w:rPr>
            </w:pPr>
          </w:p>
        </w:tc>
      </w:tr>
    </w:tbl>
    <w:p w14:paraId="54D38BF2" w14:textId="77777777" w:rsidR="00D1667E" w:rsidRPr="0086458B" w:rsidRDefault="00D1667E" w:rsidP="00E57F55">
      <w:pPr>
        <w:ind w:left="284"/>
        <w:contextualSpacing/>
        <w:rPr>
          <w:rFonts w:ascii="Bookman Old Style" w:hAnsi="Bookman Old Style"/>
        </w:rPr>
      </w:pPr>
    </w:p>
    <w:sectPr w:rsidR="00D1667E" w:rsidRPr="0086458B" w:rsidSect="00727040">
      <w:headerReference w:type="default" r:id="rId13"/>
      <w:headerReference w:type="first" r:id="rId14"/>
      <w:type w:val="continuous"/>
      <w:pgSz w:w="12242" w:h="18722" w:code="123"/>
      <w:pgMar w:top="1701" w:right="1185"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87E2" w14:textId="77777777" w:rsidR="002D170F" w:rsidRDefault="002D170F">
      <w:r>
        <w:separator/>
      </w:r>
    </w:p>
  </w:endnote>
  <w:endnote w:type="continuationSeparator" w:id="0">
    <w:p w14:paraId="66AA1E81" w14:textId="77777777" w:rsidR="002D170F" w:rsidRDefault="002D170F">
      <w:r>
        <w:continuationSeparator/>
      </w:r>
    </w:p>
  </w:endnote>
  <w:endnote w:type="continuationNotice" w:id="1">
    <w:p w14:paraId="53CE3EC4" w14:textId="77777777" w:rsidR="002D170F" w:rsidRDefault="002D1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1DC1" w14:textId="77777777" w:rsidR="002D170F" w:rsidRDefault="002D170F">
      <w:r>
        <w:separator/>
      </w:r>
    </w:p>
  </w:footnote>
  <w:footnote w:type="continuationSeparator" w:id="0">
    <w:p w14:paraId="09DAD880" w14:textId="77777777" w:rsidR="002D170F" w:rsidRDefault="002D170F">
      <w:r>
        <w:continuationSeparator/>
      </w:r>
    </w:p>
  </w:footnote>
  <w:footnote w:type="continuationNotice" w:id="1">
    <w:p w14:paraId="2AB4783F" w14:textId="77777777" w:rsidR="002D170F" w:rsidRDefault="002D170F"/>
  </w:footnote>
  <w:footnote w:id="2">
    <w:p w14:paraId="2CA7DD21" w14:textId="5129E9E3" w:rsidR="0015072F" w:rsidRPr="00B24638" w:rsidRDefault="0015072F">
      <w:pPr>
        <w:pStyle w:val="Textonotapie"/>
        <w:rPr>
          <w:rFonts w:cs="Arial"/>
          <w:i/>
          <w:color w:val="333333"/>
          <w:sz w:val="16"/>
          <w:szCs w:val="16"/>
        </w:rPr>
      </w:pPr>
      <w:r w:rsidRPr="00B24638">
        <w:rPr>
          <w:rStyle w:val="Refdenotaalpie"/>
          <w:i/>
          <w:sz w:val="16"/>
          <w:szCs w:val="16"/>
        </w:rPr>
        <w:footnoteRef/>
      </w:r>
      <w:r w:rsidRPr="00B24638">
        <w:rPr>
          <w:i/>
          <w:sz w:val="16"/>
          <w:szCs w:val="16"/>
        </w:rPr>
        <w:t xml:space="preserve"> Art 38 “</w:t>
      </w:r>
      <w:r w:rsidRPr="00B24638">
        <w:rPr>
          <w:i/>
          <w:sz w:val="16"/>
          <w:szCs w:val="16"/>
          <w:lang w:val="es-CO"/>
        </w:rPr>
        <w:t xml:space="preserve">Intervención de Terceros” </w:t>
      </w:r>
      <w:r w:rsidRPr="00B24638">
        <w:rPr>
          <w:rFonts w:cs="Arial"/>
          <w:i/>
          <w:color w:val="333333"/>
          <w:sz w:val="16"/>
          <w:szCs w:val="16"/>
        </w:rPr>
        <w:t>Los terceros podrán intervenir en las actuaciones administrativas con los mismos derechos, deberes y responsabilidades de quienes son parte interesada, en los siguientes casos:</w:t>
      </w:r>
      <w:r w:rsidR="00AC00FE">
        <w:rPr>
          <w:rFonts w:cs="Arial"/>
          <w:i/>
          <w:color w:val="333333"/>
          <w:sz w:val="16"/>
          <w:szCs w:val="16"/>
        </w:rPr>
        <w:t xml:space="preserve"> </w:t>
      </w:r>
      <w:r w:rsidRPr="00B24638">
        <w:rPr>
          <w:rFonts w:cs="Arial"/>
          <w:i/>
          <w:color w:val="333333"/>
          <w:sz w:val="16"/>
          <w:szCs w:val="16"/>
        </w:rPr>
        <w:t>(…)</w:t>
      </w:r>
    </w:p>
    <w:p w14:paraId="77A055B7" w14:textId="210BA674" w:rsidR="0015072F" w:rsidRPr="00B24638" w:rsidRDefault="0015072F">
      <w:pPr>
        <w:pStyle w:val="Textonotapie"/>
        <w:rPr>
          <w:rFonts w:cs="Arial"/>
          <w:i/>
          <w:color w:val="333333"/>
          <w:sz w:val="16"/>
          <w:szCs w:val="16"/>
        </w:rPr>
      </w:pPr>
      <w:r w:rsidRPr="00B24638">
        <w:rPr>
          <w:rFonts w:cs="Arial"/>
          <w:i/>
          <w:color w:val="333333"/>
          <w:sz w:val="16"/>
          <w:szCs w:val="16"/>
        </w:rPr>
        <w:t>2. Cuando sus derechos o su situación jurídica puedan resultar afectados con la actuación administrativa adelantada en interés particular, o cuando la decisión que sobre ella recaiga pueda ocasionarles perjuicios</w:t>
      </w:r>
      <w:r>
        <w:rPr>
          <w:rFonts w:cs="Arial"/>
          <w:i/>
          <w:color w:val="333333"/>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28A8" w14:textId="538EC701" w:rsidR="0015072F" w:rsidRDefault="0015072F" w:rsidP="00D44ABD">
    <w:pPr>
      <w:ind w:left="142" w:right="142"/>
      <w:rPr>
        <w:rFonts w:ascii="Bookman Old Style" w:hAnsi="Bookman Old Style"/>
        <w:lang w:val="es-CO" w:eastAsia="es-ES_tradnl"/>
      </w:rPr>
    </w:pPr>
    <w:r>
      <w:rPr>
        <w:rFonts w:ascii="Bookman Old Style" w:hAnsi="Bookman Old Style"/>
      </w:rPr>
      <w:t>RESOLUCIÓN No.</w:t>
    </w:r>
    <w:r w:rsidR="00E726B1">
      <w:rPr>
        <w:rFonts w:ascii="Bookman Old Style" w:hAnsi="Bookman Old Style"/>
      </w:rPr>
      <w:t xml:space="preserve"> </w:t>
    </w:r>
    <w:r w:rsidR="00E726B1">
      <w:rPr>
        <w:rFonts w:ascii="Bookman Old Style" w:hAnsi="Bookman Old Style"/>
        <w:b/>
        <w:bCs/>
        <w:u w:val="single"/>
      </w:rPr>
      <w:t xml:space="preserve">501 </w:t>
    </w:r>
    <w:r w:rsidR="00F0656E">
      <w:rPr>
        <w:rFonts w:ascii="Bookman Old Style" w:hAnsi="Bookman Old Style"/>
        <w:b/>
        <w:bCs/>
        <w:u w:val="single"/>
      </w:rPr>
      <w:t>02</w:t>
    </w:r>
    <w:r w:rsidR="00AA3E78">
      <w:rPr>
        <w:rFonts w:ascii="Bookman Old Style" w:hAnsi="Bookman Old Style"/>
        <w:b/>
        <w:bCs/>
        <w:u w:val="single"/>
      </w:rPr>
      <w:t>6</w:t>
    </w:r>
    <w:r w:rsidR="00F0656E">
      <w:rPr>
        <w:rFonts w:ascii="Bookman Old Style" w:hAnsi="Bookman Old Style"/>
        <w:b/>
        <w:bCs/>
        <w:u w:val="single"/>
      </w:rPr>
      <w:t>A</w:t>
    </w:r>
    <w:r>
      <w:rPr>
        <w:rFonts w:ascii="Bookman Old Style" w:hAnsi="Bookman Old Style"/>
      </w:rPr>
      <w:t xml:space="preserve">   DE    </w:t>
    </w:r>
    <w:r w:rsidR="00F0656E">
      <w:rPr>
        <w:rFonts w:ascii="Bookman Old Style" w:hAnsi="Bookman Old Style"/>
        <w:b/>
        <w:u w:val="single"/>
      </w:rPr>
      <w:t>16 MAR. 2022</w:t>
    </w:r>
    <w:r>
      <w:rPr>
        <w:rFonts w:ascii="Bookman Old Style" w:hAnsi="Bookman Old Style"/>
      </w:rPr>
      <w:t xml:space="preserve">          HOJA No. </w:t>
    </w:r>
    <w:r>
      <w:rPr>
        <w:rFonts w:ascii="Bookman Old Style" w:hAnsi="Bookman Old Style"/>
      </w:rPr>
      <w:fldChar w:fldCharType="begin"/>
    </w:r>
    <w:r>
      <w:rPr>
        <w:rFonts w:ascii="Bookman Old Style" w:hAnsi="Bookman Old Style"/>
      </w:rPr>
      <w:instrText xml:space="preserve"> PAGE   \* MERGEFORMAT </w:instrText>
    </w:r>
    <w:r>
      <w:rPr>
        <w:rFonts w:ascii="Bookman Old Style" w:hAnsi="Bookman Old Style"/>
      </w:rPr>
      <w:fldChar w:fldCharType="separate"/>
    </w:r>
    <w:r w:rsidR="00A31DDE">
      <w:rPr>
        <w:rFonts w:ascii="Bookman Old Style" w:hAnsi="Bookman Old Style"/>
        <w:noProof/>
      </w:rPr>
      <w:t>47</w:t>
    </w:r>
    <w:r>
      <w:rPr>
        <w:rFonts w:ascii="Bookman Old Style" w:hAnsi="Bookman Old Style"/>
      </w:rPr>
      <w:fldChar w:fldCharType="end"/>
    </w:r>
    <w:r>
      <w:rPr>
        <w:rFonts w:ascii="Bookman Old Style" w:hAnsi="Bookman Old Style"/>
      </w:rPr>
      <w:t>/</w:t>
    </w:r>
    <w:r>
      <w:rPr>
        <w:rFonts w:ascii="Bookman Old Style" w:hAnsi="Bookman Old Style"/>
      </w:rPr>
      <w:fldChar w:fldCharType="begin"/>
    </w:r>
    <w:r>
      <w:rPr>
        <w:rFonts w:ascii="Bookman Old Style" w:hAnsi="Bookman Old Style"/>
      </w:rPr>
      <w:instrText>NUMPAGES  \* MERGEFORMAT</w:instrText>
    </w:r>
    <w:r>
      <w:rPr>
        <w:rFonts w:ascii="Bookman Old Style" w:hAnsi="Bookman Old Style"/>
      </w:rPr>
      <w:fldChar w:fldCharType="separate"/>
    </w:r>
    <w:r w:rsidR="00A31DDE">
      <w:rPr>
        <w:rFonts w:ascii="Bookman Old Style" w:hAnsi="Bookman Old Style"/>
        <w:noProof/>
      </w:rPr>
      <w:t>49</w:t>
    </w:r>
    <w:r>
      <w:rPr>
        <w:rFonts w:ascii="Bookman Old Style" w:hAnsi="Bookman Old Style"/>
      </w:rPr>
      <w:fldChar w:fldCharType="end"/>
    </w:r>
  </w:p>
  <w:p w14:paraId="6279FA08" w14:textId="77777777" w:rsidR="0015072F" w:rsidRDefault="0015072F" w:rsidP="00785EA0">
    <w:pPr>
      <w:pStyle w:val="Textodebloque"/>
      <w:ind w:left="284" w:right="142"/>
      <w:contextualSpacing/>
      <w:rPr>
        <w:rFonts w:ascii="Bookman Old Style" w:hAnsi="Bookman Old Style" w:cs="Arial"/>
        <w:szCs w:val="24"/>
      </w:rPr>
    </w:pPr>
    <w:r>
      <w:rPr>
        <w:noProof/>
        <w:lang w:val="en-US" w:eastAsia="en-US"/>
      </w:rPr>
      <mc:AlternateContent>
        <mc:Choice Requires="wps">
          <w:drawing>
            <wp:anchor distT="0" distB="0" distL="114300" distR="114300" simplePos="0" relativeHeight="251658240" behindDoc="0" locked="0" layoutInCell="1" allowOverlap="1" wp14:anchorId="4489AA18" wp14:editId="187326DF">
              <wp:simplePos x="0" y="0"/>
              <wp:positionH relativeFrom="column">
                <wp:posOffset>-7172</wp:posOffset>
              </wp:positionH>
              <wp:positionV relativeFrom="paragraph">
                <wp:posOffset>142405</wp:posOffset>
              </wp:positionV>
              <wp:extent cx="6342380" cy="10063686"/>
              <wp:effectExtent l="0" t="0" r="2032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10063686"/>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64A24C">
            <v:rect id="Rectangle 4" style="position:absolute;margin-left:-.55pt;margin-top:11.2pt;width:499.4pt;height:7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73AD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"/>
          </w:pict>
        </mc:Fallback>
      </mc:AlternateContent>
    </w:r>
    <w:r w:rsidRPr="00507115">
      <w:rPr>
        <w:rFonts w:ascii="Bookman Old Style" w:hAnsi="Bookman Old Style" w:cs="Arial"/>
        <w:szCs w:val="24"/>
      </w:rPr>
      <w:t xml:space="preserve"> </w:t>
    </w:r>
  </w:p>
  <w:p w14:paraId="55D244F9" w14:textId="40B9DFC8" w:rsidR="00A170C8" w:rsidRDefault="00AA3E78" w:rsidP="00AA3E78">
    <w:pPr>
      <w:pStyle w:val="Textodebloque"/>
      <w:pBdr>
        <w:bottom w:val="single" w:sz="4" w:space="1" w:color="auto"/>
      </w:pBdr>
      <w:spacing w:after="0"/>
      <w:ind w:left="284" w:right="142"/>
      <w:contextualSpacing/>
      <w:rPr>
        <w:rFonts w:ascii="Bookman Old Style" w:hAnsi="Bookman Old Style" w:cs="Arial"/>
        <w:lang w:val="es-ES"/>
      </w:rPr>
    </w:pPr>
    <w:r w:rsidRPr="0086458B">
      <w:rPr>
        <w:rFonts w:ascii="Bookman Old Style" w:hAnsi="Bookman Old Style" w:cs="Arial"/>
      </w:rPr>
      <w:t>Por la cual se resuelve una solicitud de imposición de servidumbre de conexión</w:t>
    </w:r>
    <w:r w:rsidR="0015072F" w:rsidRPr="2BE60576">
      <w:rPr>
        <w:rFonts w:ascii="Bookman Old Style" w:hAnsi="Bookman Old Style" w:cs="Arial"/>
        <w:lang w:val="es-ES"/>
      </w:rPr>
      <w:t>.</w:t>
    </w:r>
  </w:p>
  <w:p w14:paraId="0ED53FF4" w14:textId="77777777" w:rsidR="005A7C95" w:rsidRPr="00785EA0" w:rsidRDefault="005A7C95" w:rsidP="00785EA0">
    <w:pPr>
      <w:pStyle w:val="Textodebloque"/>
      <w:pBdr>
        <w:bottom w:val="single" w:sz="4" w:space="1" w:color="auto"/>
      </w:pBdr>
      <w:spacing w:after="0"/>
      <w:ind w:left="284" w:right="142"/>
      <w:contextualSpacing/>
      <w:jc w:val="center"/>
      <w:rPr>
        <w:rFonts w:ascii="Bookman Old Style" w:hAnsi="Bookman Old Style"/>
        <w:sz w:val="12"/>
        <w:lang w:val="es-ES"/>
      </w:rPr>
    </w:pPr>
  </w:p>
  <w:p w14:paraId="672C7871" w14:textId="77777777" w:rsidR="0015072F" w:rsidRDefault="0015072F" w:rsidP="001D7549">
    <w:pPr>
      <w:pStyle w:val="Textodebloque"/>
      <w:spacing w:after="0"/>
      <w:ind w:left="284" w:right="142"/>
      <w:jc w:val="left"/>
      <w:rPr>
        <w:rFonts w:ascii="Bookman Old Style" w:hAnsi="Bookman Old Style"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5D" w14:textId="77777777" w:rsidR="0015072F" w:rsidRDefault="0015072F">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15072F" w:rsidRDefault="0015072F">
    <w:pPr>
      <w:pStyle w:val="Encabezado"/>
      <w:jc w:val="center"/>
      <w:rPr>
        <w:rFonts w:ascii="Arial" w:hAnsi="Arial" w:cs="Arial"/>
        <w:spacing w:val="20"/>
        <w:sz w:val="20"/>
      </w:rPr>
    </w:pPr>
  </w:p>
  <w:p w14:paraId="000510A4" w14:textId="77777777" w:rsidR="0015072F" w:rsidRDefault="0015072F" w:rsidP="00CA77FB">
    <w:pPr>
      <w:pStyle w:val="Encabezado"/>
      <w:jc w:val="center"/>
    </w:pPr>
    <w:r>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477189E">
            <v:rect id="Rectangle 5" style="position:absolute;margin-left:-.7pt;margin-top:17.7pt;width:496.7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793B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703"/>
    <w:multiLevelType w:val="hybridMultilevel"/>
    <w:tmpl w:val="FFFFFFFF"/>
    <w:lvl w:ilvl="0" w:tplc="408EF4A0">
      <w:start w:val="1"/>
      <w:numFmt w:val="bullet"/>
      <w:lvlText w:val="·"/>
      <w:lvlJc w:val="left"/>
      <w:pPr>
        <w:ind w:left="720" w:hanging="360"/>
      </w:pPr>
      <w:rPr>
        <w:rFonts w:ascii="Symbol" w:hAnsi="Symbol" w:hint="default"/>
      </w:rPr>
    </w:lvl>
    <w:lvl w:ilvl="1" w:tplc="4356A480">
      <w:start w:val="1"/>
      <w:numFmt w:val="bullet"/>
      <w:lvlText w:val="o"/>
      <w:lvlJc w:val="left"/>
      <w:pPr>
        <w:ind w:left="1440" w:hanging="360"/>
      </w:pPr>
      <w:rPr>
        <w:rFonts w:ascii="Courier New" w:hAnsi="Courier New" w:hint="default"/>
      </w:rPr>
    </w:lvl>
    <w:lvl w:ilvl="2" w:tplc="6D5837FC">
      <w:start w:val="1"/>
      <w:numFmt w:val="bullet"/>
      <w:lvlText w:val=""/>
      <w:lvlJc w:val="left"/>
      <w:pPr>
        <w:ind w:left="2160" w:hanging="360"/>
      </w:pPr>
      <w:rPr>
        <w:rFonts w:ascii="Wingdings" w:hAnsi="Wingdings" w:hint="default"/>
      </w:rPr>
    </w:lvl>
    <w:lvl w:ilvl="3" w:tplc="3A6C975A">
      <w:start w:val="1"/>
      <w:numFmt w:val="bullet"/>
      <w:lvlText w:val=""/>
      <w:lvlJc w:val="left"/>
      <w:pPr>
        <w:ind w:left="2880" w:hanging="360"/>
      </w:pPr>
      <w:rPr>
        <w:rFonts w:ascii="Symbol" w:hAnsi="Symbol" w:hint="default"/>
      </w:rPr>
    </w:lvl>
    <w:lvl w:ilvl="4" w:tplc="D31A0982">
      <w:start w:val="1"/>
      <w:numFmt w:val="bullet"/>
      <w:lvlText w:val="o"/>
      <w:lvlJc w:val="left"/>
      <w:pPr>
        <w:ind w:left="3600" w:hanging="360"/>
      </w:pPr>
      <w:rPr>
        <w:rFonts w:ascii="Courier New" w:hAnsi="Courier New" w:hint="default"/>
      </w:rPr>
    </w:lvl>
    <w:lvl w:ilvl="5" w:tplc="103062EE">
      <w:start w:val="1"/>
      <w:numFmt w:val="bullet"/>
      <w:lvlText w:val=""/>
      <w:lvlJc w:val="left"/>
      <w:pPr>
        <w:ind w:left="4320" w:hanging="360"/>
      </w:pPr>
      <w:rPr>
        <w:rFonts w:ascii="Wingdings" w:hAnsi="Wingdings" w:hint="default"/>
      </w:rPr>
    </w:lvl>
    <w:lvl w:ilvl="6" w:tplc="C4C2DDAC">
      <w:start w:val="1"/>
      <w:numFmt w:val="bullet"/>
      <w:lvlText w:val=""/>
      <w:lvlJc w:val="left"/>
      <w:pPr>
        <w:ind w:left="5040" w:hanging="360"/>
      </w:pPr>
      <w:rPr>
        <w:rFonts w:ascii="Symbol" w:hAnsi="Symbol" w:hint="default"/>
      </w:rPr>
    </w:lvl>
    <w:lvl w:ilvl="7" w:tplc="CDD61762">
      <w:start w:val="1"/>
      <w:numFmt w:val="bullet"/>
      <w:lvlText w:val="o"/>
      <w:lvlJc w:val="left"/>
      <w:pPr>
        <w:ind w:left="5760" w:hanging="360"/>
      </w:pPr>
      <w:rPr>
        <w:rFonts w:ascii="Courier New" w:hAnsi="Courier New" w:hint="default"/>
      </w:rPr>
    </w:lvl>
    <w:lvl w:ilvl="8" w:tplc="4EBA8DFA">
      <w:start w:val="1"/>
      <w:numFmt w:val="bullet"/>
      <w:lvlText w:val=""/>
      <w:lvlJc w:val="left"/>
      <w:pPr>
        <w:ind w:left="6480" w:hanging="360"/>
      </w:pPr>
      <w:rPr>
        <w:rFonts w:ascii="Wingdings" w:hAnsi="Wingdings" w:hint="default"/>
      </w:rPr>
    </w:lvl>
  </w:abstractNum>
  <w:abstractNum w:abstractNumId="1" w15:restartNumberingAfterBreak="0">
    <w:nsid w:val="04764B15"/>
    <w:multiLevelType w:val="hybridMultilevel"/>
    <w:tmpl w:val="4FBC717E"/>
    <w:lvl w:ilvl="0" w:tplc="7B46CCE4">
      <w:start w:val="1"/>
      <w:numFmt w:val="upperLetter"/>
      <w:lvlText w:val="%1."/>
      <w:lvlJc w:val="left"/>
      <w:pPr>
        <w:ind w:left="720" w:hanging="360"/>
      </w:pPr>
    </w:lvl>
    <w:lvl w:ilvl="1" w:tplc="BB4CD628">
      <w:start w:val="1"/>
      <w:numFmt w:val="lowerLetter"/>
      <w:lvlText w:val="%2."/>
      <w:lvlJc w:val="left"/>
      <w:pPr>
        <w:ind w:left="1440" w:hanging="360"/>
      </w:pPr>
    </w:lvl>
    <w:lvl w:ilvl="2" w:tplc="5C1E5692">
      <w:start w:val="1"/>
      <w:numFmt w:val="lowerRoman"/>
      <w:lvlText w:val="%3."/>
      <w:lvlJc w:val="right"/>
      <w:pPr>
        <w:ind w:left="2160" w:hanging="180"/>
      </w:pPr>
    </w:lvl>
    <w:lvl w:ilvl="3" w:tplc="99B8A48A">
      <w:start w:val="1"/>
      <w:numFmt w:val="decimal"/>
      <w:lvlText w:val="%4."/>
      <w:lvlJc w:val="left"/>
      <w:pPr>
        <w:ind w:left="2880" w:hanging="360"/>
      </w:pPr>
    </w:lvl>
    <w:lvl w:ilvl="4" w:tplc="BA6E7FE6">
      <w:start w:val="1"/>
      <w:numFmt w:val="lowerLetter"/>
      <w:lvlText w:val="%5."/>
      <w:lvlJc w:val="left"/>
      <w:pPr>
        <w:ind w:left="3600" w:hanging="360"/>
      </w:pPr>
    </w:lvl>
    <w:lvl w:ilvl="5" w:tplc="331E6256">
      <w:start w:val="1"/>
      <w:numFmt w:val="lowerRoman"/>
      <w:lvlText w:val="%6."/>
      <w:lvlJc w:val="right"/>
      <w:pPr>
        <w:ind w:left="4320" w:hanging="180"/>
      </w:pPr>
    </w:lvl>
    <w:lvl w:ilvl="6" w:tplc="0C101738">
      <w:start w:val="1"/>
      <w:numFmt w:val="decimal"/>
      <w:lvlText w:val="%7."/>
      <w:lvlJc w:val="left"/>
      <w:pPr>
        <w:ind w:left="5040" w:hanging="360"/>
      </w:pPr>
    </w:lvl>
    <w:lvl w:ilvl="7" w:tplc="12A8319A">
      <w:start w:val="1"/>
      <w:numFmt w:val="lowerLetter"/>
      <w:lvlText w:val="%8."/>
      <w:lvlJc w:val="left"/>
      <w:pPr>
        <w:ind w:left="5760" w:hanging="360"/>
      </w:pPr>
    </w:lvl>
    <w:lvl w:ilvl="8" w:tplc="267A6A8E">
      <w:start w:val="1"/>
      <w:numFmt w:val="lowerRoman"/>
      <w:lvlText w:val="%9."/>
      <w:lvlJc w:val="right"/>
      <w:pPr>
        <w:ind w:left="6480" w:hanging="180"/>
      </w:pPr>
    </w:lvl>
  </w:abstractNum>
  <w:abstractNum w:abstractNumId="2" w15:restartNumberingAfterBreak="0">
    <w:nsid w:val="09D03315"/>
    <w:multiLevelType w:val="hybridMultilevel"/>
    <w:tmpl w:val="C46A8A2C"/>
    <w:lvl w:ilvl="0" w:tplc="4EA0A750">
      <w:start w:val="2"/>
      <w:numFmt w:val="bullet"/>
      <w:lvlText w:val="-"/>
      <w:lvlJc w:val="left"/>
      <w:pPr>
        <w:ind w:left="1429" w:hanging="360"/>
      </w:pPr>
      <w:rPr>
        <w:rFonts w:ascii="Bookman Old Style" w:eastAsia="Times New Roman" w:hAnsi="Bookman Old Style" w:cs="Aria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 w15:restartNumberingAfterBreak="0">
    <w:nsid w:val="0A0A64E6"/>
    <w:multiLevelType w:val="hybridMultilevel"/>
    <w:tmpl w:val="3B56C2E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106D4C04"/>
    <w:multiLevelType w:val="hybridMultilevel"/>
    <w:tmpl w:val="ED9C3582"/>
    <w:lvl w:ilvl="0" w:tplc="0CD23E82">
      <w:start w:val="1"/>
      <w:numFmt w:val="decimal"/>
      <w:lvlText w:val="%1."/>
      <w:lvlJc w:val="left"/>
      <w:pPr>
        <w:ind w:left="720" w:hanging="360"/>
      </w:pPr>
    </w:lvl>
    <w:lvl w:ilvl="1" w:tplc="516E81B4">
      <w:start w:val="1"/>
      <w:numFmt w:val="lowerLetter"/>
      <w:lvlText w:val="%2."/>
      <w:lvlJc w:val="left"/>
      <w:pPr>
        <w:ind w:left="1440" w:hanging="360"/>
      </w:pPr>
    </w:lvl>
    <w:lvl w:ilvl="2" w:tplc="738E9198">
      <w:start w:val="1"/>
      <w:numFmt w:val="lowerRoman"/>
      <w:lvlText w:val="%3."/>
      <w:lvlJc w:val="right"/>
      <w:pPr>
        <w:ind w:left="2160" w:hanging="180"/>
      </w:pPr>
    </w:lvl>
    <w:lvl w:ilvl="3" w:tplc="E7E26AFC">
      <w:start w:val="1"/>
      <w:numFmt w:val="decimal"/>
      <w:lvlText w:val="%4."/>
      <w:lvlJc w:val="left"/>
      <w:pPr>
        <w:ind w:left="2880" w:hanging="360"/>
      </w:pPr>
    </w:lvl>
    <w:lvl w:ilvl="4" w:tplc="E2D6B522">
      <w:start w:val="1"/>
      <w:numFmt w:val="lowerLetter"/>
      <w:lvlText w:val="%5."/>
      <w:lvlJc w:val="left"/>
      <w:pPr>
        <w:ind w:left="3600" w:hanging="360"/>
      </w:pPr>
    </w:lvl>
    <w:lvl w:ilvl="5" w:tplc="72A6B3DE">
      <w:start w:val="1"/>
      <w:numFmt w:val="lowerRoman"/>
      <w:lvlText w:val="%6."/>
      <w:lvlJc w:val="right"/>
      <w:pPr>
        <w:ind w:left="4320" w:hanging="180"/>
      </w:pPr>
    </w:lvl>
    <w:lvl w:ilvl="6" w:tplc="F440E6CA">
      <w:start w:val="1"/>
      <w:numFmt w:val="decimal"/>
      <w:lvlText w:val="%7."/>
      <w:lvlJc w:val="left"/>
      <w:pPr>
        <w:ind w:left="5040" w:hanging="360"/>
      </w:pPr>
    </w:lvl>
    <w:lvl w:ilvl="7" w:tplc="7F22CBF2">
      <w:start w:val="1"/>
      <w:numFmt w:val="lowerLetter"/>
      <w:lvlText w:val="%8."/>
      <w:lvlJc w:val="left"/>
      <w:pPr>
        <w:ind w:left="5760" w:hanging="360"/>
      </w:pPr>
    </w:lvl>
    <w:lvl w:ilvl="8" w:tplc="9DD0C23C">
      <w:start w:val="1"/>
      <w:numFmt w:val="lowerRoman"/>
      <w:lvlText w:val="%9."/>
      <w:lvlJc w:val="right"/>
      <w:pPr>
        <w:ind w:left="6480" w:hanging="180"/>
      </w:pPr>
    </w:lvl>
  </w:abstractNum>
  <w:abstractNum w:abstractNumId="5" w15:restartNumberingAfterBreak="0">
    <w:nsid w:val="1106586D"/>
    <w:multiLevelType w:val="hybridMultilevel"/>
    <w:tmpl w:val="FFFFFFFF"/>
    <w:lvl w:ilvl="0" w:tplc="22047404">
      <w:start w:val="1"/>
      <w:numFmt w:val="bullet"/>
      <w:lvlText w:val=""/>
      <w:lvlJc w:val="left"/>
      <w:pPr>
        <w:ind w:left="720" w:hanging="360"/>
      </w:pPr>
      <w:rPr>
        <w:rFonts w:ascii="Symbol" w:hAnsi="Symbol" w:hint="default"/>
      </w:rPr>
    </w:lvl>
    <w:lvl w:ilvl="1" w:tplc="1666A2F2">
      <w:start w:val="1"/>
      <w:numFmt w:val="bullet"/>
      <w:lvlText w:val="o"/>
      <w:lvlJc w:val="left"/>
      <w:pPr>
        <w:ind w:left="1440" w:hanging="360"/>
      </w:pPr>
      <w:rPr>
        <w:rFonts w:ascii="Courier New" w:hAnsi="Courier New" w:hint="default"/>
      </w:rPr>
    </w:lvl>
    <w:lvl w:ilvl="2" w:tplc="A660335E">
      <w:start w:val="1"/>
      <w:numFmt w:val="bullet"/>
      <w:lvlText w:val=""/>
      <w:lvlJc w:val="left"/>
      <w:pPr>
        <w:ind w:left="2160" w:hanging="360"/>
      </w:pPr>
      <w:rPr>
        <w:rFonts w:ascii="Wingdings" w:hAnsi="Wingdings" w:hint="default"/>
      </w:rPr>
    </w:lvl>
    <w:lvl w:ilvl="3" w:tplc="F5E62F3E">
      <w:start w:val="1"/>
      <w:numFmt w:val="bullet"/>
      <w:lvlText w:val=""/>
      <w:lvlJc w:val="left"/>
      <w:pPr>
        <w:ind w:left="2880" w:hanging="360"/>
      </w:pPr>
      <w:rPr>
        <w:rFonts w:ascii="Symbol" w:hAnsi="Symbol" w:hint="default"/>
      </w:rPr>
    </w:lvl>
    <w:lvl w:ilvl="4" w:tplc="C7DCF80C">
      <w:start w:val="1"/>
      <w:numFmt w:val="bullet"/>
      <w:lvlText w:val="o"/>
      <w:lvlJc w:val="left"/>
      <w:pPr>
        <w:ind w:left="3600" w:hanging="360"/>
      </w:pPr>
      <w:rPr>
        <w:rFonts w:ascii="Courier New" w:hAnsi="Courier New" w:hint="default"/>
      </w:rPr>
    </w:lvl>
    <w:lvl w:ilvl="5" w:tplc="7A684D92">
      <w:start w:val="1"/>
      <w:numFmt w:val="bullet"/>
      <w:lvlText w:val=""/>
      <w:lvlJc w:val="left"/>
      <w:pPr>
        <w:ind w:left="4320" w:hanging="360"/>
      </w:pPr>
      <w:rPr>
        <w:rFonts w:ascii="Wingdings" w:hAnsi="Wingdings" w:hint="default"/>
      </w:rPr>
    </w:lvl>
    <w:lvl w:ilvl="6" w:tplc="50BA4702">
      <w:start w:val="1"/>
      <w:numFmt w:val="bullet"/>
      <w:lvlText w:val=""/>
      <w:lvlJc w:val="left"/>
      <w:pPr>
        <w:ind w:left="5040" w:hanging="360"/>
      </w:pPr>
      <w:rPr>
        <w:rFonts w:ascii="Symbol" w:hAnsi="Symbol" w:hint="default"/>
      </w:rPr>
    </w:lvl>
    <w:lvl w:ilvl="7" w:tplc="6F2C4A90">
      <w:start w:val="1"/>
      <w:numFmt w:val="bullet"/>
      <w:lvlText w:val="o"/>
      <w:lvlJc w:val="left"/>
      <w:pPr>
        <w:ind w:left="5760" w:hanging="360"/>
      </w:pPr>
      <w:rPr>
        <w:rFonts w:ascii="Courier New" w:hAnsi="Courier New" w:hint="default"/>
      </w:rPr>
    </w:lvl>
    <w:lvl w:ilvl="8" w:tplc="0CD474A2">
      <w:start w:val="1"/>
      <w:numFmt w:val="bullet"/>
      <w:lvlText w:val=""/>
      <w:lvlJc w:val="left"/>
      <w:pPr>
        <w:ind w:left="6480" w:hanging="360"/>
      </w:pPr>
      <w:rPr>
        <w:rFonts w:ascii="Wingdings" w:hAnsi="Wingdings" w:hint="default"/>
      </w:rPr>
    </w:lvl>
  </w:abstractNum>
  <w:abstractNum w:abstractNumId="6" w15:restartNumberingAfterBreak="0">
    <w:nsid w:val="11D53DFF"/>
    <w:multiLevelType w:val="hybridMultilevel"/>
    <w:tmpl w:val="FFFFFFFF"/>
    <w:lvl w:ilvl="0" w:tplc="59EC41B8">
      <w:start w:val="1"/>
      <w:numFmt w:val="bullet"/>
      <w:lvlText w:val=""/>
      <w:lvlJc w:val="left"/>
      <w:pPr>
        <w:ind w:left="720" w:hanging="360"/>
      </w:pPr>
      <w:rPr>
        <w:rFonts w:ascii="Symbol" w:hAnsi="Symbol" w:hint="default"/>
      </w:rPr>
    </w:lvl>
    <w:lvl w:ilvl="1" w:tplc="A3987D60">
      <w:start w:val="1"/>
      <w:numFmt w:val="bullet"/>
      <w:lvlText w:val="o"/>
      <w:lvlJc w:val="left"/>
      <w:pPr>
        <w:ind w:left="1440" w:hanging="360"/>
      </w:pPr>
      <w:rPr>
        <w:rFonts w:ascii="Courier New" w:hAnsi="Courier New" w:hint="default"/>
      </w:rPr>
    </w:lvl>
    <w:lvl w:ilvl="2" w:tplc="331AE3CA">
      <w:start w:val="1"/>
      <w:numFmt w:val="bullet"/>
      <w:lvlText w:val=""/>
      <w:lvlJc w:val="left"/>
      <w:pPr>
        <w:ind w:left="2160" w:hanging="360"/>
      </w:pPr>
      <w:rPr>
        <w:rFonts w:ascii="Wingdings" w:hAnsi="Wingdings" w:hint="default"/>
      </w:rPr>
    </w:lvl>
    <w:lvl w:ilvl="3" w:tplc="59068F86">
      <w:start w:val="1"/>
      <w:numFmt w:val="bullet"/>
      <w:lvlText w:val=""/>
      <w:lvlJc w:val="left"/>
      <w:pPr>
        <w:ind w:left="2880" w:hanging="360"/>
      </w:pPr>
      <w:rPr>
        <w:rFonts w:ascii="Symbol" w:hAnsi="Symbol" w:hint="default"/>
      </w:rPr>
    </w:lvl>
    <w:lvl w:ilvl="4" w:tplc="9D3C6DD0">
      <w:start w:val="1"/>
      <w:numFmt w:val="bullet"/>
      <w:lvlText w:val="o"/>
      <w:lvlJc w:val="left"/>
      <w:pPr>
        <w:ind w:left="3600" w:hanging="360"/>
      </w:pPr>
      <w:rPr>
        <w:rFonts w:ascii="Courier New" w:hAnsi="Courier New" w:hint="default"/>
      </w:rPr>
    </w:lvl>
    <w:lvl w:ilvl="5" w:tplc="681C78B2">
      <w:start w:val="1"/>
      <w:numFmt w:val="bullet"/>
      <w:lvlText w:val=""/>
      <w:lvlJc w:val="left"/>
      <w:pPr>
        <w:ind w:left="4320" w:hanging="360"/>
      </w:pPr>
      <w:rPr>
        <w:rFonts w:ascii="Wingdings" w:hAnsi="Wingdings" w:hint="default"/>
      </w:rPr>
    </w:lvl>
    <w:lvl w:ilvl="6" w:tplc="E56AA882">
      <w:start w:val="1"/>
      <w:numFmt w:val="bullet"/>
      <w:lvlText w:val=""/>
      <w:lvlJc w:val="left"/>
      <w:pPr>
        <w:ind w:left="5040" w:hanging="360"/>
      </w:pPr>
      <w:rPr>
        <w:rFonts w:ascii="Symbol" w:hAnsi="Symbol" w:hint="default"/>
      </w:rPr>
    </w:lvl>
    <w:lvl w:ilvl="7" w:tplc="2F8A46EC">
      <w:start w:val="1"/>
      <w:numFmt w:val="bullet"/>
      <w:lvlText w:val="o"/>
      <w:lvlJc w:val="left"/>
      <w:pPr>
        <w:ind w:left="5760" w:hanging="360"/>
      </w:pPr>
      <w:rPr>
        <w:rFonts w:ascii="Courier New" w:hAnsi="Courier New" w:hint="default"/>
      </w:rPr>
    </w:lvl>
    <w:lvl w:ilvl="8" w:tplc="513E17C4">
      <w:start w:val="1"/>
      <w:numFmt w:val="bullet"/>
      <w:lvlText w:val=""/>
      <w:lvlJc w:val="left"/>
      <w:pPr>
        <w:ind w:left="6480" w:hanging="360"/>
      </w:pPr>
      <w:rPr>
        <w:rFonts w:ascii="Wingdings" w:hAnsi="Wingdings" w:hint="default"/>
      </w:rPr>
    </w:lvl>
  </w:abstractNum>
  <w:abstractNum w:abstractNumId="7" w15:restartNumberingAfterBreak="0">
    <w:nsid w:val="11D72BDA"/>
    <w:multiLevelType w:val="hybridMultilevel"/>
    <w:tmpl w:val="1FC2D54E"/>
    <w:lvl w:ilvl="0" w:tplc="AC6C3782">
      <w:start w:val="1"/>
      <w:numFmt w:val="decimal"/>
      <w:lvlText w:val="%1."/>
      <w:lvlJc w:val="left"/>
      <w:pPr>
        <w:ind w:left="720" w:hanging="360"/>
      </w:pPr>
    </w:lvl>
    <w:lvl w:ilvl="1" w:tplc="FF785C08">
      <w:start w:val="1"/>
      <w:numFmt w:val="lowerLetter"/>
      <w:lvlText w:val="%2."/>
      <w:lvlJc w:val="left"/>
      <w:pPr>
        <w:ind w:left="1440" w:hanging="360"/>
      </w:pPr>
    </w:lvl>
    <w:lvl w:ilvl="2" w:tplc="1A2664B6">
      <w:start w:val="1"/>
      <w:numFmt w:val="lowerRoman"/>
      <w:lvlText w:val="%3."/>
      <w:lvlJc w:val="right"/>
      <w:pPr>
        <w:ind w:left="2160" w:hanging="180"/>
      </w:pPr>
    </w:lvl>
    <w:lvl w:ilvl="3" w:tplc="34CE3FCA">
      <w:start w:val="1"/>
      <w:numFmt w:val="decimal"/>
      <w:lvlText w:val="%4."/>
      <w:lvlJc w:val="left"/>
      <w:pPr>
        <w:ind w:left="2880" w:hanging="360"/>
      </w:pPr>
    </w:lvl>
    <w:lvl w:ilvl="4" w:tplc="8AECFDB0">
      <w:start w:val="1"/>
      <w:numFmt w:val="lowerLetter"/>
      <w:lvlText w:val="%5."/>
      <w:lvlJc w:val="left"/>
      <w:pPr>
        <w:ind w:left="3600" w:hanging="360"/>
      </w:pPr>
    </w:lvl>
    <w:lvl w:ilvl="5" w:tplc="CE726C20">
      <w:start w:val="1"/>
      <w:numFmt w:val="lowerRoman"/>
      <w:lvlText w:val="%6."/>
      <w:lvlJc w:val="right"/>
      <w:pPr>
        <w:ind w:left="4320" w:hanging="180"/>
      </w:pPr>
    </w:lvl>
    <w:lvl w:ilvl="6" w:tplc="975AE184">
      <w:start w:val="1"/>
      <w:numFmt w:val="decimal"/>
      <w:lvlText w:val="%7."/>
      <w:lvlJc w:val="left"/>
      <w:pPr>
        <w:ind w:left="5040" w:hanging="360"/>
      </w:pPr>
    </w:lvl>
    <w:lvl w:ilvl="7" w:tplc="2D127DA4">
      <w:start w:val="1"/>
      <w:numFmt w:val="lowerLetter"/>
      <w:lvlText w:val="%8."/>
      <w:lvlJc w:val="left"/>
      <w:pPr>
        <w:ind w:left="5760" w:hanging="360"/>
      </w:pPr>
    </w:lvl>
    <w:lvl w:ilvl="8" w:tplc="8FBC988E">
      <w:start w:val="1"/>
      <w:numFmt w:val="lowerRoman"/>
      <w:lvlText w:val="%9."/>
      <w:lvlJc w:val="right"/>
      <w:pPr>
        <w:ind w:left="6480" w:hanging="180"/>
      </w:pPr>
    </w:lvl>
  </w:abstractNum>
  <w:abstractNum w:abstractNumId="8" w15:restartNumberingAfterBreak="0">
    <w:nsid w:val="13F96E37"/>
    <w:multiLevelType w:val="hybridMultilevel"/>
    <w:tmpl w:val="C34A7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D2698D"/>
    <w:multiLevelType w:val="hybridMultilevel"/>
    <w:tmpl w:val="1F1CBAC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0" w15:restartNumberingAfterBreak="0">
    <w:nsid w:val="1D0907E9"/>
    <w:multiLevelType w:val="hybridMultilevel"/>
    <w:tmpl w:val="FFFFFFFF"/>
    <w:lvl w:ilvl="0" w:tplc="315AD2AE">
      <w:start w:val="1"/>
      <w:numFmt w:val="decimal"/>
      <w:lvlText w:val="%1."/>
      <w:lvlJc w:val="left"/>
      <w:pPr>
        <w:ind w:left="720" w:hanging="360"/>
      </w:pPr>
    </w:lvl>
    <w:lvl w:ilvl="1" w:tplc="ECAC19E2">
      <w:start w:val="1"/>
      <w:numFmt w:val="lowerLetter"/>
      <w:lvlText w:val="%2."/>
      <w:lvlJc w:val="left"/>
      <w:pPr>
        <w:ind w:left="1440" w:hanging="360"/>
      </w:pPr>
    </w:lvl>
    <w:lvl w:ilvl="2" w:tplc="6B88C900">
      <w:start w:val="1"/>
      <w:numFmt w:val="lowerRoman"/>
      <w:lvlText w:val="%3."/>
      <w:lvlJc w:val="right"/>
      <w:pPr>
        <w:ind w:left="2160" w:hanging="180"/>
      </w:pPr>
    </w:lvl>
    <w:lvl w:ilvl="3" w:tplc="8C2E2718">
      <w:start w:val="1"/>
      <w:numFmt w:val="decimal"/>
      <w:lvlText w:val="%4."/>
      <w:lvlJc w:val="left"/>
      <w:pPr>
        <w:ind w:left="2880" w:hanging="360"/>
      </w:pPr>
    </w:lvl>
    <w:lvl w:ilvl="4" w:tplc="3EA8259A">
      <w:start w:val="1"/>
      <w:numFmt w:val="lowerLetter"/>
      <w:lvlText w:val="%5."/>
      <w:lvlJc w:val="left"/>
      <w:pPr>
        <w:ind w:left="3600" w:hanging="360"/>
      </w:pPr>
    </w:lvl>
    <w:lvl w:ilvl="5" w:tplc="085C2480">
      <w:start w:val="1"/>
      <w:numFmt w:val="lowerRoman"/>
      <w:lvlText w:val="%6."/>
      <w:lvlJc w:val="right"/>
      <w:pPr>
        <w:ind w:left="4320" w:hanging="180"/>
      </w:pPr>
    </w:lvl>
    <w:lvl w:ilvl="6" w:tplc="C87E2364">
      <w:start w:val="1"/>
      <w:numFmt w:val="decimal"/>
      <w:lvlText w:val="%7."/>
      <w:lvlJc w:val="left"/>
      <w:pPr>
        <w:ind w:left="5040" w:hanging="360"/>
      </w:pPr>
    </w:lvl>
    <w:lvl w:ilvl="7" w:tplc="03FA09E8">
      <w:start w:val="1"/>
      <w:numFmt w:val="lowerLetter"/>
      <w:lvlText w:val="%8."/>
      <w:lvlJc w:val="left"/>
      <w:pPr>
        <w:ind w:left="5760" w:hanging="360"/>
      </w:pPr>
    </w:lvl>
    <w:lvl w:ilvl="8" w:tplc="81146274">
      <w:start w:val="1"/>
      <w:numFmt w:val="lowerRoman"/>
      <w:lvlText w:val="%9."/>
      <w:lvlJc w:val="right"/>
      <w:pPr>
        <w:ind w:left="6480" w:hanging="180"/>
      </w:pPr>
    </w:lvl>
  </w:abstractNum>
  <w:abstractNum w:abstractNumId="11" w15:restartNumberingAfterBreak="0">
    <w:nsid w:val="1D603559"/>
    <w:multiLevelType w:val="hybridMultilevel"/>
    <w:tmpl w:val="95F6A014"/>
    <w:lvl w:ilvl="0" w:tplc="03227EA0">
      <w:start w:val="54"/>
      <w:numFmt w:val="decimal"/>
      <w:lvlText w:val="Artículo %1."/>
      <w:lvlJc w:val="left"/>
      <w:pPr>
        <w:ind w:left="1004" w:hanging="360"/>
      </w:pPr>
      <w:rPr>
        <w:rFonts w:ascii="Bookman Old Style" w:hAnsi="Bookman Old Style" w:hint="default"/>
        <w:b/>
        <w:i w:val="0"/>
        <w:sz w:val="24"/>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1FD3146F"/>
    <w:multiLevelType w:val="hybridMultilevel"/>
    <w:tmpl w:val="FFFFFFFF"/>
    <w:lvl w:ilvl="0" w:tplc="299C9DB0">
      <w:start w:val="1"/>
      <w:numFmt w:val="lowerLetter"/>
      <w:lvlText w:val="%1."/>
      <w:lvlJc w:val="left"/>
      <w:pPr>
        <w:ind w:left="720" w:hanging="360"/>
      </w:pPr>
    </w:lvl>
    <w:lvl w:ilvl="1" w:tplc="EBB05278">
      <w:start w:val="1"/>
      <w:numFmt w:val="lowerLetter"/>
      <w:lvlText w:val="%2."/>
      <w:lvlJc w:val="left"/>
      <w:pPr>
        <w:ind w:left="1440" w:hanging="360"/>
      </w:pPr>
    </w:lvl>
    <w:lvl w:ilvl="2" w:tplc="36D86A8E">
      <w:start w:val="1"/>
      <w:numFmt w:val="lowerRoman"/>
      <w:lvlText w:val="%3."/>
      <w:lvlJc w:val="right"/>
      <w:pPr>
        <w:ind w:left="2160" w:hanging="180"/>
      </w:pPr>
    </w:lvl>
    <w:lvl w:ilvl="3" w:tplc="66B48572">
      <w:start w:val="1"/>
      <w:numFmt w:val="decimal"/>
      <w:lvlText w:val="%4."/>
      <w:lvlJc w:val="left"/>
      <w:pPr>
        <w:ind w:left="2880" w:hanging="360"/>
      </w:pPr>
    </w:lvl>
    <w:lvl w:ilvl="4" w:tplc="FDEE59C0">
      <w:start w:val="1"/>
      <w:numFmt w:val="lowerLetter"/>
      <w:lvlText w:val="%5."/>
      <w:lvlJc w:val="left"/>
      <w:pPr>
        <w:ind w:left="3600" w:hanging="360"/>
      </w:pPr>
    </w:lvl>
    <w:lvl w:ilvl="5" w:tplc="987AE8DE">
      <w:start w:val="1"/>
      <w:numFmt w:val="lowerRoman"/>
      <w:lvlText w:val="%6."/>
      <w:lvlJc w:val="right"/>
      <w:pPr>
        <w:ind w:left="4320" w:hanging="180"/>
      </w:pPr>
    </w:lvl>
    <w:lvl w:ilvl="6" w:tplc="13888B76">
      <w:start w:val="1"/>
      <w:numFmt w:val="decimal"/>
      <w:lvlText w:val="%7."/>
      <w:lvlJc w:val="left"/>
      <w:pPr>
        <w:ind w:left="5040" w:hanging="360"/>
      </w:pPr>
    </w:lvl>
    <w:lvl w:ilvl="7" w:tplc="9FD089A6">
      <w:start w:val="1"/>
      <w:numFmt w:val="lowerLetter"/>
      <w:lvlText w:val="%8."/>
      <w:lvlJc w:val="left"/>
      <w:pPr>
        <w:ind w:left="5760" w:hanging="360"/>
      </w:pPr>
    </w:lvl>
    <w:lvl w:ilvl="8" w:tplc="08D2D992">
      <w:start w:val="1"/>
      <w:numFmt w:val="lowerRoman"/>
      <w:lvlText w:val="%9."/>
      <w:lvlJc w:val="right"/>
      <w:pPr>
        <w:ind w:left="6480" w:hanging="180"/>
      </w:pPr>
    </w:lvl>
  </w:abstractNum>
  <w:abstractNum w:abstractNumId="13" w15:restartNumberingAfterBreak="0">
    <w:nsid w:val="273A289D"/>
    <w:multiLevelType w:val="hybridMultilevel"/>
    <w:tmpl w:val="A104AE40"/>
    <w:lvl w:ilvl="0" w:tplc="48683FAC">
      <w:start w:val="1"/>
      <w:numFmt w:val="bullet"/>
      <w:lvlText w:val=""/>
      <w:lvlJc w:val="left"/>
      <w:pPr>
        <w:ind w:left="720" w:hanging="360"/>
      </w:pPr>
      <w:rPr>
        <w:rFonts w:ascii="Symbol" w:hAnsi="Symbol" w:hint="default"/>
      </w:rPr>
    </w:lvl>
    <w:lvl w:ilvl="1" w:tplc="29421802">
      <w:start w:val="1"/>
      <w:numFmt w:val="bullet"/>
      <w:lvlText w:val="o"/>
      <w:lvlJc w:val="left"/>
      <w:pPr>
        <w:ind w:left="1440" w:hanging="360"/>
      </w:pPr>
      <w:rPr>
        <w:rFonts w:ascii="Courier New" w:hAnsi="Courier New" w:hint="default"/>
      </w:rPr>
    </w:lvl>
    <w:lvl w:ilvl="2" w:tplc="7786B388">
      <w:start w:val="1"/>
      <w:numFmt w:val="bullet"/>
      <w:lvlText w:val=""/>
      <w:lvlJc w:val="left"/>
      <w:pPr>
        <w:ind w:left="2160" w:hanging="360"/>
      </w:pPr>
      <w:rPr>
        <w:rFonts w:ascii="Wingdings" w:hAnsi="Wingdings" w:hint="default"/>
      </w:rPr>
    </w:lvl>
    <w:lvl w:ilvl="3" w:tplc="E776332C">
      <w:start w:val="1"/>
      <w:numFmt w:val="bullet"/>
      <w:lvlText w:val=""/>
      <w:lvlJc w:val="left"/>
      <w:pPr>
        <w:ind w:left="2880" w:hanging="360"/>
      </w:pPr>
      <w:rPr>
        <w:rFonts w:ascii="Symbol" w:hAnsi="Symbol" w:hint="default"/>
      </w:rPr>
    </w:lvl>
    <w:lvl w:ilvl="4" w:tplc="74B0F0C8">
      <w:start w:val="1"/>
      <w:numFmt w:val="bullet"/>
      <w:lvlText w:val="o"/>
      <w:lvlJc w:val="left"/>
      <w:pPr>
        <w:ind w:left="3600" w:hanging="360"/>
      </w:pPr>
      <w:rPr>
        <w:rFonts w:ascii="Courier New" w:hAnsi="Courier New" w:hint="default"/>
      </w:rPr>
    </w:lvl>
    <w:lvl w:ilvl="5" w:tplc="E37EEB22">
      <w:start w:val="1"/>
      <w:numFmt w:val="bullet"/>
      <w:lvlText w:val=""/>
      <w:lvlJc w:val="left"/>
      <w:pPr>
        <w:ind w:left="4320" w:hanging="360"/>
      </w:pPr>
      <w:rPr>
        <w:rFonts w:ascii="Wingdings" w:hAnsi="Wingdings" w:hint="default"/>
      </w:rPr>
    </w:lvl>
    <w:lvl w:ilvl="6" w:tplc="2A4ACA86">
      <w:start w:val="1"/>
      <w:numFmt w:val="bullet"/>
      <w:lvlText w:val=""/>
      <w:lvlJc w:val="left"/>
      <w:pPr>
        <w:ind w:left="5040" w:hanging="360"/>
      </w:pPr>
      <w:rPr>
        <w:rFonts w:ascii="Symbol" w:hAnsi="Symbol" w:hint="default"/>
      </w:rPr>
    </w:lvl>
    <w:lvl w:ilvl="7" w:tplc="13EEFFB8">
      <w:start w:val="1"/>
      <w:numFmt w:val="bullet"/>
      <w:lvlText w:val="o"/>
      <w:lvlJc w:val="left"/>
      <w:pPr>
        <w:ind w:left="5760" w:hanging="360"/>
      </w:pPr>
      <w:rPr>
        <w:rFonts w:ascii="Courier New" w:hAnsi="Courier New" w:hint="default"/>
      </w:rPr>
    </w:lvl>
    <w:lvl w:ilvl="8" w:tplc="FE56EE70">
      <w:start w:val="1"/>
      <w:numFmt w:val="bullet"/>
      <w:lvlText w:val=""/>
      <w:lvlJc w:val="left"/>
      <w:pPr>
        <w:ind w:left="6480" w:hanging="360"/>
      </w:pPr>
      <w:rPr>
        <w:rFonts w:ascii="Wingdings" w:hAnsi="Wingdings" w:hint="default"/>
      </w:rPr>
    </w:lvl>
  </w:abstractNum>
  <w:abstractNum w:abstractNumId="14" w15:restartNumberingAfterBreak="0">
    <w:nsid w:val="37283257"/>
    <w:multiLevelType w:val="multilevel"/>
    <w:tmpl w:val="745434BA"/>
    <w:lvl w:ilvl="0">
      <w:start w:val="1"/>
      <w:numFmt w:val="decimal"/>
      <w:lvlText w:val="%1."/>
      <w:lvlJc w:val="left"/>
      <w:pPr>
        <w:ind w:left="644" w:hanging="360"/>
      </w:pPr>
      <w:rPr>
        <w:b/>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386A6873"/>
    <w:multiLevelType w:val="hybridMultilevel"/>
    <w:tmpl w:val="FFFFFFFF"/>
    <w:lvl w:ilvl="0" w:tplc="B998A57C">
      <w:start w:val="1"/>
      <w:numFmt w:val="bullet"/>
      <w:lvlText w:val=""/>
      <w:lvlJc w:val="left"/>
      <w:pPr>
        <w:ind w:left="720" w:hanging="360"/>
      </w:pPr>
      <w:rPr>
        <w:rFonts w:ascii="Symbol" w:hAnsi="Symbol" w:hint="default"/>
      </w:rPr>
    </w:lvl>
    <w:lvl w:ilvl="1" w:tplc="358C8D92">
      <w:start w:val="1"/>
      <w:numFmt w:val="bullet"/>
      <w:lvlText w:val="o"/>
      <w:lvlJc w:val="left"/>
      <w:pPr>
        <w:ind w:left="1440" w:hanging="360"/>
      </w:pPr>
      <w:rPr>
        <w:rFonts w:ascii="Courier New" w:hAnsi="Courier New" w:hint="default"/>
      </w:rPr>
    </w:lvl>
    <w:lvl w:ilvl="2" w:tplc="B0121EA2">
      <w:start w:val="1"/>
      <w:numFmt w:val="bullet"/>
      <w:lvlText w:val=""/>
      <w:lvlJc w:val="left"/>
      <w:pPr>
        <w:ind w:left="2160" w:hanging="360"/>
      </w:pPr>
      <w:rPr>
        <w:rFonts w:ascii="Wingdings" w:hAnsi="Wingdings" w:hint="default"/>
      </w:rPr>
    </w:lvl>
    <w:lvl w:ilvl="3" w:tplc="9FB2ED0E">
      <w:start w:val="1"/>
      <w:numFmt w:val="bullet"/>
      <w:lvlText w:val=""/>
      <w:lvlJc w:val="left"/>
      <w:pPr>
        <w:ind w:left="2880" w:hanging="360"/>
      </w:pPr>
      <w:rPr>
        <w:rFonts w:ascii="Symbol" w:hAnsi="Symbol" w:hint="default"/>
      </w:rPr>
    </w:lvl>
    <w:lvl w:ilvl="4" w:tplc="D33E7DB8">
      <w:start w:val="1"/>
      <w:numFmt w:val="bullet"/>
      <w:lvlText w:val="o"/>
      <w:lvlJc w:val="left"/>
      <w:pPr>
        <w:ind w:left="3600" w:hanging="360"/>
      </w:pPr>
      <w:rPr>
        <w:rFonts w:ascii="Courier New" w:hAnsi="Courier New" w:hint="default"/>
      </w:rPr>
    </w:lvl>
    <w:lvl w:ilvl="5" w:tplc="874AC91A">
      <w:start w:val="1"/>
      <w:numFmt w:val="bullet"/>
      <w:lvlText w:val=""/>
      <w:lvlJc w:val="left"/>
      <w:pPr>
        <w:ind w:left="4320" w:hanging="360"/>
      </w:pPr>
      <w:rPr>
        <w:rFonts w:ascii="Wingdings" w:hAnsi="Wingdings" w:hint="default"/>
      </w:rPr>
    </w:lvl>
    <w:lvl w:ilvl="6" w:tplc="7A546432">
      <w:start w:val="1"/>
      <w:numFmt w:val="bullet"/>
      <w:lvlText w:val=""/>
      <w:lvlJc w:val="left"/>
      <w:pPr>
        <w:ind w:left="5040" w:hanging="360"/>
      </w:pPr>
      <w:rPr>
        <w:rFonts w:ascii="Symbol" w:hAnsi="Symbol" w:hint="default"/>
      </w:rPr>
    </w:lvl>
    <w:lvl w:ilvl="7" w:tplc="31446B84">
      <w:start w:val="1"/>
      <w:numFmt w:val="bullet"/>
      <w:lvlText w:val="o"/>
      <w:lvlJc w:val="left"/>
      <w:pPr>
        <w:ind w:left="5760" w:hanging="360"/>
      </w:pPr>
      <w:rPr>
        <w:rFonts w:ascii="Courier New" w:hAnsi="Courier New" w:hint="default"/>
      </w:rPr>
    </w:lvl>
    <w:lvl w:ilvl="8" w:tplc="139CBC22">
      <w:start w:val="1"/>
      <w:numFmt w:val="bullet"/>
      <w:lvlText w:val=""/>
      <w:lvlJc w:val="left"/>
      <w:pPr>
        <w:ind w:left="6480" w:hanging="360"/>
      </w:pPr>
      <w:rPr>
        <w:rFonts w:ascii="Wingdings" w:hAnsi="Wingdings" w:hint="default"/>
      </w:rPr>
    </w:lvl>
  </w:abstractNum>
  <w:abstractNum w:abstractNumId="16" w15:restartNumberingAfterBreak="0">
    <w:nsid w:val="38CD4580"/>
    <w:multiLevelType w:val="hybridMultilevel"/>
    <w:tmpl w:val="FDBE3064"/>
    <w:lvl w:ilvl="0" w:tplc="E62CADD8">
      <w:start w:val="1"/>
      <w:numFmt w:val="decimal"/>
      <w:lvlText w:val="%1."/>
      <w:lvlJc w:val="left"/>
      <w:pPr>
        <w:ind w:left="720" w:hanging="360"/>
      </w:pPr>
    </w:lvl>
    <w:lvl w:ilvl="1" w:tplc="C7300D2C">
      <w:start w:val="1"/>
      <w:numFmt w:val="lowerLetter"/>
      <w:lvlText w:val="%2."/>
      <w:lvlJc w:val="left"/>
      <w:pPr>
        <w:ind w:left="1440" w:hanging="360"/>
      </w:pPr>
    </w:lvl>
    <w:lvl w:ilvl="2" w:tplc="BB62114A">
      <w:start w:val="1"/>
      <w:numFmt w:val="lowerRoman"/>
      <w:lvlText w:val="%3."/>
      <w:lvlJc w:val="right"/>
      <w:pPr>
        <w:ind w:left="2160" w:hanging="180"/>
      </w:pPr>
    </w:lvl>
    <w:lvl w:ilvl="3" w:tplc="885A4698">
      <w:start w:val="1"/>
      <w:numFmt w:val="decimal"/>
      <w:lvlText w:val="%4."/>
      <w:lvlJc w:val="left"/>
      <w:pPr>
        <w:ind w:left="2880" w:hanging="360"/>
      </w:pPr>
    </w:lvl>
    <w:lvl w:ilvl="4" w:tplc="B9BCE77E">
      <w:start w:val="1"/>
      <w:numFmt w:val="lowerLetter"/>
      <w:lvlText w:val="%5."/>
      <w:lvlJc w:val="left"/>
      <w:pPr>
        <w:ind w:left="3600" w:hanging="360"/>
      </w:pPr>
    </w:lvl>
    <w:lvl w:ilvl="5" w:tplc="6278ECF0">
      <w:start w:val="1"/>
      <w:numFmt w:val="lowerRoman"/>
      <w:lvlText w:val="%6."/>
      <w:lvlJc w:val="right"/>
      <w:pPr>
        <w:ind w:left="4320" w:hanging="180"/>
      </w:pPr>
    </w:lvl>
    <w:lvl w:ilvl="6" w:tplc="63008E20">
      <w:start w:val="1"/>
      <w:numFmt w:val="decimal"/>
      <w:lvlText w:val="%7."/>
      <w:lvlJc w:val="left"/>
      <w:pPr>
        <w:ind w:left="5040" w:hanging="360"/>
      </w:pPr>
    </w:lvl>
    <w:lvl w:ilvl="7" w:tplc="F984D506">
      <w:start w:val="1"/>
      <w:numFmt w:val="lowerLetter"/>
      <w:lvlText w:val="%8."/>
      <w:lvlJc w:val="left"/>
      <w:pPr>
        <w:ind w:left="5760" w:hanging="360"/>
      </w:pPr>
    </w:lvl>
    <w:lvl w:ilvl="8" w:tplc="0394968A">
      <w:start w:val="1"/>
      <w:numFmt w:val="lowerRoman"/>
      <w:lvlText w:val="%9."/>
      <w:lvlJc w:val="right"/>
      <w:pPr>
        <w:ind w:left="6480" w:hanging="180"/>
      </w:pPr>
    </w:lvl>
  </w:abstractNum>
  <w:abstractNum w:abstractNumId="17" w15:restartNumberingAfterBreak="0">
    <w:nsid w:val="398550F0"/>
    <w:multiLevelType w:val="hybridMultilevel"/>
    <w:tmpl w:val="437C8188"/>
    <w:lvl w:ilvl="0" w:tplc="4EA0A750">
      <w:start w:val="2"/>
      <w:numFmt w:val="bullet"/>
      <w:lvlText w:val="-"/>
      <w:lvlJc w:val="left"/>
      <w:pPr>
        <w:ind w:left="927" w:hanging="360"/>
      </w:pPr>
      <w:rPr>
        <w:rFonts w:ascii="Bookman Old Style" w:eastAsia="Times New Roman" w:hAnsi="Bookman Old Style"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8" w15:restartNumberingAfterBreak="0">
    <w:nsid w:val="412D1CDF"/>
    <w:multiLevelType w:val="hybridMultilevel"/>
    <w:tmpl w:val="FFFFFFFF"/>
    <w:lvl w:ilvl="0" w:tplc="BCF46246">
      <w:start w:val="1"/>
      <w:numFmt w:val="decimal"/>
      <w:lvlText w:val="%1."/>
      <w:lvlJc w:val="left"/>
      <w:pPr>
        <w:ind w:left="720" w:hanging="360"/>
      </w:pPr>
    </w:lvl>
    <w:lvl w:ilvl="1" w:tplc="7E02B374">
      <w:start w:val="1"/>
      <w:numFmt w:val="lowerLetter"/>
      <w:lvlText w:val="%2."/>
      <w:lvlJc w:val="left"/>
      <w:pPr>
        <w:ind w:left="1440" w:hanging="360"/>
      </w:pPr>
    </w:lvl>
    <w:lvl w:ilvl="2" w:tplc="1540AD92">
      <w:start w:val="1"/>
      <w:numFmt w:val="lowerRoman"/>
      <w:lvlText w:val="%3."/>
      <w:lvlJc w:val="right"/>
      <w:pPr>
        <w:ind w:left="2160" w:hanging="180"/>
      </w:pPr>
    </w:lvl>
    <w:lvl w:ilvl="3" w:tplc="35AEA0E6">
      <w:start w:val="1"/>
      <w:numFmt w:val="decimal"/>
      <w:lvlText w:val="%4."/>
      <w:lvlJc w:val="left"/>
      <w:pPr>
        <w:ind w:left="2880" w:hanging="360"/>
      </w:pPr>
    </w:lvl>
    <w:lvl w:ilvl="4" w:tplc="FF2A8F80">
      <w:start w:val="1"/>
      <w:numFmt w:val="lowerLetter"/>
      <w:lvlText w:val="%5."/>
      <w:lvlJc w:val="left"/>
      <w:pPr>
        <w:ind w:left="3600" w:hanging="360"/>
      </w:pPr>
    </w:lvl>
    <w:lvl w:ilvl="5" w:tplc="A01E2FAE">
      <w:start w:val="1"/>
      <w:numFmt w:val="lowerRoman"/>
      <w:lvlText w:val="%6."/>
      <w:lvlJc w:val="right"/>
      <w:pPr>
        <w:ind w:left="4320" w:hanging="180"/>
      </w:pPr>
    </w:lvl>
    <w:lvl w:ilvl="6" w:tplc="A028A7CA">
      <w:start w:val="1"/>
      <w:numFmt w:val="decimal"/>
      <w:lvlText w:val="%7."/>
      <w:lvlJc w:val="left"/>
      <w:pPr>
        <w:ind w:left="5040" w:hanging="360"/>
      </w:pPr>
    </w:lvl>
    <w:lvl w:ilvl="7" w:tplc="6F464838">
      <w:start w:val="1"/>
      <w:numFmt w:val="lowerLetter"/>
      <w:lvlText w:val="%8."/>
      <w:lvlJc w:val="left"/>
      <w:pPr>
        <w:ind w:left="5760" w:hanging="360"/>
      </w:pPr>
    </w:lvl>
    <w:lvl w:ilvl="8" w:tplc="EB9EC08A">
      <w:start w:val="1"/>
      <w:numFmt w:val="lowerRoman"/>
      <w:lvlText w:val="%9."/>
      <w:lvlJc w:val="right"/>
      <w:pPr>
        <w:ind w:left="6480" w:hanging="180"/>
      </w:pPr>
    </w:lvl>
  </w:abstractNum>
  <w:abstractNum w:abstractNumId="19" w15:restartNumberingAfterBreak="0">
    <w:nsid w:val="49BF78EE"/>
    <w:multiLevelType w:val="hybridMultilevel"/>
    <w:tmpl w:val="0C0458F4"/>
    <w:lvl w:ilvl="0" w:tplc="FDEC111C">
      <w:start w:val="1"/>
      <w:numFmt w:val="bullet"/>
      <w:lvlText w:val=""/>
      <w:lvlJc w:val="left"/>
      <w:pPr>
        <w:ind w:left="720" w:hanging="360"/>
      </w:pPr>
      <w:rPr>
        <w:rFonts w:ascii="Symbol" w:hAnsi="Symbol" w:hint="default"/>
      </w:rPr>
    </w:lvl>
    <w:lvl w:ilvl="1" w:tplc="AA9EDC90">
      <w:start w:val="1"/>
      <w:numFmt w:val="bullet"/>
      <w:lvlText w:val="o"/>
      <w:lvlJc w:val="left"/>
      <w:pPr>
        <w:ind w:left="1440" w:hanging="360"/>
      </w:pPr>
      <w:rPr>
        <w:rFonts w:ascii="Courier New" w:hAnsi="Courier New" w:hint="default"/>
      </w:rPr>
    </w:lvl>
    <w:lvl w:ilvl="2" w:tplc="39361468">
      <w:start w:val="1"/>
      <w:numFmt w:val="bullet"/>
      <w:lvlText w:val=""/>
      <w:lvlJc w:val="left"/>
      <w:pPr>
        <w:ind w:left="2160" w:hanging="360"/>
      </w:pPr>
      <w:rPr>
        <w:rFonts w:ascii="Wingdings" w:hAnsi="Wingdings" w:hint="default"/>
      </w:rPr>
    </w:lvl>
    <w:lvl w:ilvl="3" w:tplc="17AEE074">
      <w:start w:val="1"/>
      <w:numFmt w:val="bullet"/>
      <w:lvlText w:val=""/>
      <w:lvlJc w:val="left"/>
      <w:pPr>
        <w:ind w:left="2880" w:hanging="360"/>
      </w:pPr>
      <w:rPr>
        <w:rFonts w:ascii="Symbol" w:hAnsi="Symbol" w:hint="default"/>
      </w:rPr>
    </w:lvl>
    <w:lvl w:ilvl="4" w:tplc="5F281E1C">
      <w:start w:val="1"/>
      <w:numFmt w:val="bullet"/>
      <w:lvlText w:val="o"/>
      <w:lvlJc w:val="left"/>
      <w:pPr>
        <w:ind w:left="3600" w:hanging="360"/>
      </w:pPr>
      <w:rPr>
        <w:rFonts w:ascii="Courier New" w:hAnsi="Courier New" w:hint="default"/>
      </w:rPr>
    </w:lvl>
    <w:lvl w:ilvl="5" w:tplc="597EB80A">
      <w:start w:val="1"/>
      <w:numFmt w:val="bullet"/>
      <w:lvlText w:val=""/>
      <w:lvlJc w:val="left"/>
      <w:pPr>
        <w:ind w:left="4320" w:hanging="360"/>
      </w:pPr>
      <w:rPr>
        <w:rFonts w:ascii="Wingdings" w:hAnsi="Wingdings" w:hint="default"/>
      </w:rPr>
    </w:lvl>
    <w:lvl w:ilvl="6" w:tplc="022A5D52">
      <w:start w:val="1"/>
      <w:numFmt w:val="bullet"/>
      <w:lvlText w:val=""/>
      <w:lvlJc w:val="left"/>
      <w:pPr>
        <w:ind w:left="5040" w:hanging="360"/>
      </w:pPr>
      <w:rPr>
        <w:rFonts w:ascii="Symbol" w:hAnsi="Symbol" w:hint="default"/>
      </w:rPr>
    </w:lvl>
    <w:lvl w:ilvl="7" w:tplc="A62464F4">
      <w:start w:val="1"/>
      <w:numFmt w:val="bullet"/>
      <w:lvlText w:val="o"/>
      <w:lvlJc w:val="left"/>
      <w:pPr>
        <w:ind w:left="5760" w:hanging="360"/>
      </w:pPr>
      <w:rPr>
        <w:rFonts w:ascii="Courier New" w:hAnsi="Courier New" w:hint="default"/>
      </w:rPr>
    </w:lvl>
    <w:lvl w:ilvl="8" w:tplc="68DC40C6">
      <w:start w:val="1"/>
      <w:numFmt w:val="bullet"/>
      <w:lvlText w:val=""/>
      <w:lvlJc w:val="left"/>
      <w:pPr>
        <w:ind w:left="6480" w:hanging="360"/>
      </w:pPr>
      <w:rPr>
        <w:rFonts w:ascii="Wingdings" w:hAnsi="Wingdings" w:hint="default"/>
      </w:rPr>
    </w:lvl>
  </w:abstractNum>
  <w:abstractNum w:abstractNumId="20" w15:restartNumberingAfterBreak="0">
    <w:nsid w:val="4F0B0DEF"/>
    <w:multiLevelType w:val="hybridMultilevel"/>
    <w:tmpl w:val="FFFFFFFF"/>
    <w:lvl w:ilvl="0" w:tplc="8A267C74">
      <w:start w:val="1"/>
      <w:numFmt w:val="decimal"/>
      <w:lvlText w:val="%1."/>
      <w:lvlJc w:val="left"/>
      <w:pPr>
        <w:ind w:left="720" w:hanging="360"/>
      </w:pPr>
    </w:lvl>
    <w:lvl w:ilvl="1" w:tplc="E034AB74">
      <w:start w:val="1"/>
      <w:numFmt w:val="lowerLetter"/>
      <w:lvlText w:val="%2."/>
      <w:lvlJc w:val="left"/>
      <w:pPr>
        <w:ind w:left="1440" w:hanging="360"/>
      </w:pPr>
    </w:lvl>
    <w:lvl w:ilvl="2" w:tplc="F482DD60">
      <w:start w:val="1"/>
      <w:numFmt w:val="lowerRoman"/>
      <w:lvlText w:val="%3."/>
      <w:lvlJc w:val="right"/>
      <w:pPr>
        <w:ind w:left="2160" w:hanging="180"/>
      </w:pPr>
    </w:lvl>
    <w:lvl w:ilvl="3" w:tplc="6BD67F6E">
      <w:start w:val="1"/>
      <w:numFmt w:val="decimal"/>
      <w:lvlText w:val="%4."/>
      <w:lvlJc w:val="left"/>
      <w:pPr>
        <w:ind w:left="2880" w:hanging="360"/>
      </w:pPr>
    </w:lvl>
    <w:lvl w:ilvl="4" w:tplc="0B4CD886">
      <w:start w:val="1"/>
      <w:numFmt w:val="lowerLetter"/>
      <w:lvlText w:val="%5."/>
      <w:lvlJc w:val="left"/>
      <w:pPr>
        <w:ind w:left="3600" w:hanging="360"/>
      </w:pPr>
    </w:lvl>
    <w:lvl w:ilvl="5" w:tplc="317820B0">
      <w:start w:val="1"/>
      <w:numFmt w:val="lowerRoman"/>
      <w:lvlText w:val="%6."/>
      <w:lvlJc w:val="right"/>
      <w:pPr>
        <w:ind w:left="4320" w:hanging="180"/>
      </w:pPr>
    </w:lvl>
    <w:lvl w:ilvl="6" w:tplc="750E3ACA">
      <w:start w:val="1"/>
      <w:numFmt w:val="decimal"/>
      <w:lvlText w:val="%7."/>
      <w:lvlJc w:val="left"/>
      <w:pPr>
        <w:ind w:left="5040" w:hanging="360"/>
      </w:pPr>
    </w:lvl>
    <w:lvl w:ilvl="7" w:tplc="D73E0E82">
      <w:start w:val="1"/>
      <w:numFmt w:val="lowerLetter"/>
      <w:lvlText w:val="%8."/>
      <w:lvlJc w:val="left"/>
      <w:pPr>
        <w:ind w:left="5760" w:hanging="360"/>
      </w:pPr>
    </w:lvl>
    <w:lvl w:ilvl="8" w:tplc="DCF05BB6">
      <w:start w:val="1"/>
      <w:numFmt w:val="lowerRoman"/>
      <w:lvlText w:val="%9."/>
      <w:lvlJc w:val="right"/>
      <w:pPr>
        <w:ind w:left="6480" w:hanging="180"/>
      </w:pPr>
    </w:lvl>
  </w:abstractNum>
  <w:abstractNum w:abstractNumId="21" w15:restartNumberingAfterBreak="0">
    <w:nsid w:val="4F4721CD"/>
    <w:multiLevelType w:val="hybridMultilevel"/>
    <w:tmpl w:val="FFFFFFFF"/>
    <w:lvl w:ilvl="0" w:tplc="D416ECE2">
      <w:start w:val="1"/>
      <w:numFmt w:val="upperLetter"/>
      <w:lvlText w:val="%1)"/>
      <w:lvlJc w:val="left"/>
      <w:pPr>
        <w:ind w:left="720" w:hanging="360"/>
      </w:pPr>
    </w:lvl>
    <w:lvl w:ilvl="1" w:tplc="2FF4030E">
      <w:start w:val="1"/>
      <w:numFmt w:val="lowerLetter"/>
      <w:lvlText w:val="%2."/>
      <w:lvlJc w:val="left"/>
      <w:pPr>
        <w:ind w:left="1440" w:hanging="360"/>
      </w:pPr>
    </w:lvl>
    <w:lvl w:ilvl="2" w:tplc="8D58F8BA">
      <w:start w:val="1"/>
      <w:numFmt w:val="lowerRoman"/>
      <w:lvlText w:val="%3."/>
      <w:lvlJc w:val="right"/>
      <w:pPr>
        <w:ind w:left="2160" w:hanging="180"/>
      </w:pPr>
    </w:lvl>
    <w:lvl w:ilvl="3" w:tplc="7CE001CA">
      <w:start w:val="1"/>
      <w:numFmt w:val="decimal"/>
      <w:lvlText w:val="%4."/>
      <w:lvlJc w:val="left"/>
      <w:pPr>
        <w:ind w:left="2880" w:hanging="360"/>
      </w:pPr>
    </w:lvl>
    <w:lvl w:ilvl="4" w:tplc="E658820C">
      <w:start w:val="1"/>
      <w:numFmt w:val="lowerLetter"/>
      <w:lvlText w:val="%5."/>
      <w:lvlJc w:val="left"/>
      <w:pPr>
        <w:ind w:left="3600" w:hanging="360"/>
      </w:pPr>
    </w:lvl>
    <w:lvl w:ilvl="5" w:tplc="A6323D16">
      <w:start w:val="1"/>
      <w:numFmt w:val="lowerRoman"/>
      <w:lvlText w:val="%6."/>
      <w:lvlJc w:val="right"/>
      <w:pPr>
        <w:ind w:left="4320" w:hanging="180"/>
      </w:pPr>
    </w:lvl>
    <w:lvl w:ilvl="6" w:tplc="F196CE10">
      <w:start w:val="1"/>
      <w:numFmt w:val="decimal"/>
      <w:lvlText w:val="%7."/>
      <w:lvlJc w:val="left"/>
      <w:pPr>
        <w:ind w:left="5040" w:hanging="360"/>
      </w:pPr>
    </w:lvl>
    <w:lvl w:ilvl="7" w:tplc="F4E0C688">
      <w:start w:val="1"/>
      <w:numFmt w:val="lowerLetter"/>
      <w:lvlText w:val="%8."/>
      <w:lvlJc w:val="left"/>
      <w:pPr>
        <w:ind w:left="5760" w:hanging="360"/>
      </w:pPr>
    </w:lvl>
    <w:lvl w:ilvl="8" w:tplc="E1F291D0">
      <w:start w:val="1"/>
      <w:numFmt w:val="lowerRoman"/>
      <w:lvlText w:val="%9."/>
      <w:lvlJc w:val="right"/>
      <w:pPr>
        <w:ind w:left="6480" w:hanging="180"/>
      </w:pPr>
    </w:lvl>
  </w:abstractNum>
  <w:abstractNum w:abstractNumId="22" w15:restartNumberingAfterBreak="0">
    <w:nsid w:val="55D061B4"/>
    <w:multiLevelType w:val="hybridMultilevel"/>
    <w:tmpl w:val="E5966E70"/>
    <w:lvl w:ilvl="0" w:tplc="1CCC050E">
      <w:start w:val="1"/>
      <w:numFmt w:val="bullet"/>
      <w:lvlText w:val="•"/>
      <w:lvlJc w:val="left"/>
      <w:pPr>
        <w:tabs>
          <w:tab w:val="num" w:pos="720"/>
        </w:tabs>
        <w:ind w:left="720" w:hanging="360"/>
      </w:pPr>
      <w:rPr>
        <w:rFonts w:ascii="Arial" w:hAnsi="Arial" w:hint="default"/>
      </w:rPr>
    </w:lvl>
    <w:lvl w:ilvl="1" w:tplc="52F631D6">
      <w:start w:val="251"/>
      <w:numFmt w:val="bullet"/>
      <w:lvlText w:val="–"/>
      <w:lvlJc w:val="left"/>
      <w:pPr>
        <w:tabs>
          <w:tab w:val="num" w:pos="1440"/>
        </w:tabs>
        <w:ind w:left="1440" w:hanging="360"/>
      </w:pPr>
      <w:rPr>
        <w:rFonts w:ascii="Calibri" w:hAnsi="Calibri" w:hint="default"/>
      </w:rPr>
    </w:lvl>
    <w:lvl w:ilvl="2" w:tplc="39025D7A" w:tentative="1">
      <w:start w:val="1"/>
      <w:numFmt w:val="bullet"/>
      <w:lvlText w:val="•"/>
      <w:lvlJc w:val="left"/>
      <w:pPr>
        <w:tabs>
          <w:tab w:val="num" w:pos="2160"/>
        </w:tabs>
        <w:ind w:left="2160" w:hanging="360"/>
      </w:pPr>
      <w:rPr>
        <w:rFonts w:ascii="Arial" w:hAnsi="Arial" w:hint="default"/>
      </w:rPr>
    </w:lvl>
    <w:lvl w:ilvl="3" w:tplc="6E7027B4" w:tentative="1">
      <w:start w:val="1"/>
      <w:numFmt w:val="bullet"/>
      <w:lvlText w:val="•"/>
      <w:lvlJc w:val="left"/>
      <w:pPr>
        <w:tabs>
          <w:tab w:val="num" w:pos="2880"/>
        </w:tabs>
        <w:ind w:left="2880" w:hanging="360"/>
      </w:pPr>
      <w:rPr>
        <w:rFonts w:ascii="Arial" w:hAnsi="Arial" w:hint="default"/>
      </w:rPr>
    </w:lvl>
    <w:lvl w:ilvl="4" w:tplc="A50C3686" w:tentative="1">
      <w:start w:val="1"/>
      <w:numFmt w:val="bullet"/>
      <w:lvlText w:val="•"/>
      <w:lvlJc w:val="left"/>
      <w:pPr>
        <w:tabs>
          <w:tab w:val="num" w:pos="3600"/>
        </w:tabs>
        <w:ind w:left="3600" w:hanging="360"/>
      </w:pPr>
      <w:rPr>
        <w:rFonts w:ascii="Arial" w:hAnsi="Arial" w:hint="default"/>
      </w:rPr>
    </w:lvl>
    <w:lvl w:ilvl="5" w:tplc="269C7A1C" w:tentative="1">
      <w:start w:val="1"/>
      <w:numFmt w:val="bullet"/>
      <w:lvlText w:val="•"/>
      <w:lvlJc w:val="left"/>
      <w:pPr>
        <w:tabs>
          <w:tab w:val="num" w:pos="4320"/>
        </w:tabs>
        <w:ind w:left="4320" w:hanging="360"/>
      </w:pPr>
      <w:rPr>
        <w:rFonts w:ascii="Arial" w:hAnsi="Arial" w:hint="default"/>
      </w:rPr>
    </w:lvl>
    <w:lvl w:ilvl="6" w:tplc="18B41154" w:tentative="1">
      <w:start w:val="1"/>
      <w:numFmt w:val="bullet"/>
      <w:lvlText w:val="•"/>
      <w:lvlJc w:val="left"/>
      <w:pPr>
        <w:tabs>
          <w:tab w:val="num" w:pos="5040"/>
        </w:tabs>
        <w:ind w:left="5040" w:hanging="360"/>
      </w:pPr>
      <w:rPr>
        <w:rFonts w:ascii="Arial" w:hAnsi="Arial" w:hint="default"/>
      </w:rPr>
    </w:lvl>
    <w:lvl w:ilvl="7" w:tplc="41D4D438" w:tentative="1">
      <w:start w:val="1"/>
      <w:numFmt w:val="bullet"/>
      <w:lvlText w:val="•"/>
      <w:lvlJc w:val="left"/>
      <w:pPr>
        <w:tabs>
          <w:tab w:val="num" w:pos="5760"/>
        </w:tabs>
        <w:ind w:left="5760" w:hanging="360"/>
      </w:pPr>
      <w:rPr>
        <w:rFonts w:ascii="Arial" w:hAnsi="Arial" w:hint="default"/>
      </w:rPr>
    </w:lvl>
    <w:lvl w:ilvl="8" w:tplc="EC028E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791FBD"/>
    <w:multiLevelType w:val="hybridMultilevel"/>
    <w:tmpl w:val="EC9818FA"/>
    <w:lvl w:ilvl="0" w:tplc="9F40FBC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15:restartNumberingAfterBreak="0">
    <w:nsid w:val="62F10CF1"/>
    <w:multiLevelType w:val="hybridMultilevel"/>
    <w:tmpl w:val="20E67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41B24BE"/>
    <w:multiLevelType w:val="hybridMultilevel"/>
    <w:tmpl w:val="7B9CA6B0"/>
    <w:lvl w:ilvl="0" w:tplc="381A86B8">
      <w:start w:val="1"/>
      <w:numFmt w:val="upperLetter"/>
      <w:lvlText w:val="%1."/>
      <w:lvlJc w:val="left"/>
      <w:pPr>
        <w:ind w:left="720" w:hanging="360"/>
      </w:pPr>
    </w:lvl>
    <w:lvl w:ilvl="1" w:tplc="A4BC558A">
      <w:start w:val="1"/>
      <w:numFmt w:val="lowerLetter"/>
      <w:lvlText w:val="%2."/>
      <w:lvlJc w:val="left"/>
      <w:pPr>
        <w:ind w:left="1440" w:hanging="360"/>
      </w:pPr>
    </w:lvl>
    <w:lvl w:ilvl="2" w:tplc="28209A64">
      <w:start w:val="1"/>
      <w:numFmt w:val="lowerRoman"/>
      <w:lvlText w:val="%3."/>
      <w:lvlJc w:val="right"/>
      <w:pPr>
        <w:ind w:left="2160" w:hanging="180"/>
      </w:pPr>
    </w:lvl>
    <w:lvl w:ilvl="3" w:tplc="8194780E">
      <w:start w:val="1"/>
      <w:numFmt w:val="decimal"/>
      <w:lvlText w:val="%4."/>
      <w:lvlJc w:val="left"/>
      <w:pPr>
        <w:ind w:left="2880" w:hanging="360"/>
      </w:pPr>
    </w:lvl>
    <w:lvl w:ilvl="4" w:tplc="1D36FA82">
      <w:start w:val="1"/>
      <w:numFmt w:val="lowerLetter"/>
      <w:lvlText w:val="%5."/>
      <w:lvlJc w:val="left"/>
      <w:pPr>
        <w:ind w:left="3600" w:hanging="360"/>
      </w:pPr>
    </w:lvl>
    <w:lvl w:ilvl="5" w:tplc="03D66D38">
      <w:start w:val="1"/>
      <w:numFmt w:val="lowerRoman"/>
      <w:lvlText w:val="%6."/>
      <w:lvlJc w:val="right"/>
      <w:pPr>
        <w:ind w:left="4320" w:hanging="180"/>
      </w:pPr>
    </w:lvl>
    <w:lvl w:ilvl="6" w:tplc="94AE3AE4">
      <w:start w:val="1"/>
      <w:numFmt w:val="decimal"/>
      <w:lvlText w:val="%7."/>
      <w:lvlJc w:val="left"/>
      <w:pPr>
        <w:ind w:left="5040" w:hanging="360"/>
      </w:pPr>
    </w:lvl>
    <w:lvl w:ilvl="7" w:tplc="9E3E5E0E">
      <w:start w:val="1"/>
      <w:numFmt w:val="lowerLetter"/>
      <w:lvlText w:val="%8."/>
      <w:lvlJc w:val="left"/>
      <w:pPr>
        <w:ind w:left="5760" w:hanging="360"/>
      </w:pPr>
    </w:lvl>
    <w:lvl w:ilvl="8" w:tplc="9C2AA5D8">
      <w:start w:val="1"/>
      <w:numFmt w:val="lowerRoman"/>
      <w:lvlText w:val="%9."/>
      <w:lvlJc w:val="right"/>
      <w:pPr>
        <w:ind w:left="6480" w:hanging="180"/>
      </w:pPr>
    </w:lvl>
  </w:abstractNum>
  <w:abstractNum w:abstractNumId="26" w15:restartNumberingAfterBreak="0">
    <w:nsid w:val="648D51A0"/>
    <w:multiLevelType w:val="hybridMultilevel"/>
    <w:tmpl w:val="63E6CFC0"/>
    <w:lvl w:ilvl="0" w:tplc="961422A4">
      <w:start w:val="1"/>
      <w:numFmt w:val="decimal"/>
      <w:lvlText w:val="%1."/>
      <w:lvlJc w:val="left"/>
      <w:pPr>
        <w:ind w:left="720" w:hanging="360"/>
      </w:pPr>
    </w:lvl>
    <w:lvl w:ilvl="1" w:tplc="6960198C">
      <w:start w:val="1"/>
      <w:numFmt w:val="lowerLetter"/>
      <w:lvlText w:val="%2."/>
      <w:lvlJc w:val="left"/>
      <w:pPr>
        <w:ind w:left="1440" w:hanging="360"/>
      </w:pPr>
    </w:lvl>
    <w:lvl w:ilvl="2" w:tplc="98543418">
      <w:start w:val="1"/>
      <w:numFmt w:val="lowerRoman"/>
      <w:lvlText w:val="%3."/>
      <w:lvlJc w:val="right"/>
      <w:pPr>
        <w:ind w:left="2160" w:hanging="180"/>
      </w:pPr>
    </w:lvl>
    <w:lvl w:ilvl="3" w:tplc="C616D444">
      <w:start w:val="1"/>
      <w:numFmt w:val="decimal"/>
      <w:lvlText w:val="%4."/>
      <w:lvlJc w:val="left"/>
      <w:pPr>
        <w:ind w:left="2880" w:hanging="360"/>
      </w:pPr>
    </w:lvl>
    <w:lvl w:ilvl="4" w:tplc="EBACE1FA">
      <w:start w:val="1"/>
      <w:numFmt w:val="lowerLetter"/>
      <w:lvlText w:val="%5."/>
      <w:lvlJc w:val="left"/>
      <w:pPr>
        <w:ind w:left="3600" w:hanging="360"/>
      </w:pPr>
    </w:lvl>
    <w:lvl w:ilvl="5" w:tplc="EA2C4F2C">
      <w:start w:val="1"/>
      <w:numFmt w:val="lowerRoman"/>
      <w:lvlText w:val="%6."/>
      <w:lvlJc w:val="right"/>
      <w:pPr>
        <w:ind w:left="4320" w:hanging="180"/>
      </w:pPr>
    </w:lvl>
    <w:lvl w:ilvl="6" w:tplc="BF9E8EA8">
      <w:start w:val="1"/>
      <w:numFmt w:val="decimal"/>
      <w:lvlText w:val="%7."/>
      <w:lvlJc w:val="left"/>
      <w:pPr>
        <w:ind w:left="5040" w:hanging="360"/>
      </w:pPr>
    </w:lvl>
    <w:lvl w:ilvl="7" w:tplc="4F4A4D3C">
      <w:start w:val="1"/>
      <w:numFmt w:val="lowerLetter"/>
      <w:lvlText w:val="%8."/>
      <w:lvlJc w:val="left"/>
      <w:pPr>
        <w:ind w:left="5760" w:hanging="360"/>
      </w:pPr>
    </w:lvl>
    <w:lvl w:ilvl="8" w:tplc="47A61A82">
      <w:start w:val="1"/>
      <w:numFmt w:val="lowerRoman"/>
      <w:lvlText w:val="%9."/>
      <w:lvlJc w:val="right"/>
      <w:pPr>
        <w:ind w:left="6480" w:hanging="180"/>
      </w:pPr>
    </w:lvl>
  </w:abstractNum>
  <w:abstractNum w:abstractNumId="27" w15:restartNumberingAfterBreak="0">
    <w:nsid w:val="661466D3"/>
    <w:multiLevelType w:val="hybridMultilevel"/>
    <w:tmpl w:val="D04C786C"/>
    <w:lvl w:ilvl="0" w:tplc="2B60455A">
      <w:start w:val="1"/>
      <w:numFmt w:val="decimal"/>
      <w:lvlText w:val="%1."/>
      <w:lvlJc w:val="left"/>
      <w:pPr>
        <w:ind w:left="720" w:hanging="360"/>
      </w:pPr>
    </w:lvl>
    <w:lvl w:ilvl="1" w:tplc="F5649A78">
      <w:start w:val="1"/>
      <w:numFmt w:val="lowerLetter"/>
      <w:lvlText w:val="%2."/>
      <w:lvlJc w:val="left"/>
      <w:pPr>
        <w:ind w:left="1440" w:hanging="360"/>
      </w:pPr>
    </w:lvl>
    <w:lvl w:ilvl="2" w:tplc="745EC82C">
      <w:start w:val="1"/>
      <w:numFmt w:val="lowerRoman"/>
      <w:lvlText w:val="%3."/>
      <w:lvlJc w:val="right"/>
      <w:pPr>
        <w:ind w:left="2160" w:hanging="180"/>
      </w:pPr>
    </w:lvl>
    <w:lvl w:ilvl="3" w:tplc="C35C2E9C">
      <w:start w:val="1"/>
      <w:numFmt w:val="decimal"/>
      <w:lvlText w:val="%4."/>
      <w:lvlJc w:val="left"/>
      <w:pPr>
        <w:ind w:left="2880" w:hanging="360"/>
      </w:pPr>
    </w:lvl>
    <w:lvl w:ilvl="4" w:tplc="77DA8958">
      <w:start w:val="1"/>
      <w:numFmt w:val="lowerLetter"/>
      <w:lvlText w:val="%5."/>
      <w:lvlJc w:val="left"/>
      <w:pPr>
        <w:ind w:left="3600" w:hanging="360"/>
      </w:pPr>
    </w:lvl>
    <w:lvl w:ilvl="5" w:tplc="9FCCBE8E">
      <w:start w:val="1"/>
      <w:numFmt w:val="lowerRoman"/>
      <w:lvlText w:val="%6."/>
      <w:lvlJc w:val="right"/>
      <w:pPr>
        <w:ind w:left="4320" w:hanging="180"/>
      </w:pPr>
    </w:lvl>
    <w:lvl w:ilvl="6" w:tplc="FF54E004">
      <w:start w:val="1"/>
      <w:numFmt w:val="decimal"/>
      <w:lvlText w:val="%7."/>
      <w:lvlJc w:val="left"/>
      <w:pPr>
        <w:ind w:left="5040" w:hanging="360"/>
      </w:pPr>
    </w:lvl>
    <w:lvl w:ilvl="7" w:tplc="A148B982">
      <w:start w:val="1"/>
      <w:numFmt w:val="lowerLetter"/>
      <w:lvlText w:val="%8."/>
      <w:lvlJc w:val="left"/>
      <w:pPr>
        <w:ind w:left="5760" w:hanging="360"/>
      </w:pPr>
    </w:lvl>
    <w:lvl w:ilvl="8" w:tplc="55180F58">
      <w:start w:val="1"/>
      <w:numFmt w:val="lowerRoman"/>
      <w:lvlText w:val="%9."/>
      <w:lvlJc w:val="right"/>
      <w:pPr>
        <w:ind w:left="6480" w:hanging="180"/>
      </w:pPr>
    </w:lvl>
  </w:abstractNum>
  <w:abstractNum w:abstractNumId="28" w15:restartNumberingAfterBreak="0">
    <w:nsid w:val="67493353"/>
    <w:multiLevelType w:val="hybridMultilevel"/>
    <w:tmpl w:val="AA225606"/>
    <w:lvl w:ilvl="0" w:tplc="0B3C408C">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8458F0"/>
    <w:multiLevelType w:val="hybridMultilevel"/>
    <w:tmpl w:val="52A878B4"/>
    <w:lvl w:ilvl="0" w:tplc="1B32B736">
      <w:start w:val="1"/>
      <w:numFmt w:val="bullet"/>
      <w:lvlText w:val="·"/>
      <w:lvlJc w:val="left"/>
      <w:pPr>
        <w:ind w:left="720" w:hanging="360"/>
      </w:pPr>
      <w:rPr>
        <w:rFonts w:ascii="Symbol" w:hAnsi="Symbol" w:hint="default"/>
      </w:rPr>
    </w:lvl>
    <w:lvl w:ilvl="1" w:tplc="29087874">
      <w:start w:val="1"/>
      <w:numFmt w:val="bullet"/>
      <w:lvlText w:val="o"/>
      <w:lvlJc w:val="left"/>
      <w:pPr>
        <w:ind w:left="1440" w:hanging="360"/>
      </w:pPr>
      <w:rPr>
        <w:rFonts w:ascii="Courier New" w:hAnsi="Courier New" w:hint="default"/>
      </w:rPr>
    </w:lvl>
    <w:lvl w:ilvl="2" w:tplc="A074F23C">
      <w:start w:val="1"/>
      <w:numFmt w:val="bullet"/>
      <w:lvlText w:val=""/>
      <w:lvlJc w:val="left"/>
      <w:pPr>
        <w:ind w:left="2160" w:hanging="360"/>
      </w:pPr>
      <w:rPr>
        <w:rFonts w:ascii="Wingdings" w:hAnsi="Wingdings" w:hint="default"/>
      </w:rPr>
    </w:lvl>
    <w:lvl w:ilvl="3" w:tplc="8E18A054">
      <w:start w:val="1"/>
      <w:numFmt w:val="bullet"/>
      <w:lvlText w:val=""/>
      <w:lvlJc w:val="left"/>
      <w:pPr>
        <w:ind w:left="2880" w:hanging="360"/>
      </w:pPr>
      <w:rPr>
        <w:rFonts w:ascii="Symbol" w:hAnsi="Symbol" w:hint="default"/>
      </w:rPr>
    </w:lvl>
    <w:lvl w:ilvl="4" w:tplc="1CFC2EBC">
      <w:start w:val="1"/>
      <w:numFmt w:val="bullet"/>
      <w:lvlText w:val="o"/>
      <w:lvlJc w:val="left"/>
      <w:pPr>
        <w:ind w:left="3600" w:hanging="360"/>
      </w:pPr>
      <w:rPr>
        <w:rFonts w:ascii="Courier New" w:hAnsi="Courier New" w:hint="default"/>
      </w:rPr>
    </w:lvl>
    <w:lvl w:ilvl="5" w:tplc="5D2A95CA">
      <w:start w:val="1"/>
      <w:numFmt w:val="bullet"/>
      <w:lvlText w:val=""/>
      <w:lvlJc w:val="left"/>
      <w:pPr>
        <w:ind w:left="4320" w:hanging="360"/>
      </w:pPr>
      <w:rPr>
        <w:rFonts w:ascii="Wingdings" w:hAnsi="Wingdings" w:hint="default"/>
      </w:rPr>
    </w:lvl>
    <w:lvl w:ilvl="6" w:tplc="15B63BFC">
      <w:start w:val="1"/>
      <w:numFmt w:val="bullet"/>
      <w:lvlText w:val=""/>
      <w:lvlJc w:val="left"/>
      <w:pPr>
        <w:ind w:left="5040" w:hanging="360"/>
      </w:pPr>
      <w:rPr>
        <w:rFonts w:ascii="Symbol" w:hAnsi="Symbol" w:hint="default"/>
      </w:rPr>
    </w:lvl>
    <w:lvl w:ilvl="7" w:tplc="7DDA9096">
      <w:start w:val="1"/>
      <w:numFmt w:val="bullet"/>
      <w:lvlText w:val="o"/>
      <w:lvlJc w:val="left"/>
      <w:pPr>
        <w:ind w:left="5760" w:hanging="360"/>
      </w:pPr>
      <w:rPr>
        <w:rFonts w:ascii="Courier New" w:hAnsi="Courier New" w:hint="default"/>
      </w:rPr>
    </w:lvl>
    <w:lvl w:ilvl="8" w:tplc="518E11F2">
      <w:start w:val="1"/>
      <w:numFmt w:val="bullet"/>
      <w:lvlText w:val=""/>
      <w:lvlJc w:val="left"/>
      <w:pPr>
        <w:ind w:left="6480" w:hanging="360"/>
      </w:pPr>
      <w:rPr>
        <w:rFonts w:ascii="Wingdings" w:hAnsi="Wingdings" w:hint="default"/>
      </w:rPr>
    </w:lvl>
  </w:abstractNum>
  <w:abstractNum w:abstractNumId="30" w15:restartNumberingAfterBreak="0">
    <w:nsid w:val="6C90148C"/>
    <w:multiLevelType w:val="hybridMultilevel"/>
    <w:tmpl w:val="FFFFFFFF"/>
    <w:lvl w:ilvl="0" w:tplc="E480A9BA">
      <w:start w:val="1"/>
      <w:numFmt w:val="decimal"/>
      <w:lvlText w:val="%1."/>
      <w:lvlJc w:val="left"/>
      <w:pPr>
        <w:ind w:left="720" w:hanging="360"/>
      </w:pPr>
    </w:lvl>
    <w:lvl w:ilvl="1" w:tplc="E564D0C8">
      <w:start w:val="1"/>
      <w:numFmt w:val="lowerLetter"/>
      <w:lvlText w:val="%2."/>
      <w:lvlJc w:val="left"/>
      <w:pPr>
        <w:ind w:left="1440" w:hanging="360"/>
      </w:pPr>
    </w:lvl>
    <w:lvl w:ilvl="2" w:tplc="363268E8">
      <w:start w:val="1"/>
      <w:numFmt w:val="lowerRoman"/>
      <w:lvlText w:val="%3."/>
      <w:lvlJc w:val="right"/>
      <w:pPr>
        <w:ind w:left="2160" w:hanging="180"/>
      </w:pPr>
    </w:lvl>
    <w:lvl w:ilvl="3" w:tplc="15C8F088">
      <w:start w:val="1"/>
      <w:numFmt w:val="decimal"/>
      <w:lvlText w:val="%4."/>
      <w:lvlJc w:val="left"/>
      <w:pPr>
        <w:ind w:left="2880" w:hanging="360"/>
      </w:pPr>
    </w:lvl>
    <w:lvl w:ilvl="4" w:tplc="44363238">
      <w:start w:val="1"/>
      <w:numFmt w:val="lowerLetter"/>
      <w:lvlText w:val="%5."/>
      <w:lvlJc w:val="left"/>
      <w:pPr>
        <w:ind w:left="3600" w:hanging="360"/>
      </w:pPr>
    </w:lvl>
    <w:lvl w:ilvl="5" w:tplc="F8FA3452">
      <w:start w:val="1"/>
      <w:numFmt w:val="lowerRoman"/>
      <w:lvlText w:val="%6."/>
      <w:lvlJc w:val="right"/>
      <w:pPr>
        <w:ind w:left="4320" w:hanging="180"/>
      </w:pPr>
    </w:lvl>
    <w:lvl w:ilvl="6" w:tplc="BB4AA9AC">
      <w:start w:val="1"/>
      <w:numFmt w:val="decimal"/>
      <w:lvlText w:val="%7."/>
      <w:lvlJc w:val="left"/>
      <w:pPr>
        <w:ind w:left="5040" w:hanging="360"/>
      </w:pPr>
    </w:lvl>
    <w:lvl w:ilvl="7" w:tplc="96304B96">
      <w:start w:val="1"/>
      <w:numFmt w:val="lowerLetter"/>
      <w:lvlText w:val="%8."/>
      <w:lvlJc w:val="left"/>
      <w:pPr>
        <w:ind w:left="5760" w:hanging="360"/>
      </w:pPr>
    </w:lvl>
    <w:lvl w:ilvl="8" w:tplc="4AF06DD0">
      <w:start w:val="1"/>
      <w:numFmt w:val="lowerRoman"/>
      <w:lvlText w:val="%9."/>
      <w:lvlJc w:val="right"/>
      <w:pPr>
        <w:ind w:left="6480" w:hanging="180"/>
      </w:pPr>
    </w:lvl>
  </w:abstractNum>
  <w:abstractNum w:abstractNumId="31" w15:restartNumberingAfterBreak="0">
    <w:nsid w:val="6CFE211B"/>
    <w:multiLevelType w:val="hybridMultilevel"/>
    <w:tmpl w:val="A37A0BD2"/>
    <w:lvl w:ilvl="0" w:tplc="EEEC5520">
      <w:start w:val="1"/>
      <w:numFmt w:val="bullet"/>
      <w:lvlText w:val=""/>
      <w:lvlJc w:val="left"/>
      <w:pPr>
        <w:ind w:left="720" w:hanging="360"/>
      </w:pPr>
      <w:rPr>
        <w:rFonts w:ascii="Symbol" w:hAnsi="Symbol" w:hint="default"/>
      </w:rPr>
    </w:lvl>
    <w:lvl w:ilvl="1" w:tplc="31028DF6">
      <w:start w:val="1"/>
      <w:numFmt w:val="bullet"/>
      <w:lvlText w:val="o"/>
      <w:lvlJc w:val="left"/>
      <w:pPr>
        <w:ind w:left="1440" w:hanging="360"/>
      </w:pPr>
      <w:rPr>
        <w:rFonts w:ascii="Courier New" w:hAnsi="Courier New" w:hint="default"/>
      </w:rPr>
    </w:lvl>
    <w:lvl w:ilvl="2" w:tplc="ABC054AA">
      <w:start w:val="1"/>
      <w:numFmt w:val="bullet"/>
      <w:lvlText w:val=""/>
      <w:lvlJc w:val="left"/>
      <w:pPr>
        <w:ind w:left="2160" w:hanging="360"/>
      </w:pPr>
      <w:rPr>
        <w:rFonts w:ascii="Wingdings" w:hAnsi="Wingdings" w:hint="default"/>
      </w:rPr>
    </w:lvl>
    <w:lvl w:ilvl="3" w:tplc="9962BB0A">
      <w:start w:val="1"/>
      <w:numFmt w:val="bullet"/>
      <w:lvlText w:val=""/>
      <w:lvlJc w:val="left"/>
      <w:pPr>
        <w:ind w:left="2880" w:hanging="360"/>
      </w:pPr>
      <w:rPr>
        <w:rFonts w:ascii="Symbol" w:hAnsi="Symbol" w:hint="default"/>
      </w:rPr>
    </w:lvl>
    <w:lvl w:ilvl="4" w:tplc="E66E9B3C">
      <w:start w:val="1"/>
      <w:numFmt w:val="bullet"/>
      <w:lvlText w:val="o"/>
      <w:lvlJc w:val="left"/>
      <w:pPr>
        <w:ind w:left="3600" w:hanging="360"/>
      </w:pPr>
      <w:rPr>
        <w:rFonts w:ascii="Courier New" w:hAnsi="Courier New" w:hint="default"/>
      </w:rPr>
    </w:lvl>
    <w:lvl w:ilvl="5" w:tplc="EF9E10C8">
      <w:start w:val="1"/>
      <w:numFmt w:val="bullet"/>
      <w:lvlText w:val=""/>
      <w:lvlJc w:val="left"/>
      <w:pPr>
        <w:ind w:left="4320" w:hanging="360"/>
      </w:pPr>
      <w:rPr>
        <w:rFonts w:ascii="Wingdings" w:hAnsi="Wingdings" w:hint="default"/>
      </w:rPr>
    </w:lvl>
    <w:lvl w:ilvl="6" w:tplc="08D08F80">
      <w:start w:val="1"/>
      <w:numFmt w:val="bullet"/>
      <w:lvlText w:val=""/>
      <w:lvlJc w:val="left"/>
      <w:pPr>
        <w:ind w:left="5040" w:hanging="360"/>
      </w:pPr>
      <w:rPr>
        <w:rFonts w:ascii="Symbol" w:hAnsi="Symbol" w:hint="default"/>
      </w:rPr>
    </w:lvl>
    <w:lvl w:ilvl="7" w:tplc="8C3693C0">
      <w:start w:val="1"/>
      <w:numFmt w:val="bullet"/>
      <w:lvlText w:val="o"/>
      <w:lvlJc w:val="left"/>
      <w:pPr>
        <w:ind w:left="5760" w:hanging="360"/>
      </w:pPr>
      <w:rPr>
        <w:rFonts w:ascii="Courier New" w:hAnsi="Courier New" w:hint="default"/>
      </w:rPr>
    </w:lvl>
    <w:lvl w:ilvl="8" w:tplc="B92AF69E">
      <w:start w:val="1"/>
      <w:numFmt w:val="bullet"/>
      <w:lvlText w:val=""/>
      <w:lvlJc w:val="left"/>
      <w:pPr>
        <w:ind w:left="6480" w:hanging="360"/>
      </w:pPr>
      <w:rPr>
        <w:rFonts w:ascii="Wingdings" w:hAnsi="Wingdings" w:hint="default"/>
      </w:rPr>
    </w:lvl>
  </w:abstractNum>
  <w:abstractNum w:abstractNumId="32" w15:restartNumberingAfterBreak="0">
    <w:nsid w:val="6D5409C1"/>
    <w:multiLevelType w:val="hybridMultilevel"/>
    <w:tmpl w:val="CFB00F6E"/>
    <w:lvl w:ilvl="0" w:tplc="03227EA0">
      <w:start w:val="54"/>
      <w:numFmt w:val="decimal"/>
      <w:lvlText w:val="Artículo %1."/>
      <w:lvlJc w:val="left"/>
      <w:pPr>
        <w:ind w:left="1004" w:hanging="360"/>
      </w:pPr>
      <w:rPr>
        <w:rFonts w:ascii="Bookman Old Style" w:hAnsi="Bookman Old Style" w:hint="default"/>
        <w:b/>
        <w:i w:val="0"/>
        <w:sz w:val="24"/>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3" w15:restartNumberingAfterBreak="0">
    <w:nsid w:val="6F5971C3"/>
    <w:multiLevelType w:val="hybridMultilevel"/>
    <w:tmpl w:val="2E7493C2"/>
    <w:lvl w:ilvl="0" w:tplc="F8CC317C">
      <w:start w:val="1"/>
      <w:numFmt w:val="bullet"/>
      <w:lvlText w:val=""/>
      <w:lvlJc w:val="left"/>
      <w:pPr>
        <w:ind w:left="720" w:hanging="360"/>
      </w:pPr>
      <w:rPr>
        <w:rFonts w:ascii="Symbol" w:hAnsi="Symbol" w:hint="default"/>
      </w:rPr>
    </w:lvl>
    <w:lvl w:ilvl="1" w:tplc="B568E712">
      <w:start w:val="1"/>
      <w:numFmt w:val="bullet"/>
      <w:lvlText w:val="o"/>
      <w:lvlJc w:val="left"/>
      <w:pPr>
        <w:ind w:left="1440" w:hanging="360"/>
      </w:pPr>
      <w:rPr>
        <w:rFonts w:ascii="Courier New" w:hAnsi="Courier New" w:hint="default"/>
      </w:rPr>
    </w:lvl>
    <w:lvl w:ilvl="2" w:tplc="1EF058A4">
      <w:start w:val="1"/>
      <w:numFmt w:val="bullet"/>
      <w:lvlText w:val=""/>
      <w:lvlJc w:val="left"/>
      <w:pPr>
        <w:ind w:left="2160" w:hanging="360"/>
      </w:pPr>
      <w:rPr>
        <w:rFonts w:ascii="Wingdings" w:hAnsi="Wingdings" w:hint="default"/>
      </w:rPr>
    </w:lvl>
    <w:lvl w:ilvl="3" w:tplc="0780333E">
      <w:start w:val="1"/>
      <w:numFmt w:val="bullet"/>
      <w:lvlText w:val=""/>
      <w:lvlJc w:val="left"/>
      <w:pPr>
        <w:ind w:left="2880" w:hanging="360"/>
      </w:pPr>
      <w:rPr>
        <w:rFonts w:ascii="Symbol" w:hAnsi="Symbol" w:hint="default"/>
      </w:rPr>
    </w:lvl>
    <w:lvl w:ilvl="4" w:tplc="540A5E48">
      <w:start w:val="1"/>
      <w:numFmt w:val="bullet"/>
      <w:lvlText w:val="o"/>
      <w:lvlJc w:val="left"/>
      <w:pPr>
        <w:ind w:left="3600" w:hanging="360"/>
      </w:pPr>
      <w:rPr>
        <w:rFonts w:ascii="Courier New" w:hAnsi="Courier New" w:hint="default"/>
      </w:rPr>
    </w:lvl>
    <w:lvl w:ilvl="5" w:tplc="5C606036">
      <w:start w:val="1"/>
      <w:numFmt w:val="bullet"/>
      <w:lvlText w:val=""/>
      <w:lvlJc w:val="left"/>
      <w:pPr>
        <w:ind w:left="4320" w:hanging="360"/>
      </w:pPr>
      <w:rPr>
        <w:rFonts w:ascii="Wingdings" w:hAnsi="Wingdings" w:hint="default"/>
      </w:rPr>
    </w:lvl>
    <w:lvl w:ilvl="6" w:tplc="8AFEBC16">
      <w:start w:val="1"/>
      <w:numFmt w:val="bullet"/>
      <w:lvlText w:val=""/>
      <w:lvlJc w:val="left"/>
      <w:pPr>
        <w:ind w:left="5040" w:hanging="360"/>
      </w:pPr>
      <w:rPr>
        <w:rFonts w:ascii="Symbol" w:hAnsi="Symbol" w:hint="default"/>
      </w:rPr>
    </w:lvl>
    <w:lvl w:ilvl="7" w:tplc="3D123DDE">
      <w:start w:val="1"/>
      <w:numFmt w:val="bullet"/>
      <w:lvlText w:val="o"/>
      <w:lvlJc w:val="left"/>
      <w:pPr>
        <w:ind w:left="5760" w:hanging="360"/>
      </w:pPr>
      <w:rPr>
        <w:rFonts w:ascii="Courier New" w:hAnsi="Courier New" w:hint="default"/>
      </w:rPr>
    </w:lvl>
    <w:lvl w:ilvl="8" w:tplc="EEE2EEF0">
      <w:start w:val="1"/>
      <w:numFmt w:val="bullet"/>
      <w:lvlText w:val=""/>
      <w:lvlJc w:val="left"/>
      <w:pPr>
        <w:ind w:left="6480" w:hanging="360"/>
      </w:pPr>
      <w:rPr>
        <w:rFonts w:ascii="Wingdings" w:hAnsi="Wingdings" w:hint="default"/>
      </w:rPr>
    </w:lvl>
  </w:abstractNum>
  <w:abstractNum w:abstractNumId="34" w15:restartNumberingAfterBreak="0">
    <w:nsid w:val="725919B9"/>
    <w:multiLevelType w:val="hybridMultilevel"/>
    <w:tmpl w:val="FFFFFFFF"/>
    <w:lvl w:ilvl="0" w:tplc="0B3C408C">
      <w:start w:val="1"/>
      <w:numFmt w:val="bullet"/>
      <w:lvlText w:val="·"/>
      <w:lvlJc w:val="left"/>
      <w:pPr>
        <w:ind w:left="720" w:hanging="360"/>
      </w:pPr>
      <w:rPr>
        <w:rFonts w:ascii="Symbol" w:hAnsi="Symbol" w:hint="default"/>
      </w:rPr>
    </w:lvl>
    <w:lvl w:ilvl="1" w:tplc="C3CACA36">
      <w:start w:val="1"/>
      <w:numFmt w:val="bullet"/>
      <w:lvlText w:val="o"/>
      <w:lvlJc w:val="left"/>
      <w:pPr>
        <w:ind w:left="1440" w:hanging="360"/>
      </w:pPr>
      <w:rPr>
        <w:rFonts w:ascii="Courier New" w:hAnsi="Courier New" w:hint="default"/>
      </w:rPr>
    </w:lvl>
    <w:lvl w:ilvl="2" w:tplc="09428CC0">
      <w:start w:val="1"/>
      <w:numFmt w:val="bullet"/>
      <w:lvlText w:val=""/>
      <w:lvlJc w:val="left"/>
      <w:pPr>
        <w:ind w:left="2160" w:hanging="360"/>
      </w:pPr>
      <w:rPr>
        <w:rFonts w:ascii="Wingdings" w:hAnsi="Wingdings" w:hint="default"/>
      </w:rPr>
    </w:lvl>
    <w:lvl w:ilvl="3" w:tplc="20F820C0">
      <w:start w:val="1"/>
      <w:numFmt w:val="bullet"/>
      <w:lvlText w:val=""/>
      <w:lvlJc w:val="left"/>
      <w:pPr>
        <w:ind w:left="2880" w:hanging="360"/>
      </w:pPr>
      <w:rPr>
        <w:rFonts w:ascii="Symbol" w:hAnsi="Symbol" w:hint="default"/>
      </w:rPr>
    </w:lvl>
    <w:lvl w:ilvl="4" w:tplc="EBA80C8E">
      <w:start w:val="1"/>
      <w:numFmt w:val="bullet"/>
      <w:lvlText w:val="o"/>
      <w:lvlJc w:val="left"/>
      <w:pPr>
        <w:ind w:left="3600" w:hanging="360"/>
      </w:pPr>
      <w:rPr>
        <w:rFonts w:ascii="Courier New" w:hAnsi="Courier New" w:hint="default"/>
      </w:rPr>
    </w:lvl>
    <w:lvl w:ilvl="5" w:tplc="F81A915A">
      <w:start w:val="1"/>
      <w:numFmt w:val="bullet"/>
      <w:lvlText w:val=""/>
      <w:lvlJc w:val="left"/>
      <w:pPr>
        <w:ind w:left="4320" w:hanging="360"/>
      </w:pPr>
      <w:rPr>
        <w:rFonts w:ascii="Wingdings" w:hAnsi="Wingdings" w:hint="default"/>
      </w:rPr>
    </w:lvl>
    <w:lvl w:ilvl="6" w:tplc="BC128BDA">
      <w:start w:val="1"/>
      <w:numFmt w:val="bullet"/>
      <w:lvlText w:val=""/>
      <w:lvlJc w:val="left"/>
      <w:pPr>
        <w:ind w:left="5040" w:hanging="360"/>
      </w:pPr>
      <w:rPr>
        <w:rFonts w:ascii="Symbol" w:hAnsi="Symbol" w:hint="default"/>
      </w:rPr>
    </w:lvl>
    <w:lvl w:ilvl="7" w:tplc="CD409326">
      <w:start w:val="1"/>
      <w:numFmt w:val="bullet"/>
      <w:lvlText w:val="o"/>
      <w:lvlJc w:val="left"/>
      <w:pPr>
        <w:ind w:left="5760" w:hanging="360"/>
      </w:pPr>
      <w:rPr>
        <w:rFonts w:ascii="Courier New" w:hAnsi="Courier New" w:hint="default"/>
      </w:rPr>
    </w:lvl>
    <w:lvl w:ilvl="8" w:tplc="BAA61DCA">
      <w:start w:val="1"/>
      <w:numFmt w:val="bullet"/>
      <w:lvlText w:val=""/>
      <w:lvlJc w:val="left"/>
      <w:pPr>
        <w:ind w:left="6480" w:hanging="360"/>
      </w:pPr>
      <w:rPr>
        <w:rFonts w:ascii="Wingdings" w:hAnsi="Wingdings" w:hint="default"/>
      </w:rPr>
    </w:lvl>
  </w:abstractNum>
  <w:abstractNum w:abstractNumId="35" w15:restartNumberingAfterBreak="0">
    <w:nsid w:val="74BB7812"/>
    <w:multiLevelType w:val="hybridMultilevel"/>
    <w:tmpl w:val="D3F60A2E"/>
    <w:lvl w:ilvl="0" w:tplc="240A0013">
      <w:start w:val="1"/>
      <w:numFmt w:val="upperRoman"/>
      <w:lvlText w:val="%1."/>
      <w:lvlJc w:val="right"/>
      <w:pPr>
        <w:ind w:left="4188"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6" w15:restartNumberingAfterBreak="0">
    <w:nsid w:val="78356335"/>
    <w:multiLevelType w:val="hybridMultilevel"/>
    <w:tmpl w:val="823CB15E"/>
    <w:lvl w:ilvl="0" w:tplc="F4EE0946">
      <w:start w:val="1"/>
      <w:numFmt w:val="bullet"/>
      <w:lvlText w:val="•"/>
      <w:lvlJc w:val="left"/>
      <w:pPr>
        <w:tabs>
          <w:tab w:val="num" w:pos="720"/>
        </w:tabs>
        <w:ind w:left="720" w:hanging="360"/>
      </w:pPr>
      <w:rPr>
        <w:rFonts w:ascii="Arial" w:hAnsi="Arial" w:hint="default"/>
      </w:rPr>
    </w:lvl>
    <w:lvl w:ilvl="1" w:tplc="FE14F87E" w:tentative="1">
      <w:start w:val="1"/>
      <w:numFmt w:val="bullet"/>
      <w:lvlText w:val="•"/>
      <w:lvlJc w:val="left"/>
      <w:pPr>
        <w:tabs>
          <w:tab w:val="num" w:pos="1440"/>
        </w:tabs>
        <w:ind w:left="1440" w:hanging="360"/>
      </w:pPr>
      <w:rPr>
        <w:rFonts w:ascii="Arial" w:hAnsi="Arial" w:hint="default"/>
      </w:rPr>
    </w:lvl>
    <w:lvl w:ilvl="2" w:tplc="BD2245AE" w:tentative="1">
      <w:start w:val="1"/>
      <w:numFmt w:val="bullet"/>
      <w:lvlText w:val="•"/>
      <w:lvlJc w:val="left"/>
      <w:pPr>
        <w:tabs>
          <w:tab w:val="num" w:pos="2160"/>
        </w:tabs>
        <w:ind w:left="2160" w:hanging="360"/>
      </w:pPr>
      <w:rPr>
        <w:rFonts w:ascii="Arial" w:hAnsi="Arial" w:hint="default"/>
      </w:rPr>
    </w:lvl>
    <w:lvl w:ilvl="3" w:tplc="B128BC8E" w:tentative="1">
      <w:start w:val="1"/>
      <w:numFmt w:val="bullet"/>
      <w:lvlText w:val="•"/>
      <w:lvlJc w:val="left"/>
      <w:pPr>
        <w:tabs>
          <w:tab w:val="num" w:pos="2880"/>
        </w:tabs>
        <w:ind w:left="2880" w:hanging="360"/>
      </w:pPr>
      <w:rPr>
        <w:rFonts w:ascii="Arial" w:hAnsi="Arial" w:hint="default"/>
      </w:rPr>
    </w:lvl>
    <w:lvl w:ilvl="4" w:tplc="2976DD46" w:tentative="1">
      <w:start w:val="1"/>
      <w:numFmt w:val="bullet"/>
      <w:lvlText w:val="•"/>
      <w:lvlJc w:val="left"/>
      <w:pPr>
        <w:tabs>
          <w:tab w:val="num" w:pos="3600"/>
        </w:tabs>
        <w:ind w:left="3600" w:hanging="360"/>
      </w:pPr>
      <w:rPr>
        <w:rFonts w:ascii="Arial" w:hAnsi="Arial" w:hint="default"/>
      </w:rPr>
    </w:lvl>
    <w:lvl w:ilvl="5" w:tplc="4F26D9CC" w:tentative="1">
      <w:start w:val="1"/>
      <w:numFmt w:val="bullet"/>
      <w:lvlText w:val="•"/>
      <w:lvlJc w:val="left"/>
      <w:pPr>
        <w:tabs>
          <w:tab w:val="num" w:pos="4320"/>
        </w:tabs>
        <w:ind w:left="4320" w:hanging="360"/>
      </w:pPr>
      <w:rPr>
        <w:rFonts w:ascii="Arial" w:hAnsi="Arial" w:hint="default"/>
      </w:rPr>
    </w:lvl>
    <w:lvl w:ilvl="6" w:tplc="0A64F2B0" w:tentative="1">
      <w:start w:val="1"/>
      <w:numFmt w:val="bullet"/>
      <w:lvlText w:val="•"/>
      <w:lvlJc w:val="left"/>
      <w:pPr>
        <w:tabs>
          <w:tab w:val="num" w:pos="5040"/>
        </w:tabs>
        <w:ind w:left="5040" w:hanging="360"/>
      </w:pPr>
      <w:rPr>
        <w:rFonts w:ascii="Arial" w:hAnsi="Arial" w:hint="default"/>
      </w:rPr>
    </w:lvl>
    <w:lvl w:ilvl="7" w:tplc="E1B469FE" w:tentative="1">
      <w:start w:val="1"/>
      <w:numFmt w:val="bullet"/>
      <w:lvlText w:val="•"/>
      <w:lvlJc w:val="left"/>
      <w:pPr>
        <w:tabs>
          <w:tab w:val="num" w:pos="5760"/>
        </w:tabs>
        <w:ind w:left="5760" w:hanging="360"/>
      </w:pPr>
      <w:rPr>
        <w:rFonts w:ascii="Arial" w:hAnsi="Arial" w:hint="default"/>
      </w:rPr>
    </w:lvl>
    <w:lvl w:ilvl="8" w:tplc="A4BC646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5EC2"/>
    <w:multiLevelType w:val="hybridMultilevel"/>
    <w:tmpl w:val="FFFFFFFF"/>
    <w:lvl w:ilvl="0" w:tplc="1D08FB44">
      <w:start w:val="1"/>
      <w:numFmt w:val="decimal"/>
      <w:lvlText w:val="%1."/>
      <w:lvlJc w:val="left"/>
      <w:pPr>
        <w:ind w:left="720" w:hanging="360"/>
      </w:pPr>
    </w:lvl>
    <w:lvl w:ilvl="1" w:tplc="14543DAA">
      <w:start w:val="1"/>
      <w:numFmt w:val="lowerLetter"/>
      <w:lvlText w:val="%2."/>
      <w:lvlJc w:val="left"/>
      <w:pPr>
        <w:ind w:left="1440" w:hanging="360"/>
      </w:pPr>
    </w:lvl>
    <w:lvl w:ilvl="2" w:tplc="F42271D2">
      <w:start w:val="1"/>
      <w:numFmt w:val="lowerRoman"/>
      <w:lvlText w:val="%3."/>
      <w:lvlJc w:val="right"/>
      <w:pPr>
        <w:ind w:left="2160" w:hanging="180"/>
      </w:pPr>
    </w:lvl>
    <w:lvl w:ilvl="3" w:tplc="EF04F31C">
      <w:start w:val="1"/>
      <w:numFmt w:val="decimal"/>
      <w:lvlText w:val="%4."/>
      <w:lvlJc w:val="left"/>
      <w:pPr>
        <w:ind w:left="2880" w:hanging="360"/>
      </w:pPr>
    </w:lvl>
    <w:lvl w:ilvl="4" w:tplc="1C7C473C">
      <w:start w:val="1"/>
      <w:numFmt w:val="lowerLetter"/>
      <w:lvlText w:val="%5."/>
      <w:lvlJc w:val="left"/>
      <w:pPr>
        <w:ind w:left="3600" w:hanging="360"/>
      </w:pPr>
    </w:lvl>
    <w:lvl w:ilvl="5" w:tplc="2EB2B45A">
      <w:start w:val="1"/>
      <w:numFmt w:val="lowerRoman"/>
      <w:lvlText w:val="%6."/>
      <w:lvlJc w:val="right"/>
      <w:pPr>
        <w:ind w:left="4320" w:hanging="180"/>
      </w:pPr>
    </w:lvl>
    <w:lvl w:ilvl="6" w:tplc="61D0F9A0">
      <w:start w:val="1"/>
      <w:numFmt w:val="decimal"/>
      <w:lvlText w:val="%7."/>
      <w:lvlJc w:val="left"/>
      <w:pPr>
        <w:ind w:left="5040" w:hanging="360"/>
      </w:pPr>
    </w:lvl>
    <w:lvl w:ilvl="7" w:tplc="39A27F80">
      <w:start w:val="1"/>
      <w:numFmt w:val="lowerLetter"/>
      <w:lvlText w:val="%8."/>
      <w:lvlJc w:val="left"/>
      <w:pPr>
        <w:ind w:left="5760" w:hanging="360"/>
      </w:pPr>
    </w:lvl>
    <w:lvl w:ilvl="8" w:tplc="D34E0E58">
      <w:start w:val="1"/>
      <w:numFmt w:val="lowerRoman"/>
      <w:lvlText w:val="%9."/>
      <w:lvlJc w:val="right"/>
      <w:pPr>
        <w:ind w:left="6480" w:hanging="180"/>
      </w:pPr>
    </w:lvl>
  </w:abstractNum>
  <w:abstractNum w:abstractNumId="38" w15:restartNumberingAfterBreak="0">
    <w:nsid w:val="7ACE13BE"/>
    <w:multiLevelType w:val="hybridMultilevel"/>
    <w:tmpl w:val="FFFFFFFF"/>
    <w:lvl w:ilvl="0" w:tplc="41F02836">
      <w:start w:val="1"/>
      <w:numFmt w:val="bullet"/>
      <w:lvlText w:val=""/>
      <w:lvlJc w:val="left"/>
      <w:pPr>
        <w:ind w:left="720" w:hanging="360"/>
      </w:pPr>
      <w:rPr>
        <w:rFonts w:ascii="Symbol" w:hAnsi="Symbol" w:hint="default"/>
      </w:rPr>
    </w:lvl>
    <w:lvl w:ilvl="1" w:tplc="2B98E09E">
      <w:start w:val="1"/>
      <w:numFmt w:val="bullet"/>
      <w:lvlText w:val="o"/>
      <w:lvlJc w:val="left"/>
      <w:pPr>
        <w:ind w:left="1440" w:hanging="360"/>
      </w:pPr>
      <w:rPr>
        <w:rFonts w:ascii="Courier New" w:hAnsi="Courier New" w:hint="default"/>
      </w:rPr>
    </w:lvl>
    <w:lvl w:ilvl="2" w:tplc="9E7A210A">
      <w:start w:val="1"/>
      <w:numFmt w:val="bullet"/>
      <w:lvlText w:val=""/>
      <w:lvlJc w:val="left"/>
      <w:pPr>
        <w:ind w:left="2160" w:hanging="360"/>
      </w:pPr>
      <w:rPr>
        <w:rFonts w:ascii="Wingdings" w:hAnsi="Wingdings" w:hint="default"/>
      </w:rPr>
    </w:lvl>
    <w:lvl w:ilvl="3" w:tplc="02106F46">
      <w:start w:val="1"/>
      <w:numFmt w:val="bullet"/>
      <w:lvlText w:val=""/>
      <w:lvlJc w:val="left"/>
      <w:pPr>
        <w:ind w:left="2880" w:hanging="360"/>
      </w:pPr>
      <w:rPr>
        <w:rFonts w:ascii="Symbol" w:hAnsi="Symbol" w:hint="default"/>
      </w:rPr>
    </w:lvl>
    <w:lvl w:ilvl="4" w:tplc="72C4404C">
      <w:start w:val="1"/>
      <w:numFmt w:val="bullet"/>
      <w:lvlText w:val="o"/>
      <w:lvlJc w:val="left"/>
      <w:pPr>
        <w:ind w:left="3600" w:hanging="360"/>
      </w:pPr>
      <w:rPr>
        <w:rFonts w:ascii="Courier New" w:hAnsi="Courier New" w:hint="default"/>
      </w:rPr>
    </w:lvl>
    <w:lvl w:ilvl="5" w:tplc="30826C86">
      <w:start w:val="1"/>
      <w:numFmt w:val="bullet"/>
      <w:lvlText w:val=""/>
      <w:lvlJc w:val="left"/>
      <w:pPr>
        <w:ind w:left="4320" w:hanging="360"/>
      </w:pPr>
      <w:rPr>
        <w:rFonts w:ascii="Wingdings" w:hAnsi="Wingdings" w:hint="default"/>
      </w:rPr>
    </w:lvl>
    <w:lvl w:ilvl="6" w:tplc="DC2E8276">
      <w:start w:val="1"/>
      <w:numFmt w:val="bullet"/>
      <w:lvlText w:val=""/>
      <w:lvlJc w:val="left"/>
      <w:pPr>
        <w:ind w:left="5040" w:hanging="360"/>
      </w:pPr>
      <w:rPr>
        <w:rFonts w:ascii="Symbol" w:hAnsi="Symbol" w:hint="default"/>
      </w:rPr>
    </w:lvl>
    <w:lvl w:ilvl="7" w:tplc="56B48CA6">
      <w:start w:val="1"/>
      <w:numFmt w:val="bullet"/>
      <w:lvlText w:val="o"/>
      <w:lvlJc w:val="left"/>
      <w:pPr>
        <w:ind w:left="5760" w:hanging="360"/>
      </w:pPr>
      <w:rPr>
        <w:rFonts w:ascii="Courier New" w:hAnsi="Courier New" w:hint="default"/>
      </w:rPr>
    </w:lvl>
    <w:lvl w:ilvl="8" w:tplc="4B80C738">
      <w:start w:val="1"/>
      <w:numFmt w:val="bullet"/>
      <w:lvlText w:val=""/>
      <w:lvlJc w:val="left"/>
      <w:pPr>
        <w:ind w:left="6480" w:hanging="360"/>
      </w:pPr>
      <w:rPr>
        <w:rFonts w:ascii="Wingdings" w:hAnsi="Wingdings" w:hint="default"/>
      </w:rPr>
    </w:lvl>
  </w:abstractNum>
  <w:abstractNum w:abstractNumId="39" w15:restartNumberingAfterBreak="0">
    <w:nsid w:val="7E9B501D"/>
    <w:multiLevelType w:val="hybridMultilevel"/>
    <w:tmpl w:val="EC9818F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7EE56F9B"/>
    <w:multiLevelType w:val="hybridMultilevel"/>
    <w:tmpl w:val="AA669C16"/>
    <w:lvl w:ilvl="0" w:tplc="03227EA0">
      <w:start w:val="54"/>
      <w:numFmt w:val="decimal"/>
      <w:lvlText w:val="Artículo %1."/>
      <w:lvlJc w:val="left"/>
      <w:pPr>
        <w:ind w:left="1004" w:hanging="360"/>
      </w:pPr>
      <w:rPr>
        <w:rFonts w:ascii="Bookman Old Style" w:hAnsi="Bookman Old Style" w:hint="default"/>
        <w:b/>
        <w:i w:val="0"/>
        <w:sz w:val="24"/>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16cid:durableId="572349447">
    <w:abstractNumId w:val="18"/>
  </w:num>
  <w:num w:numId="2" w16cid:durableId="582683701">
    <w:abstractNumId w:val="37"/>
  </w:num>
  <w:num w:numId="3" w16cid:durableId="1385448001">
    <w:abstractNumId w:val="20"/>
  </w:num>
  <w:num w:numId="4" w16cid:durableId="2034960678">
    <w:abstractNumId w:val="30"/>
  </w:num>
  <w:num w:numId="5" w16cid:durableId="940989915">
    <w:abstractNumId w:val="12"/>
  </w:num>
  <w:num w:numId="6" w16cid:durableId="937954070">
    <w:abstractNumId w:val="10"/>
  </w:num>
  <w:num w:numId="7" w16cid:durableId="1860466478">
    <w:abstractNumId w:val="21"/>
  </w:num>
  <w:num w:numId="8" w16cid:durableId="1987591272">
    <w:abstractNumId w:val="19"/>
  </w:num>
  <w:num w:numId="9" w16cid:durableId="1057389302">
    <w:abstractNumId w:val="13"/>
  </w:num>
  <w:num w:numId="10" w16cid:durableId="736973234">
    <w:abstractNumId w:val="31"/>
  </w:num>
  <w:num w:numId="11" w16cid:durableId="916407082">
    <w:abstractNumId w:val="29"/>
  </w:num>
  <w:num w:numId="12" w16cid:durableId="1418938043">
    <w:abstractNumId w:val="26"/>
  </w:num>
  <w:num w:numId="13" w16cid:durableId="1816099271">
    <w:abstractNumId w:val="16"/>
  </w:num>
  <w:num w:numId="14" w16cid:durableId="1286931117">
    <w:abstractNumId w:val="27"/>
  </w:num>
  <w:num w:numId="15" w16cid:durableId="672147924">
    <w:abstractNumId w:val="34"/>
  </w:num>
  <w:num w:numId="16" w16cid:durableId="1809125414">
    <w:abstractNumId w:val="14"/>
  </w:num>
  <w:num w:numId="17" w16cid:durableId="142240505">
    <w:abstractNumId w:val="24"/>
  </w:num>
  <w:num w:numId="18" w16cid:durableId="618881608">
    <w:abstractNumId w:val="3"/>
  </w:num>
  <w:num w:numId="19" w16cid:durableId="457384320">
    <w:abstractNumId w:val="8"/>
  </w:num>
  <w:num w:numId="20" w16cid:durableId="653222416">
    <w:abstractNumId w:val="35"/>
  </w:num>
  <w:num w:numId="21" w16cid:durableId="756486675">
    <w:abstractNumId w:val="28"/>
  </w:num>
  <w:num w:numId="22" w16cid:durableId="213585698">
    <w:abstractNumId w:val="38"/>
  </w:num>
  <w:num w:numId="23" w16cid:durableId="652568462">
    <w:abstractNumId w:val="6"/>
  </w:num>
  <w:num w:numId="24" w16cid:durableId="1930192920">
    <w:abstractNumId w:val="5"/>
  </w:num>
  <w:num w:numId="25" w16cid:durableId="1363240416">
    <w:abstractNumId w:val="0"/>
  </w:num>
  <w:num w:numId="26" w16cid:durableId="1038161309">
    <w:abstractNumId w:val="15"/>
  </w:num>
  <w:num w:numId="27" w16cid:durableId="1001617302">
    <w:abstractNumId w:val="25"/>
  </w:num>
  <w:num w:numId="28" w16cid:durableId="1707439677">
    <w:abstractNumId w:val="33"/>
  </w:num>
  <w:num w:numId="29" w16cid:durableId="1409692335">
    <w:abstractNumId w:val="1"/>
  </w:num>
  <w:num w:numId="30" w16cid:durableId="495653510">
    <w:abstractNumId w:val="7"/>
  </w:num>
  <w:num w:numId="31" w16cid:durableId="2053724038">
    <w:abstractNumId w:val="4"/>
  </w:num>
  <w:num w:numId="32" w16cid:durableId="2122455892">
    <w:abstractNumId w:val="22"/>
  </w:num>
  <w:num w:numId="33" w16cid:durableId="1475098464">
    <w:abstractNumId w:val="36"/>
  </w:num>
  <w:num w:numId="34" w16cid:durableId="384331888">
    <w:abstractNumId w:val="17"/>
  </w:num>
  <w:num w:numId="35" w16cid:durableId="1347175297">
    <w:abstractNumId w:val="23"/>
  </w:num>
  <w:num w:numId="36" w16cid:durableId="873155602">
    <w:abstractNumId w:val="39"/>
  </w:num>
  <w:num w:numId="37" w16cid:durableId="1102577711">
    <w:abstractNumId w:val="9"/>
  </w:num>
  <w:num w:numId="38" w16cid:durableId="1410686557">
    <w:abstractNumId w:val="2"/>
  </w:num>
  <w:num w:numId="39" w16cid:durableId="1145513729">
    <w:abstractNumId w:val="32"/>
  </w:num>
  <w:num w:numId="40" w16cid:durableId="898437297">
    <w:abstractNumId w:val="40"/>
  </w:num>
  <w:num w:numId="41" w16cid:durableId="6315203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B8"/>
    <w:rsid w:val="000014F5"/>
    <w:rsid w:val="00001B3D"/>
    <w:rsid w:val="000021E1"/>
    <w:rsid w:val="0000244D"/>
    <w:rsid w:val="00002BB2"/>
    <w:rsid w:val="00003181"/>
    <w:rsid w:val="00004067"/>
    <w:rsid w:val="000040C9"/>
    <w:rsid w:val="0000516F"/>
    <w:rsid w:val="00005450"/>
    <w:rsid w:val="0000557F"/>
    <w:rsid w:val="00005948"/>
    <w:rsid w:val="00005C3F"/>
    <w:rsid w:val="00005D3A"/>
    <w:rsid w:val="000061AB"/>
    <w:rsid w:val="00006B71"/>
    <w:rsid w:val="0000752F"/>
    <w:rsid w:val="00007A1C"/>
    <w:rsid w:val="00007CB3"/>
    <w:rsid w:val="000114CB"/>
    <w:rsid w:val="00011D4C"/>
    <w:rsid w:val="00011ED6"/>
    <w:rsid w:val="000127F4"/>
    <w:rsid w:val="00012A94"/>
    <w:rsid w:val="00012B10"/>
    <w:rsid w:val="00012BF1"/>
    <w:rsid w:val="0001484E"/>
    <w:rsid w:val="0001567C"/>
    <w:rsid w:val="00015797"/>
    <w:rsid w:val="000159FD"/>
    <w:rsid w:val="00015A2B"/>
    <w:rsid w:val="0001667E"/>
    <w:rsid w:val="00017089"/>
    <w:rsid w:val="00017703"/>
    <w:rsid w:val="00017B4A"/>
    <w:rsid w:val="00017C12"/>
    <w:rsid w:val="00020E1E"/>
    <w:rsid w:val="00021403"/>
    <w:rsid w:val="00021563"/>
    <w:rsid w:val="0002166E"/>
    <w:rsid w:val="000217B6"/>
    <w:rsid w:val="00021E9B"/>
    <w:rsid w:val="0002202D"/>
    <w:rsid w:val="000220C1"/>
    <w:rsid w:val="00022301"/>
    <w:rsid w:val="000223CE"/>
    <w:rsid w:val="00022712"/>
    <w:rsid w:val="000227E3"/>
    <w:rsid w:val="00022C6D"/>
    <w:rsid w:val="00022D63"/>
    <w:rsid w:val="000230B9"/>
    <w:rsid w:val="00023485"/>
    <w:rsid w:val="00023941"/>
    <w:rsid w:val="000241FD"/>
    <w:rsid w:val="000249E8"/>
    <w:rsid w:val="00024C59"/>
    <w:rsid w:val="00024DFA"/>
    <w:rsid w:val="000255D4"/>
    <w:rsid w:val="000256FA"/>
    <w:rsid w:val="00025720"/>
    <w:rsid w:val="0002580A"/>
    <w:rsid w:val="0002616F"/>
    <w:rsid w:val="0002643D"/>
    <w:rsid w:val="0002665D"/>
    <w:rsid w:val="00026AA3"/>
    <w:rsid w:val="000270CB"/>
    <w:rsid w:val="000272C0"/>
    <w:rsid w:val="000273B4"/>
    <w:rsid w:val="0002753E"/>
    <w:rsid w:val="000276B0"/>
    <w:rsid w:val="000279D4"/>
    <w:rsid w:val="00027FFE"/>
    <w:rsid w:val="00030095"/>
    <w:rsid w:val="00030284"/>
    <w:rsid w:val="00030A1B"/>
    <w:rsid w:val="00030FA5"/>
    <w:rsid w:val="00031796"/>
    <w:rsid w:val="00031A48"/>
    <w:rsid w:val="00031D5B"/>
    <w:rsid w:val="00032343"/>
    <w:rsid w:val="00032AF7"/>
    <w:rsid w:val="0003381F"/>
    <w:rsid w:val="00033D0D"/>
    <w:rsid w:val="0003406A"/>
    <w:rsid w:val="000342EC"/>
    <w:rsid w:val="00034B56"/>
    <w:rsid w:val="00034E03"/>
    <w:rsid w:val="0003598B"/>
    <w:rsid w:val="000359DC"/>
    <w:rsid w:val="00035D8B"/>
    <w:rsid w:val="000360EB"/>
    <w:rsid w:val="00036677"/>
    <w:rsid w:val="00036971"/>
    <w:rsid w:val="00036AE7"/>
    <w:rsid w:val="000371B3"/>
    <w:rsid w:val="000373F1"/>
    <w:rsid w:val="000379BC"/>
    <w:rsid w:val="00037C6F"/>
    <w:rsid w:val="00040B32"/>
    <w:rsid w:val="00040B53"/>
    <w:rsid w:val="00041135"/>
    <w:rsid w:val="00041314"/>
    <w:rsid w:val="00041D43"/>
    <w:rsid w:val="00042357"/>
    <w:rsid w:val="0004241F"/>
    <w:rsid w:val="0004321B"/>
    <w:rsid w:val="00043865"/>
    <w:rsid w:val="000438E3"/>
    <w:rsid w:val="00043FAE"/>
    <w:rsid w:val="000441D4"/>
    <w:rsid w:val="00044283"/>
    <w:rsid w:val="000446DD"/>
    <w:rsid w:val="0004478C"/>
    <w:rsid w:val="00044AB1"/>
    <w:rsid w:val="00045391"/>
    <w:rsid w:val="00045899"/>
    <w:rsid w:val="000461EE"/>
    <w:rsid w:val="000467AC"/>
    <w:rsid w:val="00047184"/>
    <w:rsid w:val="000471A2"/>
    <w:rsid w:val="00047390"/>
    <w:rsid w:val="00047999"/>
    <w:rsid w:val="0004799D"/>
    <w:rsid w:val="0004980C"/>
    <w:rsid w:val="00050649"/>
    <w:rsid w:val="00050784"/>
    <w:rsid w:val="00050936"/>
    <w:rsid w:val="00050CCE"/>
    <w:rsid w:val="000511C6"/>
    <w:rsid w:val="00051362"/>
    <w:rsid w:val="00051B17"/>
    <w:rsid w:val="00052370"/>
    <w:rsid w:val="0005263D"/>
    <w:rsid w:val="00052C33"/>
    <w:rsid w:val="00052EC4"/>
    <w:rsid w:val="0005323C"/>
    <w:rsid w:val="00053658"/>
    <w:rsid w:val="00053922"/>
    <w:rsid w:val="000542F0"/>
    <w:rsid w:val="00054460"/>
    <w:rsid w:val="000549FD"/>
    <w:rsid w:val="00054D31"/>
    <w:rsid w:val="00055060"/>
    <w:rsid w:val="00055075"/>
    <w:rsid w:val="000557C1"/>
    <w:rsid w:val="00055B77"/>
    <w:rsid w:val="00055C6E"/>
    <w:rsid w:val="00055F0D"/>
    <w:rsid w:val="00056040"/>
    <w:rsid w:val="000561B5"/>
    <w:rsid w:val="00056362"/>
    <w:rsid w:val="00056EFA"/>
    <w:rsid w:val="00057EB1"/>
    <w:rsid w:val="00057F00"/>
    <w:rsid w:val="0006050F"/>
    <w:rsid w:val="00060FD4"/>
    <w:rsid w:val="0006117A"/>
    <w:rsid w:val="000614B1"/>
    <w:rsid w:val="00061820"/>
    <w:rsid w:val="00061FDB"/>
    <w:rsid w:val="0006211C"/>
    <w:rsid w:val="00062314"/>
    <w:rsid w:val="000625E6"/>
    <w:rsid w:val="00062B84"/>
    <w:rsid w:val="00062F45"/>
    <w:rsid w:val="00062FA2"/>
    <w:rsid w:val="0006307F"/>
    <w:rsid w:val="0006339E"/>
    <w:rsid w:val="000642D8"/>
    <w:rsid w:val="00064343"/>
    <w:rsid w:val="00064691"/>
    <w:rsid w:val="00065130"/>
    <w:rsid w:val="0006530F"/>
    <w:rsid w:val="00065952"/>
    <w:rsid w:val="00065ADC"/>
    <w:rsid w:val="00065CF3"/>
    <w:rsid w:val="00066D62"/>
    <w:rsid w:val="00066F1A"/>
    <w:rsid w:val="00067045"/>
    <w:rsid w:val="000708CE"/>
    <w:rsid w:val="00070945"/>
    <w:rsid w:val="00070948"/>
    <w:rsid w:val="00070B65"/>
    <w:rsid w:val="0007109A"/>
    <w:rsid w:val="00071402"/>
    <w:rsid w:val="000716E8"/>
    <w:rsid w:val="00071D90"/>
    <w:rsid w:val="00072305"/>
    <w:rsid w:val="00072A06"/>
    <w:rsid w:val="00072E33"/>
    <w:rsid w:val="0007348E"/>
    <w:rsid w:val="0007387D"/>
    <w:rsid w:val="00073FAF"/>
    <w:rsid w:val="00074786"/>
    <w:rsid w:val="00074B7E"/>
    <w:rsid w:val="00074C20"/>
    <w:rsid w:val="00074CDE"/>
    <w:rsid w:val="0007580C"/>
    <w:rsid w:val="00075AB2"/>
    <w:rsid w:val="00075ACC"/>
    <w:rsid w:val="00075FF0"/>
    <w:rsid w:val="0007614F"/>
    <w:rsid w:val="00076445"/>
    <w:rsid w:val="0007678D"/>
    <w:rsid w:val="00076F72"/>
    <w:rsid w:val="00077905"/>
    <w:rsid w:val="00077926"/>
    <w:rsid w:val="000800D0"/>
    <w:rsid w:val="0008073E"/>
    <w:rsid w:val="00080D61"/>
    <w:rsid w:val="0008122A"/>
    <w:rsid w:val="00081976"/>
    <w:rsid w:val="00081D02"/>
    <w:rsid w:val="00082254"/>
    <w:rsid w:val="00082972"/>
    <w:rsid w:val="00082B87"/>
    <w:rsid w:val="00082F02"/>
    <w:rsid w:val="00083A96"/>
    <w:rsid w:val="00083AAD"/>
    <w:rsid w:val="00084082"/>
    <w:rsid w:val="0008448D"/>
    <w:rsid w:val="0008604C"/>
    <w:rsid w:val="000865B2"/>
    <w:rsid w:val="0008667E"/>
    <w:rsid w:val="00086C93"/>
    <w:rsid w:val="00086F6B"/>
    <w:rsid w:val="00090956"/>
    <w:rsid w:val="000911B3"/>
    <w:rsid w:val="0009123C"/>
    <w:rsid w:val="00091345"/>
    <w:rsid w:val="0009177B"/>
    <w:rsid w:val="000917D6"/>
    <w:rsid w:val="00091B2F"/>
    <w:rsid w:val="00091CDB"/>
    <w:rsid w:val="00091FF7"/>
    <w:rsid w:val="000926AB"/>
    <w:rsid w:val="00092F67"/>
    <w:rsid w:val="0009382D"/>
    <w:rsid w:val="0009383C"/>
    <w:rsid w:val="00093A8E"/>
    <w:rsid w:val="00093BFE"/>
    <w:rsid w:val="00093C34"/>
    <w:rsid w:val="00094181"/>
    <w:rsid w:val="00094A9A"/>
    <w:rsid w:val="00094ECC"/>
    <w:rsid w:val="00095072"/>
    <w:rsid w:val="000952DF"/>
    <w:rsid w:val="00097016"/>
    <w:rsid w:val="00097358"/>
    <w:rsid w:val="000973AA"/>
    <w:rsid w:val="00097D9A"/>
    <w:rsid w:val="00097DFB"/>
    <w:rsid w:val="000A0304"/>
    <w:rsid w:val="000A0A80"/>
    <w:rsid w:val="000A132D"/>
    <w:rsid w:val="000A1677"/>
    <w:rsid w:val="000A19AC"/>
    <w:rsid w:val="000A1D19"/>
    <w:rsid w:val="000A33E8"/>
    <w:rsid w:val="000A3617"/>
    <w:rsid w:val="000A3888"/>
    <w:rsid w:val="000A3C4C"/>
    <w:rsid w:val="000A3DBD"/>
    <w:rsid w:val="000A3DC9"/>
    <w:rsid w:val="000A4E13"/>
    <w:rsid w:val="000A5589"/>
    <w:rsid w:val="000A597F"/>
    <w:rsid w:val="000A5E83"/>
    <w:rsid w:val="000A654F"/>
    <w:rsid w:val="000A66A8"/>
    <w:rsid w:val="000A69A1"/>
    <w:rsid w:val="000A73B2"/>
    <w:rsid w:val="000A751A"/>
    <w:rsid w:val="000A7C6E"/>
    <w:rsid w:val="000B06B1"/>
    <w:rsid w:val="000B0743"/>
    <w:rsid w:val="000B0996"/>
    <w:rsid w:val="000B0B1F"/>
    <w:rsid w:val="000B0B94"/>
    <w:rsid w:val="000B14C8"/>
    <w:rsid w:val="000B163C"/>
    <w:rsid w:val="000B1A17"/>
    <w:rsid w:val="000B1AF7"/>
    <w:rsid w:val="000B22B8"/>
    <w:rsid w:val="000B23C4"/>
    <w:rsid w:val="000B28DE"/>
    <w:rsid w:val="000B292D"/>
    <w:rsid w:val="000B2B65"/>
    <w:rsid w:val="000B2C81"/>
    <w:rsid w:val="000B334D"/>
    <w:rsid w:val="000B344E"/>
    <w:rsid w:val="000B359A"/>
    <w:rsid w:val="000B3BE1"/>
    <w:rsid w:val="000B3C84"/>
    <w:rsid w:val="000B413C"/>
    <w:rsid w:val="000B4B68"/>
    <w:rsid w:val="000B5DDB"/>
    <w:rsid w:val="000B5E52"/>
    <w:rsid w:val="000B62DA"/>
    <w:rsid w:val="000B6707"/>
    <w:rsid w:val="000B6B58"/>
    <w:rsid w:val="000B6FEA"/>
    <w:rsid w:val="000B7190"/>
    <w:rsid w:val="000B7263"/>
    <w:rsid w:val="000B7CCB"/>
    <w:rsid w:val="000C06D5"/>
    <w:rsid w:val="000C0CBC"/>
    <w:rsid w:val="000C0DD0"/>
    <w:rsid w:val="000C0F46"/>
    <w:rsid w:val="000C1A12"/>
    <w:rsid w:val="000C1AF1"/>
    <w:rsid w:val="000C1DED"/>
    <w:rsid w:val="000C22F0"/>
    <w:rsid w:val="000C28F8"/>
    <w:rsid w:val="000C2C77"/>
    <w:rsid w:val="000C2D7E"/>
    <w:rsid w:val="000C2F0D"/>
    <w:rsid w:val="000C3B68"/>
    <w:rsid w:val="000C3B79"/>
    <w:rsid w:val="000C3BB0"/>
    <w:rsid w:val="000C425D"/>
    <w:rsid w:val="000C47DD"/>
    <w:rsid w:val="000C59AF"/>
    <w:rsid w:val="000C5B10"/>
    <w:rsid w:val="000C5D4F"/>
    <w:rsid w:val="000C5DD0"/>
    <w:rsid w:val="000C6B9A"/>
    <w:rsid w:val="000C70DA"/>
    <w:rsid w:val="000C746A"/>
    <w:rsid w:val="000C77AE"/>
    <w:rsid w:val="000D06E4"/>
    <w:rsid w:val="000D0A81"/>
    <w:rsid w:val="000D0AED"/>
    <w:rsid w:val="000D0C6A"/>
    <w:rsid w:val="000D102D"/>
    <w:rsid w:val="000D15C5"/>
    <w:rsid w:val="000D1646"/>
    <w:rsid w:val="000D16EF"/>
    <w:rsid w:val="000D1FCD"/>
    <w:rsid w:val="000D20E4"/>
    <w:rsid w:val="000D26F8"/>
    <w:rsid w:val="000D27A2"/>
    <w:rsid w:val="000D2B18"/>
    <w:rsid w:val="000D2DB5"/>
    <w:rsid w:val="000D2E6E"/>
    <w:rsid w:val="000D3407"/>
    <w:rsid w:val="000D3450"/>
    <w:rsid w:val="000D393A"/>
    <w:rsid w:val="000D40FF"/>
    <w:rsid w:val="000D4D8E"/>
    <w:rsid w:val="000D5559"/>
    <w:rsid w:val="000D568D"/>
    <w:rsid w:val="000D572B"/>
    <w:rsid w:val="000D5B0E"/>
    <w:rsid w:val="000D5D36"/>
    <w:rsid w:val="000D62A8"/>
    <w:rsid w:val="000D71CD"/>
    <w:rsid w:val="000D7410"/>
    <w:rsid w:val="000D7794"/>
    <w:rsid w:val="000D79F2"/>
    <w:rsid w:val="000E0026"/>
    <w:rsid w:val="000E0057"/>
    <w:rsid w:val="000E04BC"/>
    <w:rsid w:val="000E05CF"/>
    <w:rsid w:val="000E0DCC"/>
    <w:rsid w:val="000E10C4"/>
    <w:rsid w:val="000E1224"/>
    <w:rsid w:val="000E1753"/>
    <w:rsid w:val="000E2BC0"/>
    <w:rsid w:val="000E2DF0"/>
    <w:rsid w:val="000E2F39"/>
    <w:rsid w:val="000E38B1"/>
    <w:rsid w:val="000E3C7A"/>
    <w:rsid w:val="000E3CF6"/>
    <w:rsid w:val="000E3FA6"/>
    <w:rsid w:val="000E47CE"/>
    <w:rsid w:val="000E49DA"/>
    <w:rsid w:val="000E4A3A"/>
    <w:rsid w:val="000E60BB"/>
    <w:rsid w:val="000E633D"/>
    <w:rsid w:val="000E69DD"/>
    <w:rsid w:val="000E7952"/>
    <w:rsid w:val="000F0462"/>
    <w:rsid w:val="000F04FB"/>
    <w:rsid w:val="000F192E"/>
    <w:rsid w:val="000F285F"/>
    <w:rsid w:val="000F2991"/>
    <w:rsid w:val="000F2C4B"/>
    <w:rsid w:val="000F3E0F"/>
    <w:rsid w:val="000F41C5"/>
    <w:rsid w:val="000F4CCF"/>
    <w:rsid w:val="000F53E9"/>
    <w:rsid w:val="000F5538"/>
    <w:rsid w:val="000F5F38"/>
    <w:rsid w:val="000F637B"/>
    <w:rsid w:val="000F6851"/>
    <w:rsid w:val="000F7382"/>
    <w:rsid w:val="000F757C"/>
    <w:rsid w:val="000F7871"/>
    <w:rsid w:val="000F7924"/>
    <w:rsid w:val="000F7CA5"/>
    <w:rsid w:val="001001D4"/>
    <w:rsid w:val="00100203"/>
    <w:rsid w:val="00100A81"/>
    <w:rsid w:val="00100FD7"/>
    <w:rsid w:val="00101100"/>
    <w:rsid w:val="0010116E"/>
    <w:rsid w:val="00101198"/>
    <w:rsid w:val="001017CC"/>
    <w:rsid w:val="001023EE"/>
    <w:rsid w:val="00102691"/>
    <w:rsid w:val="001028BF"/>
    <w:rsid w:val="00103244"/>
    <w:rsid w:val="00103A5B"/>
    <w:rsid w:val="00103C44"/>
    <w:rsid w:val="00103C9E"/>
    <w:rsid w:val="001052C4"/>
    <w:rsid w:val="00105549"/>
    <w:rsid w:val="001058F5"/>
    <w:rsid w:val="00105ADA"/>
    <w:rsid w:val="00105FDC"/>
    <w:rsid w:val="001065E3"/>
    <w:rsid w:val="00106A93"/>
    <w:rsid w:val="00106A9D"/>
    <w:rsid w:val="0010764B"/>
    <w:rsid w:val="001076A5"/>
    <w:rsid w:val="00107D20"/>
    <w:rsid w:val="0011066E"/>
    <w:rsid w:val="00110684"/>
    <w:rsid w:val="00111023"/>
    <w:rsid w:val="00111237"/>
    <w:rsid w:val="00111650"/>
    <w:rsid w:val="0011181E"/>
    <w:rsid w:val="00111860"/>
    <w:rsid w:val="0011244E"/>
    <w:rsid w:val="0011251B"/>
    <w:rsid w:val="0011291E"/>
    <w:rsid w:val="00112990"/>
    <w:rsid w:val="00112E3F"/>
    <w:rsid w:val="00113008"/>
    <w:rsid w:val="00113916"/>
    <w:rsid w:val="0011410E"/>
    <w:rsid w:val="001153ED"/>
    <w:rsid w:val="00115A63"/>
    <w:rsid w:val="00116050"/>
    <w:rsid w:val="00116639"/>
    <w:rsid w:val="00116919"/>
    <w:rsid w:val="00116EAE"/>
    <w:rsid w:val="00117042"/>
    <w:rsid w:val="00117517"/>
    <w:rsid w:val="00117A00"/>
    <w:rsid w:val="00117CCD"/>
    <w:rsid w:val="0011DDAB"/>
    <w:rsid w:val="001200B2"/>
    <w:rsid w:val="00120458"/>
    <w:rsid w:val="00120C52"/>
    <w:rsid w:val="00120E62"/>
    <w:rsid w:val="00121731"/>
    <w:rsid w:val="00121D3C"/>
    <w:rsid w:val="00122184"/>
    <w:rsid w:val="001225A2"/>
    <w:rsid w:val="00122682"/>
    <w:rsid w:val="00122AE4"/>
    <w:rsid w:val="00123EBD"/>
    <w:rsid w:val="001240F1"/>
    <w:rsid w:val="001241F8"/>
    <w:rsid w:val="00124B02"/>
    <w:rsid w:val="00124CB7"/>
    <w:rsid w:val="0012543E"/>
    <w:rsid w:val="00125660"/>
    <w:rsid w:val="00125FAF"/>
    <w:rsid w:val="00126B7E"/>
    <w:rsid w:val="00126F25"/>
    <w:rsid w:val="00126F8D"/>
    <w:rsid w:val="001274D4"/>
    <w:rsid w:val="00127EDC"/>
    <w:rsid w:val="0013053E"/>
    <w:rsid w:val="001308D6"/>
    <w:rsid w:val="00130E10"/>
    <w:rsid w:val="00131130"/>
    <w:rsid w:val="0013116C"/>
    <w:rsid w:val="00131C42"/>
    <w:rsid w:val="0013201C"/>
    <w:rsid w:val="001324E0"/>
    <w:rsid w:val="00132633"/>
    <w:rsid w:val="001326B7"/>
    <w:rsid w:val="00132DE6"/>
    <w:rsid w:val="00133331"/>
    <w:rsid w:val="0013369C"/>
    <w:rsid w:val="001338DB"/>
    <w:rsid w:val="00133B0C"/>
    <w:rsid w:val="00133E1F"/>
    <w:rsid w:val="0013407F"/>
    <w:rsid w:val="001342BA"/>
    <w:rsid w:val="0013447D"/>
    <w:rsid w:val="0013455B"/>
    <w:rsid w:val="001346F8"/>
    <w:rsid w:val="00134898"/>
    <w:rsid w:val="00134B65"/>
    <w:rsid w:val="00134D59"/>
    <w:rsid w:val="00134DD4"/>
    <w:rsid w:val="00134EDB"/>
    <w:rsid w:val="001354FE"/>
    <w:rsid w:val="00135C49"/>
    <w:rsid w:val="00135FEE"/>
    <w:rsid w:val="00137026"/>
    <w:rsid w:val="0013742D"/>
    <w:rsid w:val="001375D2"/>
    <w:rsid w:val="00137C01"/>
    <w:rsid w:val="00137D54"/>
    <w:rsid w:val="0014039C"/>
    <w:rsid w:val="0014040D"/>
    <w:rsid w:val="001405C6"/>
    <w:rsid w:val="0014063A"/>
    <w:rsid w:val="00140684"/>
    <w:rsid w:val="001408FC"/>
    <w:rsid w:val="00140A52"/>
    <w:rsid w:val="00140ABF"/>
    <w:rsid w:val="00141013"/>
    <w:rsid w:val="00141093"/>
    <w:rsid w:val="0014114F"/>
    <w:rsid w:val="00141426"/>
    <w:rsid w:val="001415B5"/>
    <w:rsid w:val="00141732"/>
    <w:rsid w:val="00141CD6"/>
    <w:rsid w:val="001439B8"/>
    <w:rsid w:val="00143ED4"/>
    <w:rsid w:val="00143FD6"/>
    <w:rsid w:val="001447E3"/>
    <w:rsid w:val="0014503B"/>
    <w:rsid w:val="00145066"/>
    <w:rsid w:val="001459AA"/>
    <w:rsid w:val="001463B0"/>
    <w:rsid w:val="00146818"/>
    <w:rsid w:val="0014690E"/>
    <w:rsid w:val="00147DF0"/>
    <w:rsid w:val="001500C9"/>
    <w:rsid w:val="00150140"/>
    <w:rsid w:val="001506D5"/>
    <w:rsid w:val="0015072F"/>
    <w:rsid w:val="001509DB"/>
    <w:rsid w:val="00151C17"/>
    <w:rsid w:val="00152386"/>
    <w:rsid w:val="001526FE"/>
    <w:rsid w:val="00152E05"/>
    <w:rsid w:val="00152E36"/>
    <w:rsid w:val="00153503"/>
    <w:rsid w:val="00153856"/>
    <w:rsid w:val="00153EC8"/>
    <w:rsid w:val="00153FF0"/>
    <w:rsid w:val="00155098"/>
    <w:rsid w:val="0015639C"/>
    <w:rsid w:val="0015721A"/>
    <w:rsid w:val="001572BE"/>
    <w:rsid w:val="00157391"/>
    <w:rsid w:val="00157BC9"/>
    <w:rsid w:val="0016008C"/>
    <w:rsid w:val="00160A4B"/>
    <w:rsid w:val="001611BE"/>
    <w:rsid w:val="001611F8"/>
    <w:rsid w:val="00161CA2"/>
    <w:rsid w:val="00162215"/>
    <w:rsid w:val="0016241D"/>
    <w:rsid w:val="00162AEA"/>
    <w:rsid w:val="00162D0C"/>
    <w:rsid w:val="00162D62"/>
    <w:rsid w:val="001643B9"/>
    <w:rsid w:val="001643BC"/>
    <w:rsid w:val="001646F5"/>
    <w:rsid w:val="00164719"/>
    <w:rsid w:val="00164BBC"/>
    <w:rsid w:val="00164E29"/>
    <w:rsid w:val="0016534A"/>
    <w:rsid w:val="00165D4F"/>
    <w:rsid w:val="00166911"/>
    <w:rsid w:val="00167A9A"/>
    <w:rsid w:val="0017055B"/>
    <w:rsid w:val="00170A57"/>
    <w:rsid w:val="00170BDE"/>
    <w:rsid w:val="00170EE2"/>
    <w:rsid w:val="001712D4"/>
    <w:rsid w:val="00171441"/>
    <w:rsid w:val="00171568"/>
    <w:rsid w:val="00172285"/>
    <w:rsid w:val="001728FF"/>
    <w:rsid w:val="00172940"/>
    <w:rsid w:val="00173950"/>
    <w:rsid w:val="00173E9F"/>
    <w:rsid w:val="00174B5C"/>
    <w:rsid w:val="00174C66"/>
    <w:rsid w:val="00174D65"/>
    <w:rsid w:val="0017582A"/>
    <w:rsid w:val="00175E0A"/>
    <w:rsid w:val="00175F22"/>
    <w:rsid w:val="0017667F"/>
    <w:rsid w:val="00176E35"/>
    <w:rsid w:val="00176F1F"/>
    <w:rsid w:val="00176F98"/>
    <w:rsid w:val="001774CC"/>
    <w:rsid w:val="00177F64"/>
    <w:rsid w:val="001805F6"/>
    <w:rsid w:val="00181C7A"/>
    <w:rsid w:val="00181CF4"/>
    <w:rsid w:val="00182580"/>
    <w:rsid w:val="001825C0"/>
    <w:rsid w:val="001826F0"/>
    <w:rsid w:val="00182A88"/>
    <w:rsid w:val="001836ED"/>
    <w:rsid w:val="0018439D"/>
    <w:rsid w:val="00184B0B"/>
    <w:rsid w:val="00184C2E"/>
    <w:rsid w:val="00184E0D"/>
    <w:rsid w:val="0018594A"/>
    <w:rsid w:val="00186134"/>
    <w:rsid w:val="00186212"/>
    <w:rsid w:val="00186792"/>
    <w:rsid w:val="00186B4C"/>
    <w:rsid w:val="00187409"/>
    <w:rsid w:val="00187850"/>
    <w:rsid w:val="00190223"/>
    <w:rsid w:val="0019073E"/>
    <w:rsid w:val="00190822"/>
    <w:rsid w:val="00190BD1"/>
    <w:rsid w:val="00190BE5"/>
    <w:rsid w:val="00191020"/>
    <w:rsid w:val="0019114F"/>
    <w:rsid w:val="00192022"/>
    <w:rsid w:val="00192397"/>
    <w:rsid w:val="00192791"/>
    <w:rsid w:val="00192CBF"/>
    <w:rsid w:val="00192FF1"/>
    <w:rsid w:val="001937C9"/>
    <w:rsid w:val="00193B30"/>
    <w:rsid w:val="00193C2B"/>
    <w:rsid w:val="00193E2A"/>
    <w:rsid w:val="00194554"/>
    <w:rsid w:val="001948E0"/>
    <w:rsid w:val="00194938"/>
    <w:rsid w:val="00194A7B"/>
    <w:rsid w:val="00194CD3"/>
    <w:rsid w:val="00194FEA"/>
    <w:rsid w:val="001953DE"/>
    <w:rsid w:val="0019556B"/>
    <w:rsid w:val="00195BE7"/>
    <w:rsid w:val="00195E1E"/>
    <w:rsid w:val="00195E6B"/>
    <w:rsid w:val="00195EAA"/>
    <w:rsid w:val="00196147"/>
    <w:rsid w:val="00196853"/>
    <w:rsid w:val="00196A20"/>
    <w:rsid w:val="00197229"/>
    <w:rsid w:val="0019778C"/>
    <w:rsid w:val="00197AF5"/>
    <w:rsid w:val="00197CF5"/>
    <w:rsid w:val="00197E67"/>
    <w:rsid w:val="00197ED6"/>
    <w:rsid w:val="001A0290"/>
    <w:rsid w:val="001A0618"/>
    <w:rsid w:val="001A075D"/>
    <w:rsid w:val="001A07B4"/>
    <w:rsid w:val="001A089B"/>
    <w:rsid w:val="001A0F43"/>
    <w:rsid w:val="001A10CF"/>
    <w:rsid w:val="001A1193"/>
    <w:rsid w:val="001A15E3"/>
    <w:rsid w:val="001A1846"/>
    <w:rsid w:val="001A18AE"/>
    <w:rsid w:val="001A1A0A"/>
    <w:rsid w:val="001A1A80"/>
    <w:rsid w:val="001A1DD8"/>
    <w:rsid w:val="001A2508"/>
    <w:rsid w:val="001A28F3"/>
    <w:rsid w:val="001A3582"/>
    <w:rsid w:val="001A3596"/>
    <w:rsid w:val="001A35DF"/>
    <w:rsid w:val="001A3657"/>
    <w:rsid w:val="001A3C92"/>
    <w:rsid w:val="001A4893"/>
    <w:rsid w:val="001A4B3C"/>
    <w:rsid w:val="001A4CF8"/>
    <w:rsid w:val="001A4F24"/>
    <w:rsid w:val="001A4FCC"/>
    <w:rsid w:val="001A5475"/>
    <w:rsid w:val="001A5F1B"/>
    <w:rsid w:val="001A727B"/>
    <w:rsid w:val="001A7323"/>
    <w:rsid w:val="001A74A7"/>
    <w:rsid w:val="001A753B"/>
    <w:rsid w:val="001A7CCD"/>
    <w:rsid w:val="001A7D52"/>
    <w:rsid w:val="001A7DDF"/>
    <w:rsid w:val="001B05AB"/>
    <w:rsid w:val="001B0646"/>
    <w:rsid w:val="001B0ACD"/>
    <w:rsid w:val="001B0B2E"/>
    <w:rsid w:val="001B0FA8"/>
    <w:rsid w:val="001B1375"/>
    <w:rsid w:val="001B1B0A"/>
    <w:rsid w:val="001B1D1C"/>
    <w:rsid w:val="001B2301"/>
    <w:rsid w:val="001B23D8"/>
    <w:rsid w:val="001B2589"/>
    <w:rsid w:val="001B35BF"/>
    <w:rsid w:val="001B371F"/>
    <w:rsid w:val="001B3924"/>
    <w:rsid w:val="001B3E02"/>
    <w:rsid w:val="001B3E15"/>
    <w:rsid w:val="001B3EBC"/>
    <w:rsid w:val="001B457D"/>
    <w:rsid w:val="001B458E"/>
    <w:rsid w:val="001B4D2B"/>
    <w:rsid w:val="001B4F40"/>
    <w:rsid w:val="001B59B0"/>
    <w:rsid w:val="001B5E92"/>
    <w:rsid w:val="001B5ED9"/>
    <w:rsid w:val="001B6269"/>
    <w:rsid w:val="001B67F2"/>
    <w:rsid w:val="001B7384"/>
    <w:rsid w:val="001B764E"/>
    <w:rsid w:val="001B768E"/>
    <w:rsid w:val="001B7861"/>
    <w:rsid w:val="001C041C"/>
    <w:rsid w:val="001C058A"/>
    <w:rsid w:val="001C082D"/>
    <w:rsid w:val="001C0866"/>
    <w:rsid w:val="001C0AC4"/>
    <w:rsid w:val="001C0BBA"/>
    <w:rsid w:val="001C0D42"/>
    <w:rsid w:val="001C0EDB"/>
    <w:rsid w:val="001C1412"/>
    <w:rsid w:val="001C1D1F"/>
    <w:rsid w:val="001C237B"/>
    <w:rsid w:val="001C251E"/>
    <w:rsid w:val="001C290F"/>
    <w:rsid w:val="001C3A1F"/>
    <w:rsid w:val="001C3EAE"/>
    <w:rsid w:val="001C4BFA"/>
    <w:rsid w:val="001C4E66"/>
    <w:rsid w:val="001C5267"/>
    <w:rsid w:val="001C52FE"/>
    <w:rsid w:val="001C56AE"/>
    <w:rsid w:val="001C579F"/>
    <w:rsid w:val="001C59C5"/>
    <w:rsid w:val="001C5DC6"/>
    <w:rsid w:val="001C63FC"/>
    <w:rsid w:val="001C6D08"/>
    <w:rsid w:val="001C6D4A"/>
    <w:rsid w:val="001C7639"/>
    <w:rsid w:val="001C7E95"/>
    <w:rsid w:val="001D042A"/>
    <w:rsid w:val="001D0BC9"/>
    <w:rsid w:val="001D1191"/>
    <w:rsid w:val="001D1F19"/>
    <w:rsid w:val="001D2E39"/>
    <w:rsid w:val="001D33B7"/>
    <w:rsid w:val="001D351B"/>
    <w:rsid w:val="001D366E"/>
    <w:rsid w:val="001D3B27"/>
    <w:rsid w:val="001D3BB2"/>
    <w:rsid w:val="001D3BC6"/>
    <w:rsid w:val="001D3CA7"/>
    <w:rsid w:val="001D3F08"/>
    <w:rsid w:val="001D4383"/>
    <w:rsid w:val="001D4665"/>
    <w:rsid w:val="001D4C24"/>
    <w:rsid w:val="001D5317"/>
    <w:rsid w:val="001D5554"/>
    <w:rsid w:val="001D5C28"/>
    <w:rsid w:val="001D60DE"/>
    <w:rsid w:val="001D6691"/>
    <w:rsid w:val="001D66DE"/>
    <w:rsid w:val="001D716C"/>
    <w:rsid w:val="001D7549"/>
    <w:rsid w:val="001D7D0C"/>
    <w:rsid w:val="001E0858"/>
    <w:rsid w:val="001E0DA7"/>
    <w:rsid w:val="001E0E41"/>
    <w:rsid w:val="001E0E83"/>
    <w:rsid w:val="001E16BB"/>
    <w:rsid w:val="001E1EB5"/>
    <w:rsid w:val="001E2BCD"/>
    <w:rsid w:val="001E3A34"/>
    <w:rsid w:val="001E3B6C"/>
    <w:rsid w:val="001E446F"/>
    <w:rsid w:val="001E4D92"/>
    <w:rsid w:val="001E5618"/>
    <w:rsid w:val="001E5FDB"/>
    <w:rsid w:val="001E67EE"/>
    <w:rsid w:val="001E6D4E"/>
    <w:rsid w:val="001E6D4F"/>
    <w:rsid w:val="001E70CD"/>
    <w:rsid w:val="001E7285"/>
    <w:rsid w:val="001E7425"/>
    <w:rsid w:val="001E79EB"/>
    <w:rsid w:val="001F1926"/>
    <w:rsid w:val="001F1E74"/>
    <w:rsid w:val="001F1F55"/>
    <w:rsid w:val="001F21FB"/>
    <w:rsid w:val="001F315F"/>
    <w:rsid w:val="001F3195"/>
    <w:rsid w:val="001F31E6"/>
    <w:rsid w:val="001F35A9"/>
    <w:rsid w:val="001F3E8B"/>
    <w:rsid w:val="001F3EDD"/>
    <w:rsid w:val="001F4F81"/>
    <w:rsid w:val="001F5709"/>
    <w:rsid w:val="001F62B0"/>
    <w:rsid w:val="001F6967"/>
    <w:rsid w:val="001F6995"/>
    <w:rsid w:val="001F69EA"/>
    <w:rsid w:val="001F6AA8"/>
    <w:rsid w:val="001F7546"/>
    <w:rsid w:val="001F787A"/>
    <w:rsid w:val="001F7B48"/>
    <w:rsid w:val="001F7D10"/>
    <w:rsid w:val="001F7DBA"/>
    <w:rsid w:val="001F7DD6"/>
    <w:rsid w:val="001F7E00"/>
    <w:rsid w:val="0020036B"/>
    <w:rsid w:val="0020064C"/>
    <w:rsid w:val="00200B37"/>
    <w:rsid w:val="00200CED"/>
    <w:rsid w:val="00200FC6"/>
    <w:rsid w:val="0020138C"/>
    <w:rsid w:val="002020C2"/>
    <w:rsid w:val="00202B60"/>
    <w:rsid w:val="00202BEA"/>
    <w:rsid w:val="00202E67"/>
    <w:rsid w:val="0020341B"/>
    <w:rsid w:val="002037BF"/>
    <w:rsid w:val="0020492F"/>
    <w:rsid w:val="00205ED9"/>
    <w:rsid w:val="0020645C"/>
    <w:rsid w:val="002064C7"/>
    <w:rsid w:val="00210345"/>
    <w:rsid w:val="00210C04"/>
    <w:rsid w:val="00211562"/>
    <w:rsid w:val="00211681"/>
    <w:rsid w:val="00211F9F"/>
    <w:rsid w:val="00211FFE"/>
    <w:rsid w:val="002129BF"/>
    <w:rsid w:val="002130E5"/>
    <w:rsid w:val="00213731"/>
    <w:rsid w:val="00213C12"/>
    <w:rsid w:val="00214014"/>
    <w:rsid w:val="00214DCF"/>
    <w:rsid w:val="00214E1B"/>
    <w:rsid w:val="002153D4"/>
    <w:rsid w:val="0021588E"/>
    <w:rsid w:val="00215BE6"/>
    <w:rsid w:val="0021614E"/>
    <w:rsid w:val="002163DF"/>
    <w:rsid w:val="00216637"/>
    <w:rsid w:val="00216A42"/>
    <w:rsid w:val="00216F51"/>
    <w:rsid w:val="00217979"/>
    <w:rsid w:val="00217E65"/>
    <w:rsid w:val="00217F84"/>
    <w:rsid w:val="00220180"/>
    <w:rsid w:val="00220351"/>
    <w:rsid w:val="0022157F"/>
    <w:rsid w:val="002223E3"/>
    <w:rsid w:val="002224A9"/>
    <w:rsid w:val="002225E3"/>
    <w:rsid w:val="00222CDA"/>
    <w:rsid w:val="00222E7C"/>
    <w:rsid w:val="00223319"/>
    <w:rsid w:val="00223773"/>
    <w:rsid w:val="00223C4C"/>
    <w:rsid w:val="00223CCE"/>
    <w:rsid w:val="00223DFD"/>
    <w:rsid w:val="00223FDF"/>
    <w:rsid w:val="00224602"/>
    <w:rsid w:val="002247AB"/>
    <w:rsid w:val="00224A12"/>
    <w:rsid w:val="00224B96"/>
    <w:rsid w:val="00225328"/>
    <w:rsid w:val="00225865"/>
    <w:rsid w:val="00225C04"/>
    <w:rsid w:val="00225E34"/>
    <w:rsid w:val="0022643A"/>
    <w:rsid w:val="0022721F"/>
    <w:rsid w:val="00227AE3"/>
    <w:rsid w:val="002306B6"/>
    <w:rsid w:val="00230DFD"/>
    <w:rsid w:val="00231357"/>
    <w:rsid w:val="0023157F"/>
    <w:rsid w:val="00231E11"/>
    <w:rsid w:val="00232188"/>
    <w:rsid w:val="002330CD"/>
    <w:rsid w:val="00233321"/>
    <w:rsid w:val="00234251"/>
    <w:rsid w:val="002343B7"/>
    <w:rsid w:val="00234A2E"/>
    <w:rsid w:val="00234AD4"/>
    <w:rsid w:val="00235351"/>
    <w:rsid w:val="00235356"/>
    <w:rsid w:val="00235588"/>
    <w:rsid w:val="002358B6"/>
    <w:rsid w:val="0023598F"/>
    <w:rsid w:val="0023691A"/>
    <w:rsid w:val="002371AD"/>
    <w:rsid w:val="00237574"/>
    <w:rsid w:val="002375B3"/>
    <w:rsid w:val="00240610"/>
    <w:rsid w:val="00240DF6"/>
    <w:rsid w:val="00240E2E"/>
    <w:rsid w:val="002416D3"/>
    <w:rsid w:val="00241838"/>
    <w:rsid w:val="00241C9A"/>
    <w:rsid w:val="00242340"/>
    <w:rsid w:val="00242BE5"/>
    <w:rsid w:val="00242CED"/>
    <w:rsid w:val="002444EB"/>
    <w:rsid w:val="00244851"/>
    <w:rsid w:val="00244881"/>
    <w:rsid w:val="00245D36"/>
    <w:rsid w:val="00245DEE"/>
    <w:rsid w:val="00246AE6"/>
    <w:rsid w:val="00246BBF"/>
    <w:rsid w:val="00246DD2"/>
    <w:rsid w:val="00247485"/>
    <w:rsid w:val="0024794D"/>
    <w:rsid w:val="002479A5"/>
    <w:rsid w:val="00247A36"/>
    <w:rsid w:val="00247A70"/>
    <w:rsid w:val="0025002D"/>
    <w:rsid w:val="0025027E"/>
    <w:rsid w:val="00250BD9"/>
    <w:rsid w:val="00251216"/>
    <w:rsid w:val="00251BDF"/>
    <w:rsid w:val="002527A2"/>
    <w:rsid w:val="00253F7F"/>
    <w:rsid w:val="0025432C"/>
    <w:rsid w:val="002543A0"/>
    <w:rsid w:val="0025485B"/>
    <w:rsid w:val="00254E2D"/>
    <w:rsid w:val="00255C08"/>
    <w:rsid w:val="002564CD"/>
    <w:rsid w:val="00256D6B"/>
    <w:rsid w:val="0025708B"/>
    <w:rsid w:val="002570A1"/>
    <w:rsid w:val="00257A38"/>
    <w:rsid w:val="00257CDE"/>
    <w:rsid w:val="002604D7"/>
    <w:rsid w:val="002608C6"/>
    <w:rsid w:val="002608FF"/>
    <w:rsid w:val="00262482"/>
    <w:rsid w:val="00262AA5"/>
    <w:rsid w:val="00262BD2"/>
    <w:rsid w:val="00263259"/>
    <w:rsid w:val="002642DB"/>
    <w:rsid w:val="00264B39"/>
    <w:rsid w:val="00264DD3"/>
    <w:rsid w:val="00265543"/>
    <w:rsid w:val="002658C6"/>
    <w:rsid w:val="00265A84"/>
    <w:rsid w:val="00266293"/>
    <w:rsid w:val="002666DC"/>
    <w:rsid w:val="0026689F"/>
    <w:rsid w:val="00266E33"/>
    <w:rsid w:val="0026733E"/>
    <w:rsid w:val="002677D3"/>
    <w:rsid w:val="002679FA"/>
    <w:rsid w:val="00267EAE"/>
    <w:rsid w:val="00270116"/>
    <w:rsid w:val="00270335"/>
    <w:rsid w:val="00270541"/>
    <w:rsid w:val="00271128"/>
    <w:rsid w:val="00271746"/>
    <w:rsid w:val="002723BB"/>
    <w:rsid w:val="0027254B"/>
    <w:rsid w:val="0027265C"/>
    <w:rsid w:val="002728B7"/>
    <w:rsid w:val="00272B51"/>
    <w:rsid w:val="00272B82"/>
    <w:rsid w:val="00272D34"/>
    <w:rsid w:val="002731DB"/>
    <w:rsid w:val="002738BF"/>
    <w:rsid w:val="00274030"/>
    <w:rsid w:val="00274064"/>
    <w:rsid w:val="0027439B"/>
    <w:rsid w:val="0027455C"/>
    <w:rsid w:val="0027462D"/>
    <w:rsid w:val="00275313"/>
    <w:rsid w:val="00275668"/>
    <w:rsid w:val="00275CD4"/>
    <w:rsid w:val="0027601E"/>
    <w:rsid w:val="00276063"/>
    <w:rsid w:val="002762AC"/>
    <w:rsid w:val="002770D3"/>
    <w:rsid w:val="00277239"/>
    <w:rsid w:val="002772DE"/>
    <w:rsid w:val="0027756B"/>
    <w:rsid w:val="00277838"/>
    <w:rsid w:val="002804AD"/>
    <w:rsid w:val="002809C7"/>
    <w:rsid w:val="002809FC"/>
    <w:rsid w:val="00280CA8"/>
    <w:rsid w:val="00281302"/>
    <w:rsid w:val="002813C7"/>
    <w:rsid w:val="002819FE"/>
    <w:rsid w:val="00281B80"/>
    <w:rsid w:val="0028246C"/>
    <w:rsid w:val="00282A32"/>
    <w:rsid w:val="0028336F"/>
    <w:rsid w:val="002833E0"/>
    <w:rsid w:val="00283ACA"/>
    <w:rsid w:val="00283DEE"/>
    <w:rsid w:val="00283FD0"/>
    <w:rsid w:val="0028445B"/>
    <w:rsid w:val="0028478C"/>
    <w:rsid w:val="002849EB"/>
    <w:rsid w:val="002849F9"/>
    <w:rsid w:val="00284FD8"/>
    <w:rsid w:val="0028551D"/>
    <w:rsid w:val="0028581B"/>
    <w:rsid w:val="00286C70"/>
    <w:rsid w:val="00287B5F"/>
    <w:rsid w:val="00287F9F"/>
    <w:rsid w:val="00290B43"/>
    <w:rsid w:val="00290DE4"/>
    <w:rsid w:val="00290DF0"/>
    <w:rsid w:val="00290EF5"/>
    <w:rsid w:val="00291589"/>
    <w:rsid w:val="00291B8A"/>
    <w:rsid w:val="0029263A"/>
    <w:rsid w:val="00292922"/>
    <w:rsid w:val="00292999"/>
    <w:rsid w:val="00292C7C"/>
    <w:rsid w:val="002937BB"/>
    <w:rsid w:val="00293801"/>
    <w:rsid w:val="00293E94"/>
    <w:rsid w:val="00293F45"/>
    <w:rsid w:val="00294268"/>
    <w:rsid w:val="00294348"/>
    <w:rsid w:val="00294832"/>
    <w:rsid w:val="002950E0"/>
    <w:rsid w:val="00295495"/>
    <w:rsid w:val="00295CB7"/>
    <w:rsid w:val="00296B37"/>
    <w:rsid w:val="00297326"/>
    <w:rsid w:val="00297354"/>
    <w:rsid w:val="0029760D"/>
    <w:rsid w:val="00297962"/>
    <w:rsid w:val="00297FBE"/>
    <w:rsid w:val="002A0024"/>
    <w:rsid w:val="002A005C"/>
    <w:rsid w:val="002A140E"/>
    <w:rsid w:val="002A1480"/>
    <w:rsid w:val="002A1498"/>
    <w:rsid w:val="002A2436"/>
    <w:rsid w:val="002A2699"/>
    <w:rsid w:val="002A2BE0"/>
    <w:rsid w:val="002A2F88"/>
    <w:rsid w:val="002A33B4"/>
    <w:rsid w:val="002A362D"/>
    <w:rsid w:val="002A367E"/>
    <w:rsid w:val="002A3BC1"/>
    <w:rsid w:val="002A3CFD"/>
    <w:rsid w:val="002A50F9"/>
    <w:rsid w:val="002A51B2"/>
    <w:rsid w:val="002A5869"/>
    <w:rsid w:val="002A58F6"/>
    <w:rsid w:val="002A5FA8"/>
    <w:rsid w:val="002A5FEC"/>
    <w:rsid w:val="002A64FA"/>
    <w:rsid w:val="002A65FB"/>
    <w:rsid w:val="002A7671"/>
    <w:rsid w:val="002AE003"/>
    <w:rsid w:val="002B0059"/>
    <w:rsid w:val="002B0551"/>
    <w:rsid w:val="002B0AA1"/>
    <w:rsid w:val="002B17F7"/>
    <w:rsid w:val="002B18DD"/>
    <w:rsid w:val="002B1AB8"/>
    <w:rsid w:val="002B1EA3"/>
    <w:rsid w:val="002B20E2"/>
    <w:rsid w:val="002B24B8"/>
    <w:rsid w:val="002B252F"/>
    <w:rsid w:val="002B2606"/>
    <w:rsid w:val="002B2A41"/>
    <w:rsid w:val="002B2D6D"/>
    <w:rsid w:val="002B2DFF"/>
    <w:rsid w:val="002B2ECB"/>
    <w:rsid w:val="002B3F2F"/>
    <w:rsid w:val="002B45F1"/>
    <w:rsid w:val="002B4B2A"/>
    <w:rsid w:val="002B4F2E"/>
    <w:rsid w:val="002B501B"/>
    <w:rsid w:val="002B6195"/>
    <w:rsid w:val="002B6554"/>
    <w:rsid w:val="002B66AA"/>
    <w:rsid w:val="002B6AA1"/>
    <w:rsid w:val="002B6BF9"/>
    <w:rsid w:val="002B6E64"/>
    <w:rsid w:val="002B7082"/>
    <w:rsid w:val="002B7647"/>
    <w:rsid w:val="002B7996"/>
    <w:rsid w:val="002B7E27"/>
    <w:rsid w:val="002B7E4B"/>
    <w:rsid w:val="002C0E2E"/>
    <w:rsid w:val="002C118E"/>
    <w:rsid w:val="002C2C92"/>
    <w:rsid w:val="002C3402"/>
    <w:rsid w:val="002C34DB"/>
    <w:rsid w:val="002C3764"/>
    <w:rsid w:val="002C3BA3"/>
    <w:rsid w:val="002C4700"/>
    <w:rsid w:val="002C5C1E"/>
    <w:rsid w:val="002C67D7"/>
    <w:rsid w:val="002C6A33"/>
    <w:rsid w:val="002C6F28"/>
    <w:rsid w:val="002C713A"/>
    <w:rsid w:val="002D001A"/>
    <w:rsid w:val="002D0C3B"/>
    <w:rsid w:val="002D137D"/>
    <w:rsid w:val="002D170F"/>
    <w:rsid w:val="002D19AB"/>
    <w:rsid w:val="002D19EC"/>
    <w:rsid w:val="002D1BC1"/>
    <w:rsid w:val="002D1C38"/>
    <w:rsid w:val="002D1F7A"/>
    <w:rsid w:val="002D244D"/>
    <w:rsid w:val="002D2555"/>
    <w:rsid w:val="002D2A4F"/>
    <w:rsid w:val="002D2E5C"/>
    <w:rsid w:val="002D3096"/>
    <w:rsid w:val="002D35E2"/>
    <w:rsid w:val="002D36B8"/>
    <w:rsid w:val="002D3AE9"/>
    <w:rsid w:val="002D3CD7"/>
    <w:rsid w:val="002D3CFF"/>
    <w:rsid w:val="002D3F82"/>
    <w:rsid w:val="002D4EA8"/>
    <w:rsid w:val="002D5950"/>
    <w:rsid w:val="002D5D09"/>
    <w:rsid w:val="002D69D2"/>
    <w:rsid w:val="002D6A02"/>
    <w:rsid w:val="002D6A94"/>
    <w:rsid w:val="002D7613"/>
    <w:rsid w:val="002E0B49"/>
    <w:rsid w:val="002E0B87"/>
    <w:rsid w:val="002E0E15"/>
    <w:rsid w:val="002E1905"/>
    <w:rsid w:val="002E19B7"/>
    <w:rsid w:val="002E22B1"/>
    <w:rsid w:val="002E24C2"/>
    <w:rsid w:val="002E2517"/>
    <w:rsid w:val="002E3852"/>
    <w:rsid w:val="002E408A"/>
    <w:rsid w:val="002E4D97"/>
    <w:rsid w:val="002E5755"/>
    <w:rsid w:val="002E5830"/>
    <w:rsid w:val="002E5B85"/>
    <w:rsid w:val="002E5DB7"/>
    <w:rsid w:val="002E6618"/>
    <w:rsid w:val="002E7A1E"/>
    <w:rsid w:val="002F0269"/>
    <w:rsid w:val="002F0894"/>
    <w:rsid w:val="002F12C7"/>
    <w:rsid w:val="002F1740"/>
    <w:rsid w:val="002F1F00"/>
    <w:rsid w:val="002F1F3B"/>
    <w:rsid w:val="002F22A5"/>
    <w:rsid w:val="002F22A9"/>
    <w:rsid w:val="002F27F1"/>
    <w:rsid w:val="002F3020"/>
    <w:rsid w:val="002F3144"/>
    <w:rsid w:val="002F4620"/>
    <w:rsid w:val="002F46B1"/>
    <w:rsid w:val="002F46E7"/>
    <w:rsid w:val="002F524F"/>
    <w:rsid w:val="002F59CA"/>
    <w:rsid w:val="002F6351"/>
    <w:rsid w:val="002F67F6"/>
    <w:rsid w:val="002F6B4B"/>
    <w:rsid w:val="002F6B69"/>
    <w:rsid w:val="002F6CFD"/>
    <w:rsid w:val="002F6D73"/>
    <w:rsid w:val="002F7275"/>
    <w:rsid w:val="002F7F09"/>
    <w:rsid w:val="002F7F90"/>
    <w:rsid w:val="0030020A"/>
    <w:rsid w:val="00300836"/>
    <w:rsid w:val="0030094D"/>
    <w:rsid w:val="003009EE"/>
    <w:rsid w:val="00301007"/>
    <w:rsid w:val="003010A2"/>
    <w:rsid w:val="00301218"/>
    <w:rsid w:val="0030134D"/>
    <w:rsid w:val="00301C66"/>
    <w:rsid w:val="003026F0"/>
    <w:rsid w:val="003027B1"/>
    <w:rsid w:val="00302B10"/>
    <w:rsid w:val="00302C80"/>
    <w:rsid w:val="00303280"/>
    <w:rsid w:val="0030354E"/>
    <w:rsid w:val="00303DA8"/>
    <w:rsid w:val="0030414E"/>
    <w:rsid w:val="003043C6"/>
    <w:rsid w:val="00305F6C"/>
    <w:rsid w:val="003061E5"/>
    <w:rsid w:val="00306BCF"/>
    <w:rsid w:val="00306CFC"/>
    <w:rsid w:val="00307C11"/>
    <w:rsid w:val="00310300"/>
    <w:rsid w:val="00310366"/>
    <w:rsid w:val="003108D7"/>
    <w:rsid w:val="00310A02"/>
    <w:rsid w:val="0031124A"/>
    <w:rsid w:val="00311EB4"/>
    <w:rsid w:val="003128DC"/>
    <w:rsid w:val="003129DA"/>
    <w:rsid w:val="003129E2"/>
    <w:rsid w:val="003129F1"/>
    <w:rsid w:val="00312D14"/>
    <w:rsid w:val="00312F77"/>
    <w:rsid w:val="00313055"/>
    <w:rsid w:val="003130E4"/>
    <w:rsid w:val="00313A92"/>
    <w:rsid w:val="00313BC7"/>
    <w:rsid w:val="00313E3B"/>
    <w:rsid w:val="00313EF0"/>
    <w:rsid w:val="00314882"/>
    <w:rsid w:val="00314AAA"/>
    <w:rsid w:val="00314D95"/>
    <w:rsid w:val="0031509F"/>
    <w:rsid w:val="00315207"/>
    <w:rsid w:val="00315751"/>
    <w:rsid w:val="00315AFD"/>
    <w:rsid w:val="00315CA8"/>
    <w:rsid w:val="00315EDC"/>
    <w:rsid w:val="00316011"/>
    <w:rsid w:val="00316893"/>
    <w:rsid w:val="003170A7"/>
    <w:rsid w:val="00317EFD"/>
    <w:rsid w:val="00320D88"/>
    <w:rsid w:val="00320FC9"/>
    <w:rsid w:val="003211CE"/>
    <w:rsid w:val="00321E2A"/>
    <w:rsid w:val="00321F8F"/>
    <w:rsid w:val="00322300"/>
    <w:rsid w:val="00322356"/>
    <w:rsid w:val="0032255D"/>
    <w:rsid w:val="0032287F"/>
    <w:rsid w:val="00322996"/>
    <w:rsid w:val="00322AA1"/>
    <w:rsid w:val="00322AC4"/>
    <w:rsid w:val="0032319E"/>
    <w:rsid w:val="00323358"/>
    <w:rsid w:val="003235DA"/>
    <w:rsid w:val="00323A43"/>
    <w:rsid w:val="0032437C"/>
    <w:rsid w:val="00324744"/>
    <w:rsid w:val="00324840"/>
    <w:rsid w:val="00324C81"/>
    <w:rsid w:val="00325347"/>
    <w:rsid w:val="0032565A"/>
    <w:rsid w:val="003258A0"/>
    <w:rsid w:val="00325AE3"/>
    <w:rsid w:val="00325B3E"/>
    <w:rsid w:val="00325FF5"/>
    <w:rsid w:val="00326216"/>
    <w:rsid w:val="00326826"/>
    <w:rsid w:val="00326AA6"/>
    <w:rsid w:val="00326FA9"/>
    <w:rsid w:val="00327B14"/>
    <w:rsid w:val="003300BE"/>
    <w:rsid w:val="00330533"/>
    <w:rsid w:val="0033087D"/>
    <w:rsid w:val="003309A5"/>
    <w:rsid w:val="003312FE"/>
    <w:rsid w:val="00331630"/>
    <w:rsid w:val="00331FBF"/>
    <w:rsid w:val="0033322D"/>
    <w:rsid w:val="00334076"/>
    <w:rsid w:val="00334B72"/>
    <w:rsid w:val="0033517E"/>
    <w:rsid w:val="003359BE"/>
    <w:rsid w:val="0033602C"/>
    <w:rsid w:val="00336A5A"/>
    <w:rsid w:val="00336D2A"/>
    <w:rsid w:val="003371CA"/>
    <w:rsid w:val="00337365"/>
    <w:rsid w:val="0034050A"/>
    <w:rsid w:val="00340BEA"/>
    <w:rsid w:val="003413BF"/>
    <w:rsid w:val="00341A51"/>
    <w:rsid w:val="00341B6F"/>
    <w:rsid w:val="00341F6A"/>
    <w:rsid w:val="003420A9"/>
    <w:rsid w:val="003426AF"/>
    <w:rsid w:val="00342EF4"/>
    <w:rsid w:val="00342F14"/>
    <w:rsid w:val="003433FF"/>
    <w:rsid w:val="00343D4B"/>
    <w:rsid w:val="00344051"/>
    <w:rsid w:val="00344573"/>
    <w:rsid w:val="00344AF6"/>
    <w:rsid w:val="00345AEF"/>
    <w:rsid w:val="003469E3"/>
    <w:rsid w:val="00346D78"/>
    <w:rsid w:val="00346E05"/>
    <w:rsid w:val="00346FEA"/>
    <w:rsid w:val="003471A4"/>
    <w:rsid w:val="0034781C"/>
    <w:rsid w:val="00347A0E"/>
    <w:rsid w:val="0035015B"/>
    <w:rsid w:val="0035122F"/>
    <w:rsid w:val="003514ED"/>
    <w:rsid w:val="0035170A"/>
    <w:rsid w:val="00351949"/>
    <w:rsid w:val="00351CA0"/>
    <w:rsid w:val="00351DA9"/>
    <w:rsid w:val="00352591"/>
    <w:rsid w:val="0035265B"/>
    <w:rsid w:val="003532F6"/>
    <w:rsid w:val="0035364B"/>
    <w:rsid w:val="003538C9"/>
    <w:rsid w:val="00353AE4"/>
    <w:rsid w:val="00353ED4"/>
    <w:rsid w:val="0035477F"/>
    <w:rsid w:val="00354A97"/>
    <w:rsid w:val="00355214"/>
    <w:rsid w:val="00355282"/>
    <w:rsid w:val="00355699"/>
    <w:rsid w:val="003559CA"/>
    <w:rsid w:val="00356115"/>
    <w:rsid w:val="0035619E"/>
    <w:rsid w:val="00356A02"/>
    <w:rsid w:val="00356AE4"/>
    <w:rsid w:val="003573B3"/>
    <w:rsid w:val="00357959"/>
    <w:rsid w:val="00357973"/>
    <w:rsid w:val="00357A6F"/>
    <w:rsid w:val="00357EC2"/>
    <w:rsid w:val="00361381"/>
    <w:rsid w:val="003613C1"/>
    <w:rsid w:val="00361A59"/>
    <w:rsid w:val="00361F80"/>
    <w:rsid w:val="00362264"/>
    <w:rsid w:val="0036240D"/>
    <w:rsid w:val="00362780"/>
    <w:rsid w:val="00362FE7"/>
    <w:rsid w:val="003631EF"/>
    <w:rsid w:val="00363632"/>
    <w:rsid w:val="00364529"/>
    <w:rsid w:val="0036468F"/>
    <w:rsid w:val="003648BD"/>
    <w:rsid w:val="00364CD7"/>
    <w:rsid w:val="003651D7"/>
    <w:rsid w:val="003656B9"/>
    <w:rsid w:val="00365A0A"/>
    <w:rsid w:val="00365B7E"/>
    <w:rsid w:val="003660AD"/>
    <w:rsid w:val="0036621D"/>
    <w:rsid w:val="0036687C"/>
    <w:rsid w:val="003668CA"/>
    <w:rsid w:val="00366AC4"/>
    <w:rsid w:val="00366C38"/>
    <w:rsid w:val="00370268"/>
    <w:rsid w:val="003709B5"/>
    <w:rsid w:val="00370BFA"/>
    <w:rsid w:val="00370F1A"/>
    <w:rsid w:val="0037106E"/>
    <w:rsid w:val="003711D0"/>
    <w:rsid w:val="00371666"/>
    <w:rsid w:val="0037200A"/>
    <w:rsid w:val="00372D53"/>
    <w:rsid w:val="00372D6D"/>
    <w:rsid w:val="00372F62"/>
    <w:rsid w:val="003738B9"/>
    <w:rsid w:val="00374545"/>
    <w:rsid w:val="00374BD5"/>
    <w:rsid w:val="00374D5F"/>
    <w:rsid w:val="0037502E"/>
    <w:rsid w:val="0037544D"/>
    <w:rsid w:val="003754C6"/>
    <w:rsid w:val="00375524"/>
    <w:rsid w:val="003759C2"/>
    <w:rsid w:val="00375B0E"/>
    <w:rsid w:val="003760F4"/>
    <w:rsid w:val="00377129"/>
    <w:rsid w:val="003772EE"/>
    <w:rsid w:val="00377AE6"/>
    <w:rsid w:val="00380210"/>
    <w:rsid w:val="003807AB"/>
    <w:rsid w:val="00380808"/>
    <w:rsid w:val="00380F39"/>
    <w:rsid w:val="003812F5"/>
    <w:rsid w:val="00381304"/>
    <w:rsid w:val="00381431"/>
    <w:rsid w:val="00382460"/>
    <w:rsid w:val="003824C1"/>
    <w:rsid w:val="003833F9"/>
    <w:rsid w:val="00383798"/>
    <w:rsid w:val="00383811"/>
    <w:rsid w:val="00383C79"/>
    <w:rsid w:val="00384055"/>
    <w:rsid w:val="003840C0"/>
    <w:rsid w:val="00384659"/>
    <w:rsid w:val="00384BF2"/>
    <w:rsid w:val="00384EA7"/>
    <w:rsid w:val="003853D6"/>
    <w:rsid w:val="0038567F"/>
    <w:rsid w:val="00385774"/>
    <w:rsid w:val="00385C7B"/>
    <w:rsid w:val="003864FC"/>
    <w:rsid w:val="00386703"/>
    <w:rsid w:val="003879B7"/>
    <w:rsid w:val="0039007C"/>
    <w:rsid w:val="003900D9"/>
    <w:rsid w:val="00390673"/>
    <w:rsid w:val="00390889"/>
    <w:rsid w:val="00390D48"/>
    <w:rsid w:val="00390D6E"/>
    <w:rsid w:val="00391199"/>
    <w:rsid w:val="003914B8"/>
    <w:rsid w:val="0039162E"/>
    <w:rsid w:val="00391854"/>
    <w:rsid w:val="00392103"/>
    <w:rsid w:val="00392346"/>
    <w:rsid w:val="003923A2"/>
    <w:rsid w:val="003927E5"/>
    <w:rsid w:val="00392969"/>
    <w:rsid w:val="00392B92"/>
    <w:rsid w:val="00392BE2"/>
    <w:rsid w:val="00392C4C"/>
    <w:rsid w:val="00392D64"/>
    <w:rsid w:val="00393A8A"/>
    <w:rsid w:val="003940E7"/>
    <w:rsid w:val="00394F88"/>
    <w:rsid w:val="00395B75"/>
    <w:rsid w:val="003964C6"/>
    <w:rsid w:val="0039689B"/>
    <w:rsid w:val="00396D09"/>
    <w:rsid w:val="003976EF"/>
    <w:rsid w:val="00397A7F"/>
    <w:rsid w:val="003A0AC9"/>
    <w:rsid w:val="003A0BF5"/>
    <w:rsid w:val="003A0EF5"/>
    <w:rsid w:val="003A0F73"/>
    <w:rsid w:val="003A1744"/>
    <w:rsid w:val="003A213A"/>
    <w:rsid w:val="003A269C"/>
    <w:rsid w:val="003A2779"/>
    <w:rsid w:val="003A30E6"/>
    <w:rsid w:val="003A3D20"/>
    <w:rsid w:val="003A3D9D"/>
    <w:rsid w:val="003A424A"/>
    <w:rsid w:val="003A42F7"/>
    <w:rsid w:val="003A48A9"/>
    <w:rsid w:val="003A4978"/>
    <w:rsid w:val="003A4C90"/>
    <w:rsid w:val="003A4CDF"/>
    <w:rsid w:val="003A4D3A"/>
    <w:rsid w:val="003A543D"/>
    <w:rsid w:val="003A5475"/>
    <w:rsid w:val="003A563A"/>
    <w:rsid w:val="003A57D3"/>
    <w:rsid w:val="003A5846"/>
    <w:rsid w:val="003A59E6"/>
    <w:rsid w:val="003A60FF"/>
    <w:rsid w:val="003A68BB"/>
    <w:rsid w:val="003A75D5"/>
    <w:rsid w:val="003B033D"/>
    <w:rsid w:val="003B0575"/>
    <w:rsid w:val="003B08BD"/>
    <w:rsid w:val="003B0A64"/>
    <w:rsid w:val="003B0BFE"/>
    <w:rsid w:val="003B1010"/>
    <w:rsid w:val="003B1305"/>
    <w:rsid w:val="003B168D"/>
    <w:rsid w:val="003B1FFC"/>
    <w:rsid w:val="003B214F"/>
    <w:rsid w:val="003B2241"/>
    <w:rsid w:val="003B3FC2"/>
    <w:rsid w:val="003B4037"/>
    <w:rsid w:val="003B4258"/>
    <w:rsid w:val="003B432D"/>
    <w:rsid w:val="003B45D5"/>
    <w:rsid w:val="003B4761"/>
    <w:rsid w:val="003B478F"/>
    <w:rsid w:val="003B47B5"/>
    <w:rsid w:val="003B4ADB"/>
    <w:rsid w:val="003B4B06"/>
    <w:rsid w:val="003B4D97"/>
    <w:rsid w:val="003B5075"/>
    <w:rsid w:val="003B541A"/>
    <w:rsid w:val="003B571E"/>
    <w:rsid w:val="003B57F4"/>
    <w:rsid w:val="003B6294"/>
    <w:rsid w:val="003B63C7"/>
    <w:rsid w:val="003B66E3"/>
    <w:rsid w:val="003B6806"/>
    <w:rsid w:val="003B72A8"/>
    <w:rsid w:val="003B789E"/>
    <w:rsid w:val="003B79BA"/>
    <w:rsid w:val="003C1AA2"/>
    <w:rsid w:val="003C286A"/>
    <w:rsid w:val="003C300F"/>
    <w:rsid w:val="003C3447"/>
    <w:rsid w:val="003C34DC"/>
    <w:rsid w:val="003C35BE"/>
    <w:rsid w:val="003C3EB8"/>
    <w:rsid w:val="003C4168"/>
    <w:rsid w:val="003C44CE"/>
    <w:rsid w:val="003C453A"/>
    <w:rsid w:val="003C4A05"/>
    <w:rsid w:val="003C5033"/>
    <w:rsid w:val="003C5144"/>
    <w:rsid w:val="003C59FA"/>
    <w:rsid w:val="003C5E5B"/>
    <w:rsid w:val="003C61EC"/>
    <w:rsid w:val="003C6698"/>
    <w:rsid w:val="003C6EFE"/>
    <w:rsid w:val="003C7429"/>
    <w:rsid w:val="003D04A0"/>
    <w:rsid w:val="003D06C5"/>
    <w:rsid w:val="003D070E"/>
    <w:rsid w:val="003D076C"/>
    <w:rsid w:val="003D08B9"/>
    <w:rsid w:val="003D09C9"/>
    <w:rsid w:val="003D0BA2"/>
    <w:rsid w:val="003D0CCC"/>
    <w:rsid w:val="003D0E12"/>
    <w:rsid w:val="003D1250"/>
    <w:rsid w:val="003D1FD8"/>
    <w:rsid w:val="003D2102"/>
    <w:rsid w:val="003D24CB"/>
    <w:rsid w:val="003D3571"/>
    <w:rsid w:val="003D35AF"/>
    <w:rsid w:val="003D39F5"/>
    <w:rsid w:val="003D3A71"/>
    <w:rsid w:val="003D46DF"/>
    <w:rsid w:val="003D4886"/>
    <w:rsid w:val="003D4C99"/>
    <w:rsid w:val="003D4E23"/>
    <w:rsid w:val="003D501E"/>
    <w:rsid w:val="003D5AB5"/>
    <w:rsid w:val="003D5D8C"/>
    <w:rsid w:val="003D6036"/>
    <w:rsid w:val="003D662F"/>
    <w:rsid w:val="003D66EF"/>
    <w:rsid w:val="003D6AC7"/>
    <w:rsid w:val="003D7970"/>
    <w:rsid w:val="003D7A82"/>
    <w:rsid w:val="003D7F64"/>
    <w:rsid w:val="003E0341"/>
    <w:rsid w:val="003E05BC"/>
    <w:rsid w:val="003E08C8"/>
    <w:rsid w:val="003E08F1"/>
    <w:rsid w:val="003E0E08"/>
    <w:rsid w:val="003E101B"/>
    <w:rsid w:val="003E105D"/>
    <w:rsid w:val="003E14AB"/>
    <w:rsid w:val="003E2216"/>
    <w:rsid w:val="003E285D"/>
    <w:rsid w:val="003E2FBA"/>
    <w:rsid w:val="003E30D8"/>
    <w:rsid w:val="003E3C7F"/>
    <w:rsid w:val="003E49F6"/>
    <w:rsid w:val="003E4B86"/>
    <w:rsid w:val="003E4C5D"/>
    <w:rsid w:val="003E501D"/>
    <w:rsid w:val="003E5A64"/>
    <w:rsid w:val="003E5B88"/>
    <w:rsid w:val="003E5E2C"/>
    <w:rsid w:val="003E6534"/>
    <w:rsid w:val="003E6A54"/>
    <w:rsid w:val="003E6BC3"/>
    <w:rsid w:val="003E728C"/>
    <w:rsid w:val="003E78FB"/>
    <w:rsid w:val="003E7AC1"/>
    <w:rsid w:val="003E7C1A"/>
    <w:rsid w:val="003E7D0A"/>
    <w:rsid w:val="003F0220"/>
    <w:rsid w:val="003F0561"/>
    <w:rsid w:val="003F057A"/>
    <w:rsid w:val="003F0C34"/>
    <w:rsid w:val="003F1243"/>
    <w:rsid w:val="003F1526"/>
    <w:rsid w:val="003F1A81"/>
    <w:rsid w:val="003F1CA7"/>
    <w:rsid w:val="003F24CD"/>
    <w:rsid w:val="003F271A"/>
    <w:rsid w:val="003F2895"/>
    <w:rsid w:val="003F2A16"/>
    <w:rsid w:val="003F2CDC"/>
    <w:rsid w:val="003F337F"/>
    <w:rsid w:val="003F3685"/>
    <w:rsid w:val="003F3C34"/>
    <w:rsid w:val="003F46C0"/>
    <w:rsid w:val="003F5674"/>
    <w:rsid w:val="003F5848"/>
    <w:rsid w:val="003F5D2E"/>
    <w:rsid w:val="003F5F9C"/>
    <w:rsid w:val="003F6DAE"/>
    <w:rsid w:val="003F7019"/>
    <w:rsid w:val="003F70FD"/>
    <w:rsid w:val="003F72C4"/>
    <w:rsid w:val="003F768A"/>
    <w:rsid w:val="003F7BBA"/>
    <w:rsid w:val="003F7DE6"/>
    <w:rsid w:val="00400288"/>
    <w:rsid w:val="00400DF1"/>
    <w:rsid w:val="00401E28"/>
    <w:rsid w:val="00401F99"/>
    <w:rsid w:val="004021D5"/>
    <w:rsid w:val="004021EC"/>
    <w:rsid w:val="0040244C"/>
    <w:rsid w:val="004024DB"/>
    <w:rsid w:val="0040271A"/>
    <w:rsid w:val="00402D21"/>
    <w:rsid w:val="00403106"/>
    <w:rsid w:val="0040398D"/>
    <w:rsid w:val="00403B16"/>
    <w:rsid w:val="00403CDC"/>
    <w:rsid w:val="00404054"/>
    <w:rsid w:val="0040440E"/>
    <w:rsid w:val="00404552"/>
    <w:rsid w:val="00404A8D"/>
    <w:rsid w:val="00404E84"/>
    <w:rsid w:val="00405EAD"/>
    <w:rsid w:val="00406781"/>
    <w:rsid w:val="00406A6C"/>
    <w:rsid w:val="00406D07"/>
    <w:rsid w:val="00406D59"/>
    <w:rsid w:val="00406F1D"/>
    <w:rsid w:val="00406FA6"/>
    <w:rsid w:val="0040724A"/>
    <w:rsid w:val="00407392"/>
    <w:rsid w:val="00407417"/>
    <w:rsid w:val="00407884"/>
    <w:rsid w:val="00407D45"/>
    <w:rsid w:val="00407F47"/>
    <w:rsid w:val="00410482"/>
    <w:rsid w:val="0041082F"/>
    <w:rsid w:val="00410E2C"/>
    <w:rsid w:val="00410F73"/>
    <w:rsid w:val="00411493"/>
    <w:rsid w:val="00411604"/>
    <w:rsid w:val="00411996"/>
    <w:rsid w:val="004119E3"/>
    <w:rsid w:val="00411CB6"/>
    <w:rsid w:val="004128AF"/>
    <w:rsid w:val="004131BA"/>
    <w:rsid w:val="00413619"/>
    <w:rsid w:val="0041429F"/>
    <w:rsid w:val="004146D4"/>
    <w:rsid w:val="00414998"/>
    <w:rsid w:val="00414AF5"/>
    <w:rsid w:val="00414FB8"/>
    <w:rsid w:val="004151D2"/>
    <w:rsid w:val="00415232"/>
    <w:rsid w:val="004156A1"/>
    <w:rsid w:val="00416022"/>
    <w:rsid w:val="004160B3"/>
    <w:rsid w:val="0041658D"/>
    <w:rsid w:val="004168FB"/>
    <w:rsid w:val="004175D5"/>
    <w:rsid w:val="004178F2"/>
    <w:rsid w:val="00417996"/>
    <w:rsid w:val="00417EC5"/>
    <w:rsid w:val="00420548"/>
    <w:rsid w:val="004206C4"/>
    <w:rsid w:val="00420F1F"/>
    <w:rsid w:val="0042133C"/>
    <w:rsid w:val="00421350"/>
    <w:rsid w:val="00421B92"/>
    <w:rsid w:val="00421C86"/>
    <w:rsid w:val="00421FB6"/>
    <w:rsid w:val="00422284"/>
    <w:rsid w:val="004222AC"/>
    <w:rsid w:val="00422ADB"/>
    <w:rsid w:val="00422D43"/>
    <w:rsid w:val="00422F14"/>
    <w:rsid w:val="00422F1C"/>
    <w:rsid w:val="004234B0"/>
    <w:rsid w:val="00423661"/>
    <w:rsid w:val="004241C0"/>
    <w:rsid w:val="004248B5"/>
    <w:rsid w:val="00424B9A"/>
    <w:rsid w:val="00424EF6"/>
    <w:rsid w:val="004256BB"/>
    <w:rsid w:val="0042654E"/>
    <w:rsid w:val="004267F7"/>
    <w:rsid w:val="0042701B"/>
    <w:rsid w:val="00427042"/>
    <w:rsid w:val="00427FE2"/>
    <w:rsid w:val="00427FFE"/>
    <w:rsid w:val="004301BD"/>
    <w:rsid w:val="004305D0"/>
    <w:rsid w:val="00430815"/>
    <w:rsid w:val="004308AB"/>
    <w:rsid w:val="00430ED8"/>
    <w:rsid w:val="00431BDC"/>
    <w:rsid w:val="00431D4D"/>
    <w:rsid w:val="00431F3F"/>
    <w:rsid w:val="00432078"/>
    <w:rsid w:val="0043250C"/>
    <w:rsid w:val="00432ED0"/>
    <w:rsid w:val="00433699"/>
    <w:rsid w:val="00433E23"/>
    <w:rsid w:val="004343C8"/>
    <w:rsid w:val="0043475C"/>
    <w:rsid w:val="00434ACC"/>
    <w:rsid w:val="0043541E"/>
    <w:rsid w:val="00435BA2"/>
    <w:rsid w:val="00437994"/>
    <w:rsid w:val="00440361"/>
    <w:rsid w:val="004405E1"/>
    <w:rsid w:val="00441571"/>
    <w:rsid w:val="00442367"/>
    <w:rsid w:val="004427E3"/>
    <w:rsid w:val="00442B44"/>
    <w:rsid w:val="00442E8E"/>
    <w:rsid w:val="00443A28"/>
    <w:rsid w:val="00443AF4"/>
    <w:rsid w:val="00443D4C"/>
    <w:rsid w:val="00444C86"/>
    <w:rsid w:val="00444E28"/>
    <w:rsid w:val="00445942"/>
    <w:rsid w:val="004459B8"/>
    <w:rsid w:val="00445CC0"/>
    <w:rsid w:val="00445F8A"/>
    <w:rsid w:val="00446110"/>
    <w:rsid w:val="00446554"/>
    <w:rsid w:val="00446675"/>
    <w:rsid w:val="004473A9"/>
    <w:rsid w:val="00447B2C"/>
    <w:rsid w:val="00450350"/>
    <w:rsid w:val="00450496"/>
    <w:rsid w:val="004506F3"/>
    <w:rsid w:val="00450719"/>
    <w:rsid w:val="00450C10"/>
    <w:rsid w:val="004517A1"/>
    <w:rsid w:val="004518EB"/>
    <w:rsid w:val="00451919"/>
    <w:rsid w:val="00451B22"/>
    <w:rsid w:val="00452306"/>
    <w:rsid w:val="00452530"/>
    <w:rsid w:val="00452800"/>
    <w:rsid w:val="0045315C"/>
    <w:rsid w:val="0045325F"/>
    <w:rsid w:val="00453262"/>
    <w:rsid w:val="00453316"/>
    <w:rsid w:val="00453B7F"/>
    <w:rsid w:val="00453E77"/>
    <w:rsid w:val="0045473A"/>
    <w:rsid w:val="00454C1F"/>
    <w:rsid w:val="00454F99"/>
    <w:rsid w:val="00455081"/>
    <w:rsid w:val="0045517D"/>
    <w:rsid w:val="0045521B"/>
    <w:rsid w:val="004553D2"/>
    <w:rsid w:val="004553F7"/>
    <w:rsid w:val="00455729"/>
    <w:rsid w:val="00456A7B"/>
    <w:rsid w:val="00456C04"/>
    <w:rsid w:val="00456E71"/>
    <w:rsid w:val="00456F33"/>
    <w:rsid w:val="00457352"/>
    <w:rsid w:val="004576A4"/>
    <w:rsid w:val="00457E6B"/>
    <w:rsid w:val="004604AC"/>
    <w:rsid w:val="004606B0"/>
    <w:rsid w:val="00460EB0"/>
    <w:rsid w:val="00460EC8"/>
    <w:rsid w:val="00461077"/>
    <w:rsid w:val="004610D8"/>
    <w:rsid w:val="004616CB"/>
    <w:rsid w:val="0046294E"/>
    <w:rsid w:val="004629E7"/>
    <w:rsid w:val="00462AC8"/>
    <w:rsid w:val="00462CAE"/>
    <w:rsid w:val="00462F07"/>
    <w:rsid w:val="00462F2F"/>
    <w:rsid w:val="0046504D"/>
    <w:rsid w:val="00465269"/>
    <w:rsid w:val="00465823"/>
    <w:rsid w:val="00465B47"/>
    <w:rsid w:val="00465BB9"/>
    <w:rsid w:val="004664F2"/>
    <w:rsid w:val="00466A47"/>
    <w:rsid w:val="00466AA5"/>
    <w:rsid w:val="00467982"/>
    <w:rsid w:val="004679C9"/>
    <w:rsid w:val="00467D6A"/>
    <w:rsid w:val="00467F3A"/>
    <w:rsid w:val="00470AAF"/>
    <w:rsid w:val="00470B93"/>
    <w:rsid w:val="0047122B"/>
    <w:rsid w:val="00471549"/>
    <w:rsid w:val="00471929"/>
    <w:rsid w:val="0047225C"/>
    <w:rsid w:val="00473244"/>
    <w:rsid w:val="00473562"/>
    <w:rsid w:val="00473B7A"/>
    <w:rsid w:val="0047432C"/>
    <w:rsid w:val="004745ED"/>
    <w:rsid w:val="00474B91"/>
    <w:rsid w:val="00474FA4"/>
    <w:rsid w:val="004754EB"/>
    <w:rsid w:val="004757A8"/>
    <w:rsid w:val="00475980"/>
    <w:rsid w:val="00475A81"/>
    <w:rsid w:val="004762DD"/>
    <w:rsid w:val="004765C2"/>
    <w:rsid w:val="004769C9"/>
    <w:rsid w:val="00476DDF"/>
    <w:rsid w:val="00476F5A"/>
    <w:rsid w:val="00476FFC"/>
    <w:rsid w:val="0047793A"/>
    <w:rsid w:val="004779D5"/>
    <w:rsid w:val="00480581"/>
    <w:rsid w:val="00480C54"/>
    <w:rsid w:val="00481153"/>
    <w:rsid w:val="004813E3"/>
    <w:rsid w:val="004815E0"/>
    <w:rsid w:val="00481855"/>
    <w:rsid w:val="0048195A"/>
    <w:rsid w:val="00481EC4"/>
    <w:rsid w:val="004826F9"/>
    <w:rsid w:val="00482A6E"/>
    <w:rsid w:val="00483B9E"/>
    <w:rsid w:val="00483E9F"/>
    <w:rsid w:val="00484394"/>
    <w:rsid w:val="004843B3"/>
    <w:rsid w:val="004843D0"/>
    <w:rsid w:val="004848E7"/>
    <w:rsid w:val="00484CD0"/>
    <w:rsid w:val="00484D6E"/>
    <w:rsid w:val="00485048"/>
    <w:rsid w:val="004850D3"/>
    <w:rsid w:val="00485B18"/>
    <w:rsid w:val="00485EDE"/>
    <w:rsid w:val="0048600E"/>
    <w:rsid w:val="004861D7"/>
    <w:rsid w:val="00487B83"/>
    <w:rsid w:val="0049043B"/>
    <w:rsid w:val="0049047A"/>
    <w:rsid w:val="00490C79"/>
    <w:rsid w:val="00490DF6"/>
    <w:rsid w:val="00490FE1"/>
    <w:rsid w:val="004918D5"/>
    <w:rsid w:val="0049214E"/>
    <w:rsid w:val="004923DA"/>
    <w:rsid w:val="00492C50"/>
    <w:rsid w:val="00493139"/>
    <w:rsid w:val="004932BE"/>
    <w:rsid w:val="00493613"/>
    <w:rsid w:val="004944B0"/>
    <w:rsid w:val="004944D5"/>
    <w:rsid w:val="004951E1"/>
    <w:rsid w:val="0049563D"/>
    <w:rsid w:val="0049614A"/>
    <w:rsid w:val="004963DE"/>
    <w:rsid w:val="00496AB7"/>
    <w:rsid w:val="00496C8C"/>
    <w:rsid w:val="00496EF7"/>
    <w:rsid w:val="00496F05"/>
    <w:rsid w:val="004972E1"/>
    <w:rsid w:val="00497B64"/>
    <w:rsid w:val="004A003F"/>
    <w:rsid w:val="004A0756"/>
    <w:rsid w:val="004A0B3B"/>
    <w:rsid w:val="004A0CCE"/>
    <w:rsid w:val="004A12A8"/>
    <w:rsid w:val="004A157F"/>
    <w:rsid w:val="004A1D1E"/>
    <w:rsid w:val="004A26E4"/>
    <w:rsid w:val="004A297C"/>
    <w:rsid w:val="004A2B86"/>
    <w:rsid w:val="004A2E88"/>
    <w:rsid w:val="004A3948"/>
    <w:rsid w:val="004A4444"/>
    <w:rsid w:val="004A4A12"/>
    <w:rsid w:val="004A5305"/>
    <w:rsid w:val="004A539D"/>
    <w:rsid w:val="004A5999"/>
    <w:rsid w:val="004A59D0"/>
    <w:rsid w:val="004A5A03"/>
    <w:rsid w:val="004A5EBC"/>
    <w:rsid w:val="004A6056"/>
    <w:rsid w:val="004A6315"/>
    <w:rsid w:val="004A63B0"/>
    <w:rsid w:val="004A6BC4"/>
    <w:rsid w:val="004A70BA"/>
    <w:rsid w:val="004A71FD"/>
    <w:rsid w:val="004A74EF"/>
    <w:rsid w:val="004B0B28"/>
    <w:rsid w:val="004B0CF9"/>
    <w:rsid w:val="004B0D4D"/>
    <w:rsid w:val="004B10A0"/>
    <w:rsid w:val="004B10AE"/>
    <w:rsid w:val="004B152D"/>
    <w:rsid w:val="004B1620"/>
    <w:rsid w:val="004B18A9"/>
    <w:rsid w:val="004B2035"/>
    <w:rsid w:val="004B236E"/>
    <w:rsid w:val="004B2373"/>
    <w:rsid w:val="004B237B"/>
    <w:rsid w:val="004B28EC"/>
    <w:rsid w:val="004B2AE4"/>
    <w:rsid w:val="004B2B06"/>
    <w:rsid w:val="004B3071"/>
    <w:rsid w:val="004B3191"/>
    <w:rsid w:val="004B31BA"/>
    <w:rsid w:val="004B36AB"/>
    <w:rsid w:val="004B455D"/>
    <w:rsid w:val="004B4776"/>
    <w:rsid w:val="004B47C6"/>
    <w:rsid w:val="004B4844"/>
    <w:rsid w:val="004B4856"/>
    <w:rsid w:val="004B4BA6"/>
    <w:rsid w:val="004B4D09"/>
    <w:rsid w:val="004B5C38"/>
    <w:rsid w:val="004B5EF5"/>
    <w:rsid w:val="004B6206"/>
    <w:rsid w:val="004B6C37"/>
    <w:rsid w:val="004B6F15"/>
    <w:rsid w:val="004B6FE2"/>
    <w:rsid w:val="004C0254"/>
    <w:rsid w:val="004C0A2E"/>
    <w:rsid w:val="004C1006"/>
    <w:rsid w:val="004C102D"/>
    <w:rsid w:val="004C1068"/>
    <w:rsid w:val="004C1175"/>
    <w:rsid w:val="004C1487"/>
    <w:rsid w:val="004C16C3"/>
    <w:rsid w:val="004C17D2"/>
    <w:rsid w:val="004C1DCB"/>
    <w:rsid w:val="004C1E0B"/>
    <w:rsid w:val="004C255C"/>
    <w:rsid w:val="004C2B0A"/>
    <w:rsid w:val="004C2BEB"/>
    <w:rsid w:val="004C2FC5"/>
    <w:rsid w:val="004C390E"/>
    <w:rsid w:val="004C3C03"/>
    <w:rsid w:val="004C4AEB"/>
    <w:rsid w:val="004C4D03"/>
    <w:rsid w:val="004C4DD9"/>
    <w:rsid w:val="004C56A6"/>
    <w:rsid w:val="004C5A18"/>
    <w:rsid w:val="004C63CD"/>
    <w:rsid w:val="004C67E4"/>
    <w:rsid w:val="004C7202"/>
    <w:rsid w:val="004C77DE"/>
    <w:rsid w:val="004C79DC"/>
    <w:rsid w:val="004D0568"/>
    <w:rsid w:val="004D071B"/>
    <w:rsid w:val="004D0DA8"/>
    <w:rsid w:val="004D135D"/>
    <w:rsid w:val="004D142A"/>
    <w:rsid w:val="004D18C3"/>
    <w:rsid w:val="004D2492"/>
    <w:rsid w:val="004D2503"/>
    <w:rsid w:val="004D28B1"/>
    <w:rsid w:val="004D29AF"/>
    <w:rsid w:val="004D2EAA"/>
    <w:rsid w:val="004D35F8"/>
    <w:rsid w:val="004D3634"/>
    <w:rsid w:val="004D3A02"/>
    <w:rsid w:val="004D441A"/>
    <w:rsid w:val="004D4A55"/>
    <w:rsid w:val="004D4E30"/>
    <w:rsid w:val="004D544C"/>
    <w:rsid w:val="004D5A5C"/>
    <w:rsid w:val="004D5E66"/>
    <w:rsid w:val="004D6735"/>
    <w:rsid w:val="004D6E1C"/>
    <w:rsid w:val="004D776B"/>
    <w:rsid w:val="004D79BF"/>
    <w:rsid w:val="004D7BB6"/>
    <w:rsid w:val="004D7BE7"/>
    <w:rsid w:val="004E0679"/>
    <w:rsid w:val="004E0719"/>
    <w:rsid w:val="004E085D"/>
    <w:rsid w:val="004E0CA0"/>
    <w:rsid w:val="004E0D89"/>
    <w:rsid w:val="004E12BD"/>
    <w:rsid w:val="004E131E"/>
    <w:rsid w:val="004E1764"/>
    <w:rsid w:val="004E1D23"/>
    <w:rsid w:val="004E2921"/>
    <w:rsid w:val="004E2FCE"/>
    <w:rsid w:val="004E340F"/>
    <w:rsid w:val="004E3E8D"/>
    <w:rsid w:val="004E5013"/>
    <w:rsid w:val="004E5818"/>
    <w:rsid w:val="004E5B01"/>
    <w:rsid w:val="004E5E63"/>
    <w:rsid w:val="004E6173"/>
    <w:rsid w:val="004E635F"/>
    <w:rsid w:val="004E6DDD"/>
    <w:rsid w:val="004E7CC4"/>
    <w:rsid w:val="004E7F02"/>
    <w:rsid w:val="004F0024"/>
    <w:rsid w:val="004F034B"/>
    <w:rsid w:val="004F090E"/>
    <w:rsid w:val="004F130C"/>
    <w:rsid w:val="004F1C79"/>
    <w:rsid w:val="004F1D74"/>
    <w:rsid w:val="004F237A"/>
    <w:rsid w:val="004F2711"/>
    <w:rsid w:val="004F2FA4"/>
    <w:rsid w:val="004F3774"/>
    <w:rsid w:val="004F39F5"/>
    <w:rsid w:val="004F3A04"/>
    <w:rsid w:val="004F42C1"/>
    <w:rsid w:val="004F48E5"/>
    <w:rsid w:val="004F4D4A"/>
    <w:rsid w:val="004F5BB0"/>
    <w:rsid w:val="004F5BE4"/>
    <w:rsid w:val="004F60C9"/>
    <w:rsid w:val="004F6646"/>
    <w:rsid w:val="004F6CAD"/>
    <w:rsid w:val="004F7043"/>
    <w:rsid w:val="004F746E"/>
    <w:rsid w:val="004F74B3"/>
    <w:rsid w:val="004F7958"/>
    <w:rsid w:val="004F7B38"/>
    <w:rsid w:val="004F7ED1"/>
    <w:rsid w:val="00500332"/>
    <w:rsid w:val="00500503"/>
    <w:rsid w:val="00500668"/>
    <w:rsid w:val="005006B9"/>
    <w:rsid w:val="00500917"/>
    <w:rsid w:val="00501656"/>
    <w:rsid w:val="005016A7"/>
    <w:rsid w:val="005017E8"/>
    <w:rsid w:val="00501E47"/>
    <w:rsid w:val="00502662"/>
    <w:rsid w:val="00502E23"/>
    <w:rsid w:val="00502FB4"/>
    <w:rsid w:val="0050336E"/>
    <w:rsid w:val="00503AFA"/>
    <w:rsid w:val="00504298"/>
    <w:rsid w:val="0050492A"/>
    <w:rsid w:val="005050CC"/>
    <w:rsid w:val="0050537A"/>
    <w:rsid w:val="00506022"/>
    <w:rsid w:val="00506D20"/>
    <w:rsid w:val="00507040"/>
    <w:rsid w:val="00507115"/>
    <w:rsid w:val="005072BA"/>
    <w:rsid w:val="00507490"/>
    <w:rsid w:val="005107D2"/>
    <w:rsid w:val="00510A65"/>
    <w:rsid w:val="00510B5C"/>
    <w:rsid w:val="005110EB"/>
    <w:rsid w:val="0051199D"/>
    <w:rsid w:val="00511E0C"/>
    <w:rsid w:val="00511F29"/>
    <w:rsid w:val="005124AD"/>
    <w:rsid w:val="00512D11"/>
    <w:rsid w:val="00513973"/>
    <w:rsid w:val="00513A3D"/>
    <w:rsid w:val="00515482"/>
    <w:rsid w:val="0051556F"/>
    <w:rsid w:val="00515B3D"/>
    <w:rsid w:val="00515F88"/>
    <w:rsid w:val="0051610B"/>
    <w:rsid w:val="0051618D"/>
    <w:rsid w:val="00516708"/>
    <w:rsid w:val="00516CC3"/>
    <w:rsid w:val="00516FD7"/>
    <w:rsid w:val="00517720"/>
    <w:rsid w:val="00517BC3"/>
    <w:rsid w:val="00517BED"/>
    <w:rsid w:val="00517C85"/>
    <w:rsid w:val="00517D68"/>
    <w:rsid w:val="00520BB1"/>
    <w:rsid w:val="00521E9B"/>
    <w:rsid w:val="00522746"/>
    <w:rsid w:val="00522B66"/>
    <w:rsid w:val="00522FA4"/>
    <w:rsid w:val="005232EC"/>
    <w:rsid w:val="005234F3"/>
    <w:rsid w:val="0052432E"/>
    <w:rsid w:val="00524EEE"/>
    <w:rsid w:val="0052555B"/>
    <w:rsid w:val="005255AD"/>
    <w:rsid w:val="005269A4"/>
    <w:rsid w:val="005278AB"/>
    <w:rsid w:val="00527F6E"/>
    <w:rsid w:val="005300D3"/>
    <w:rsid w:val="00530196"/>
    <w:rsid w:val="00530618"/>
    <w:rsid w:val="0053063C"/>
    <w:rsid w:val="0053088A"/>
    <w:rsid w:val="00530E7F"/>
    <w:rsid w:val="005314D1"/>
    <w:rsid w:val="0053189F"/>
    <w:rsid w:val="005318F5"/>
    <w:rsid w:val="00531AA4"/>
    <w:rsid w:val="00531B7A"/>
    <w:rsid w:val="005323BE"/>
    <w:rsid w:val="0053257C"/>
    <w:rsid w:val="00532675"/>
    <w:rsid w:val="00533005"/>
    <w:rsid w:val="00533532"/>
    <w:rsid w:val="0053370C"/>
    <w:rsid w:val="0053479F"/>
    <w:rsid w:val="00534BE4"/>
    <w:rsid w:val="005357F3"/>
    <w:rsid w:val="00535847"/>
    <w:rsid w:val="0053585B"/>
    <w:rsid w:val="00535D8D"/>
    <w:rsid w:val="00535F29"/>
    <w:rsid w:val="00536252"/>
    <w:rsid w:val="00536BD9"/>
    <w:rsid w:val="00536F42"/>
    <w:rsid w:val="0054029B"/>
    <w:rsid w:val="005406B1"/>
    <w:rsid w:val="00540CEA"/>
    <w:rsid w:val="00540F0D"/>
    <w:rsid w:val="00541060"/>
    <w:rsid w:val="005412A1"/>
    <w:rsid w:val="00541396"/>
    <w:rsid w:val="005414B0"/>
    <w:rsid w:val="00541537"/>
    <w:rsid w:val="00541CD0"/>
    <w:rsid w:val="005422BC"/>
    <w:rsid w:val="00542B7F"/>
    <w:rsid w:val="00543384"/>
    <w:rsid w:val="00543AF5"/>
    <w:rsid w:val="00543DD5"/>
    <w:rsid w:val="00543EAA"/>
    <w:rsid w:val="00544D78"/>
    <w:rsid w:val="00544F1F"/>
    <w:rsid w:val="005451E8"/>
    <w:rsid w:val="00545358"/>
    <w:rsid w:val="00545AD3"/>
    <w:rsid w:val="00545F84"/>
    <w:rsid w:val="00545FDC"/>
    <w:rsid w:val="00546105"/>
    <w:rsid w:val="0054627D"/>
    <w:rsid w:val="0054756A"/>
    <w:rsid w:val="005512C8"/>
    <w:rsid w:val="00551356"/>
    <w:rsid w:val="005528CA"/>
    <w:rsid w:val="00552EF4"/>
    <w:rsid w:val="00552F05"/>
    <w:rsid w:val="00552FBB"/>
    <w:rsid w:val="0055334E"/>
    <w:rsid w:val="0055343F"/>
    <w:rsid w:val="00553D8D"/>
    <w:rsid w:val="00553F1D"/>
    <w:rsid w:val="00553FE3"/>
    <w:rsid w:val="0055438C"/>
    <w:rsid w:val="00554D86"/>
    <w:rsid w:val="005550D2"/>
    <w:rsid w:val="0055523C"/>
    <w:rsid w:val="00555759"/>
    <w:rsid w:val="005558A0"/>
    <w:rsid w:val="00555B02"/>
    <w:rsid w:val="00555E78"/>
    <w:rsid w:val="0055641A"/>
    <w:rsid w:val="0055652B"/>
    <w:rsid w:val="0055683F"/>
    <w:rsid w:val="00556AE6"/>
    <w:rsid w:val="00556EBC"/>
    <w:rsid w:val="00557220"/>
    <w:rsid w:val="00557522"/>
    <w:rsid w:val="00557672"/>
    <w:rsid w:val="00557C9D"/>
    <w:rsid w:val="0056091F"/>
    <w:rsid w:val="00560C9C"/>
    <w:rsid w:val="00560F63"/>
    <w:rsid w:val="00561D65"/>
    <w:rsid w:val="00561ED5"/>
    <w:rsid w:val="00562025"/>
    <w:rsid w:val="00562047"/>
    <w:rsid w:val="005623B6"/>
    <w:rsid w:val="005623BE"/>
    <w:rsid w:val="005627CF"/>
    <w:rsid w:val="005629F5"/>
    <w:rsid w:val="00562B60"/>
    <w:rsid w:val="00562C85"/>
    <w:rsid w:val="00562E5B"/>
    <w:rsid w:val="005632EE"/>
    <w:rsid w:val="0056334B"/>
    <w:rsid w:val="00563968"/>
    <w:rsid w:val="005639AB"/>
    <w:rsid w:val="00563A40"/>
    <w:rsid w:val="00563BD3"/>
    <w:rsid w:val="00563D25"/>
    <w:rsid w:val="00563E01"/>
    <w:rsid w:val="00564931"/>
    <w:rsid w:val="00565118"/>
    <w:rsid w:val="00565580"/>
    <w:rsid w:val="00565C93"/>
    <w:rsid w:val="0056622C"/>
    <w:rsid w:val="0056642D"/>
    <w:rsid w:val="0056663D"/>
    <w:rsid w:val="005667B4"/>
    <w:rsid w:val="005672C0"/>
    <w:rsid w:val="00567428"/>
    <w:rsid w:val="00567500"/>
    <w:rsid w:val="00567DC0"/>
    <w:rsid w:val="005708B8"/>
    <w:rsid w:val="00570D0B"/>
    <w:rsid w:val="00570D8A"/>
    <w:rsid w:val="00571120"/>
    <w:rsid w:val="005718E3"/>
    <w:rsid w:val="00571B83"/>
    <w:rsid w:val="00572100"/>
    <w:rsid w:val="00572180"/>
    <w:rsid w:val="00572523"/>
    <w:rsid w:val="00573344"/>
    <w:rsid w:val="00573642"/>
    <w:rsid w:val="00573CC4"/>
    <w:rsid w:val="00573E27"/>
    <w:rsid w:val="005745DE"/>
    <w:rsid w:val="00574750"/>
    <w:rsid w:val="00574A17"/>
    <w:rsid w:val="00574F11"/>
    <w:rsid w:val="005755E2"/>
    <w:rsid w:val="005755F9"/>
    <w:rsid w:val="00576658"/>
    <w:rsid w:val="0057684E"/>
    <w:rsid w:val="005768DB"/>
    <w:rsid w:val="00576FB2"/>
    <w:rsid w:val="005770CE"/>
    <w:rsid w:val="005770E6"/>
    <w:rsid w:val="00577751"/>
    <w:rsid w:val="00577963"/>
    <w:rsid w:val="00577A96"/>
    <w:rsid w:val="00580C4A"/>
    <w:rsid w:val="00581C42"/>
    <w:rsid w:val="00581DEC"/>
    <w:rsid w:val="00581F4D"/>
    <w:rsid w:val="00582466"/>
    <w:rsid w:val="00582B30"/>
    <w:rsid w:val="00582CE8"/>
    <w:rsid w:val="00582D2C"/>
    <w:rsid w:val="00582E5E"/>
    <w:rsid w:val="00583013"/>
    <w:rsid w:val="0058341C"/>
    <w:rsid w:val="00583A43"/>
    <w:rsid w:val="00583F85"/>
    <w:rsid w:val="005843D8"/>
    <w:rsid w:val="005843EA"/>
    <w:rsid w:val="0058470A"/>
    <w:rsid w:val="00584F15"/>
    <w:rsid w:val="00585CF7"/>
    <w:rsid w:val="00585F7F"/>
    <w:rsid w:val="00586048"/>
    <w:rsid w:val="005864EE"/>
    <w:rsid w:val="00586515"/>
    <w:rsid w:val="00586737"/>
    <w:rsid w:val="00587101"/>
    <w:rsid w:val="00587125"/>
    <w:rsid w:val="0058714C"/>
    <w:rsid w:val="00587735"/>
    <w:rsid w:val="005878BF"/>
    <w:rsid w:val="00587D95"/>
    <w:rsid w:val="00590341"/>
    <w:rsid w:val="0059111A"/>
    <w:rsid w:val="00592AF2"/>
    <w:rsid w:val="00592C1E"/>
    <w:rsid w:val="00593085"/>
    <w:rsid w:val="00593176"/>
    <w:rsid w:val="00593565"/>
    <w:rsid w:val="005939CB"/>
    <w:rsid w:val="00593C4F"/>
    <w:rsid w:val="00593C51"/>
    <w:rsid w:val="005941E6"/>
    <w:rsid w:val="005945DB"/>
    <w:rsid w:val="005946A8"/>
    <w:rsid w:val="005955B9"/>
    <w:rsid w:val="00595849"/>
    <w:rsid w:val="00595B35"/>
    <w:rsid w:val="005960EB"/>
    <w:rsid w:val="0059643B"/>
    <w:rsid w:val="00596468"/>
    <w:rsid w:val="005979C5"/>
    <w:rsid w:val="005A0008"/>
    <w:rsid w:val="005A083E"/>
    <w:rsid w:val="005A09FE"/>
    <w:rsid w:val="005A0AD7"/>
    <w:rsid w:val="005A0F6B"/>
    <w:rsid w:val="005A0F96"/>
    <w:rsid w:val="005A147E"/>
    <w:rsid w:val="005A1B5E"/>
    <w:rsid w:val="005A1E93"/>
    <w:rsid w:val="005A2402"/>
    <w:rsid w:val="005A2616"/>
    <w:rsid w:val="005A2988"/>
    <w:rsid w:val="005A2CBD"/>
    <w:rsid w:val="005A36DF"/>
    <w:rsid w:val="005A3E0E"/>
    <w:rsid w:val="005A4407"/>
    <w:rsid w:val="005A466E"/>
    <w:rsid w:val="005A46BF"/>
    <w:rsid w:val="005A50AD"/>
    <w:rsid w:val="005A522D"/>
    <w:rsid w:val="005A56F0"/>
    <w:rsid w:val="005A61A2"/>
    <w:rsid w:val="005A61DE"/>
    <w:rsid w:val="005A6DC2"/>
    <w:rsid w:val="005A7264"/>
    <w:rsid w:val="005A76AF"/>
    <w:rsid w:val="005A7C95"/>
    <w:rsid w:val="005A7D72"/>
    <w:rsid w:val="005B0100"/>
    <w:rsid w:val="005B06C8"/>
    <w:rsid w:val="005B1122"/>
    <w:rsid w:val="005B13EC"/>
    <w:rsid w:val="005B1459"/>
    <w:rsid w:val="005B16C7"/>
    <w:rsid w:val="005B18A5"/>
    <w:rsid w:val="005B1A18"/>
    <w:rsid w:val="005B1B26"/>
    <w:rsid w:val="005B1DC6"/>
    <w:rsid w:val="005B2674"/>
    <w:rsid w:val="005B2D54"/>
    <w:rsid w:val="005B2D7E"/>
    <w:rsid w:val="005B3476"/>
    <w:rsid w:val="005B34CB"/>
    <w:rsid w:val="005B3713"/>
    <w:rsid w:val="005B379F"/>
    <w:rsid w:val="005B3D8D"/>
    <w:rsid w:val="005B41E0"/>
    <w:rsid w:val="005B47C9"/>
    <w:rsid w:val="005B485E"/>
    <w:rsid w:val="005B54F5"/>
    <w:rsid w:val="005B5C99"/>
    <w:rsid w:val="005B5D1E"/>
    <w:rsid w:val="005B5DD7"/>
    <w:rsid w:val="005B5F7D"/>
    <w:rsid w:val="005B6EDB"/>
    <w:rsid w:val="005B73F0"/>
    <w:rsid w:val="005C042F"/>
    <w:rsid w:val="005C0587"/>
    <w:rsid w:val="005C0627"/>
    <w:rsid w:val="005C06A9"/>
    <w:rsid w:val="005C09FF"/>
    <w:rsid w:val="005C0A7D"/>
    <w:rsid w:val="005C1113"/>
    <w:rsid w:val="005C11FF"/>
    <w:rsid w:val="005C17EE"/>
    <w:rsid w:val="005C23A7"/>
    <w:rsid w:val="005C2425"/>
    <w:rsid w:val="005C2C69"/>
    <w:rsid w:val="005C2DC7"/>
    <w:rsid w:val="005C3A6A"/>
    <w:rsid w:val="005C4191"/>
    <w:rsid w:val="005C46F3"/>
    <w:rsid w:val="005C5B56"/>
    <w:rsid w:val="005C5FA3"/>
    <w:rsid w:val="005C6472"/>
    <w:rsid w:val="005C64D6"/>
    <w:rsid w:val="005C69CA"/>
    <w:rsid w:val="005C6B8F"/>
    <w:rsid w:val="005C6C53"/>
    <w:rsid w:val="005C7272"/>
    <w:rsid w:val="005C77EC"/>
    <w:rsid w:val="005C7CBD"/>
    <w:rsid w:val="005C7D99"/>
    <w:rsid w:val="005C7F95"/>
    <w:rsid w:val="005D0171"/>
    <w:rsid w:val="005D0AE3"/>
    <w:rsid w:val="005D0D2D"/>
    <w:rsid w:val="005D0D2F"/>
    <w:rsid w:val="005D10B3"/>
    <w:rsid w:val="005D13AC"/>
    <w:rsid w:val="005D15B3"/>
    <w:rsid w:val="005D16CF"/>
    <w:rsid w:val="005D23E1"/>
    <w:rsid w:val="005D270A"/>
    <w:rsid w:val="005D2719"/>
    <w:rsid w:val="005D2FA6"/>
    <w:rsid w:val="005D31B6"/>
    <w:rsid w:val="005D352E"/>
    <w:rsid w:val="005D3DED"/>
    <w:rsid w:val="005D3F72"/>
    <w:rsid w:val="005D443C"/>
    <w:rsid w:val="005D45FF"/>
    <w:rsid w:val="005D4CF7"/>
    <w:rsid w:val="005D4DF6"/>
    <w:rsid w:val="005D4E37"/>
    <w:rsid w:val="005D4ECA"/>
    <w:rsid w:val="005D5315"/>
    <w:rsid w:val="005D5E14"/>
    <w:rsid w:val="005D62E2"/>
    <w:rsid w:val="005D6566"/>
    <w:rsid w:val="005D666C"/>
    <w:rsid w:val="005D6BB7"/>
    <w:rsid w:val="005D6C2B"/>
    <w:rsid w:val="005D74DE"/>
    <w:rsid w:val="005D78DE"/>
    <w:rsid w:val="005D7BB0"/>
    <w:rsid w:val="005D7C94"/>
    <w:rsid w:val="005D7CA7"/>
    <w:rsid w:val="005E0857"/>
    <w:rsid w:val="005E0A4E"/>
    <w:rsid w:val="005E1EAC"/>
    <w:rsid w:val="005E1EB4"/>
    <w:rsid w:val="005E25C1"/>
    <w:rsid w:val="005E2860"/>
    <w:rsid w:val="005E29EB"/>
    <w:rsid w:val="005E2B4C"/>
    <w:rsid w:val="005E2CC0"/>
    <w:rsid w:val="005E3193"/>
    <w:rsid w:val="005E3344"/>
    <w:rsid w:val="005E3D99"/>
    <w:rsid w:val="005E3F7C"/>
    <w:rsid w:val="005E42A5"/>
    <w:rsid w:val="005E460D"/>
    <w:rsid w:val="005E472A"/>
    <w:rsid w:val="005E4A1D"/>
    <w:rsid w:val="005E4C6C"/>
    <w:rsid w:val="005E4EFC"/>
    <w:rsid w:val="005E509B"/>
    <w:rsid w:val="005E5A17"/>
    <w:rsid w:val="005E5DAB"/>
    <w:rsid w:val="005E62CC"/>
    <w:rsid w:val="005E63DC"/>
    <w:rsid w:val="005E643F"/>
    <w:rsid w:val="005E673E"/>
    <w:rsid w:val="005E6BC7"/>
    <w:rsid w:val="005E7380"/>
    <w:rsid w:val="005E7460"/>
    <w:rsid w:val="005E7F25"/>
    <w:rsid w:val="005F0405"/>
    <w:rsid w:val="005F0821"/>
    <w:rsid w:val="005F1C7A"/>
    <w:rsid w:val="005F29DE"/>
    <w:rsid w:val="005F2B6B"/>
    <w:rsid w:val="005F2FE1"/>
    <w:rsid w:val="005F31B5"/>
    <w:rsid w:val="005F3302"/>
    <w:rsid w:val="005F3975"/>
    <w:rsid w:val="005F39B6"/>
    <w:rsid w:val="005F401D"/>
    <w:rsid w:val="005F4C02"/>
    <w:rsid w:val="005F4F1F"/>
    <w:rsid w:val="005F58C0"/>
    <w:rsid w:val="005F5CDB"/>
    <w:rsid w:val="005F60DC"/>
    <w:rsid w:val="005F6410"/>
    <w:rsid w:val="005F681D"/>
    <w:rsid w:val="005F6A05"/>
    <w:rsid w:val="005F6CE7"/>
    <w:rsid w:val="005F6EB2"/>
    <w:rsid w:val="005F71D7"/>
    <w:rsid w:val="005F729C"/>
    <w:rsid w:val="005F77D1"/>
    <w:rsid w:val="005F7A74"/>
    <w:rsid w:val="005F7EA6"/>
    <w:rsid w:val="005F7F90"/>
    <w:rsid w:val="006009A7"/>
    <w:rsid w:val="00600A6E"/>
    <w:rsid w:val="00600AB9"/>
    <w:rsid w:val="00600DF8"/>
    <w:rsid w:val="0060118D"/>
    <w:rsid w:val="00601245"/>
    <w:rsid w:val="00601DEA"/>
    <w:rsid w:val="00601DFD"/>
    <w:rsid w:val="006024DF"/>
    <w:rsid w:val="0060267A"/>
    <w:rsid w:val="0060325C"/>
    <w:rsid w:val="00603522"/>
    <w:rsid w:val="006035F9"/>
    <w:rsid w:val="006037FA"/>
    <w:rsid w:val="00603A0D"/>
    <w:rsid w:val="00603E50"/>
    <w:rsid w:val="00604343"/>
    <w:rsid w:val="006048BF"/>
    <w:rsid w:val="0060544A"/>
    <w:rsid w:val="00605780"/>
    <w:rsid w:val="00605E4F"/>
    <w:rsid w:val="00606135"/>
    <w:rsid w:val="00606191"/>
    <w:rsid w:val="006071B8"/>
    <w:rsid w:val="00607290"/>
    <w:rsid w:val="00607656"/>
    <w:rsid w:val="0061022E"/>
    <w:rsid w:val="00610405"/>
    <w:rsid w:val="006108BB"/>
    <w:rsid w:val="0061177C"/>
    <w:rsid w:val="00612405"/>
    <w:rsid w:val="006125DF"/>
    <w:rsid w:val="00612720"/>
    <w:rsid w:val="006128D8"/>
    <w:rsid w:val="00612B54"/>
    <w:rsid w:val="00612E6B"/>
    <w:rsid w:val="006131A5"/>
    <w:rsid w:val="006131F0"/>
    <w:rsid w:val="0061375C"/>
    <w:rsid w:val="00613CE9"/>
    <w:rsid w:val="00614389"/>
    <w:rsid w:val="00614470"/>
    <w:rsid w:val="00614616"/>
    <w:rsid w:val="006149DD"/>
    <w:rsid w:val="00614ED3"/>
    <w:rsid w:val="00614FA0"/>
    <w:rsid w:val="0061533E"/>
    <w:rsid w:val="00615AA8"/>
    <w:rsid w:val="00615FB3"/>
    <w:rsid w:val="0061644D"/>
    <w:rsid w:val="00617036"/>
    <w:rsid w:val="006172A7"/>
    <w:rsid w:val="00617376"/>
    <w:rsid w:val="0061767E"/>
    <w:rsid w:val="006179DD"/>
    <w:rsid w:val="00617C9C"/>
    <w:rsid w:val="006203BF"/>
    <w:rsid w:val="00620694"/>
    <w:rsid w:val="006208E4"/>
    <w:rsid w:val="00620D5A"/>
    <w:rsid w:val="00621014"/>
    <w:rsid w:val="006217E4"/>
    <w:rsid w:val="0062226A"/>
    <w:rsid w:val="006226A1"/>
    <w:rsid w:val="00622749"/>
    <w:rsid w:val="006228A3"/>
    <w:rsid w:val="00622A47"/>
    <w:rsid w:val="00622FD5"/>
    <w:rsid w:val="00623593"/>
    <w:rsid w:val="00623C99"/>
    <w:rsid w:val="00623F9B"/>
    <w:rsid w:val="00623FA6"/>
    <w:rsid w:val="0062411D"/>
    <w:rsid w:val="006243E6"/>
    <w:rsid w:val="00624BF6"/>
    <w:rsid w:val="00624DCE"/>
    <w:rsid w:val="0062519A"/>
    <w:rsid w:val="00625393"/>
    <w:rsid w:val="0062552B"/>
    <w:rsid w:val="006255C2"/>
    <w:rsid w:val="006255C6"/>
    <w:rsid w:val="00625DC6"/>
    <w:rsid w:val="00626161"/>
    <w:rsid w:val="006263A5"/>
    <w:rsid w:val="00626508"/>
    <w:rsid w:val="00626543"/>
    <w:rsid w:val="00626A77"/>
    <w:rsid w:val="00626E6E"/>
    <w:rsid w:val="00627227"/>
    <w:rsid w:val="006276AB"/>
    <w:rsid w:val="00630115"/>
    <w:rsid w:val="006302DB"/>
    <w:rsid w:val="0063034E"/>
    <w:rsid w:val="0063048F"/>
    <w:rsid w:val="0063083B"/>
    <w:rsid w:val="0063157D"/>
    <w:rsid w:val="00631FC1"/>
    <w:rsid w:val="006320D7"/>
    <w:rsid w:val="0063280E"/>
    <w:rsid w:val="00632C22"/>
    <w:rsid w:val="00632EEB"/>
    <w:rsid w:val="00633AFF"/>
    <w:rsid w:val="0063426B"/>
    <w:rsid w:val="00634635"/>
    <w:rsid w:val="0063495F"/>
    <w:rsid w:val="00634D3C"/>
    <w:rsid w:val="00635881"/>
    <w:rsid w:val="00636096"/>
    <w:rsid w:val="00636F1F"/>
    <w:rsid w:val="00636FEF"/>
    <w:rsid w:val="00637274"/>
    <w:rsid w:val="00637C2A"/>
    <w:rsid w:val="006407EA"/>
    <w:rsid w:val="00641155"/>
    <w:rsid w:val="00641AC8"/>
    <w:rsid w:val="00642874"/>
    <w:rsid w:val="00642919"/>
    <w:rsid w:val="00642AC5"/>
    <w:rsid w:val="00642E1E"/>
    <w:rsid w:val="006435B9"/>
    <w:rsid w:val="0064377C"/>
    <w:rsid w:val="00643867"/>
    <w:rsid w:val="00643DFE"/>
    <w:rsid w:val="00643EEB"/>
    <w:rsid w:val="00644517"/>
    <w:rsid w:val="00644544"/>
    <w:rsid w:val="00645957"/>
    <w:rsid w:val="0064618D"/>
    <w:rsid w:val="006464E8"/>
    <w:rsid w:val="006466F2"/>
    <w:rsid w:val="00646C7C"/>
    <w:rsid w:val="0064707B"/>
    <w:rsid w:val="006470D6"/>
    <w:rsid w:val="006474A4"/>
    <w:rsid w:val="00647724"/>
    <w:rsid w:val="00650123"/>
    <w:rsid w:val="006507C6"/>
    <w:rsid w:val="006510CC"/>
    <w:rsid w:val="006510D5"/>
    <w:rsid w:val="00651241"/>
    <w:rsid w:val="00651413"/>
    <w:rsid w:val="00651821"/>
    <w:rsid w:val="00651888"/>
    <w:rsid w:val="00651F7B"/>
    <w:rsid w:val="0065243C"/>
    <w:rsid w:val="00652CCE"/>
    <w:rsid w:val="00652E66"/>
    <w:rsid w:val="00652F47"/>
    <w:rsid w:val="00652F8A"/>
    <w:rsid w:val="00653582"/>
    <w:rsid w:val="00653A16"/>
    <w:rsid w:val="00653C6E"/>
    <w:rsid w:val="00653F5D"/>
    <w:rsid w:val="006540B8"/>
    <w:rsid w:val="00654228"/>
    <w:rsid w:val="006542DE"/>
    <w:rsid w:val="00654384"/>
    <w:rsid w:val="006556A9"/>
    <w:rsid w:val="00655D52"/>
    <w:rsid w:val="00657547"/>
    <w:rsid w:val="0065782D"/>
    <w:rsid w:val="00657841"/>
    <w:rsid w:val="00657864"/>
    <w:rsid w:val="00657944"/>
    <w:rsid w:val="00657BD9"/>
    <w:rsid w:val="00657D43"/>
    <w:rsid w:val="0066017E"/>
    <w:rsid w:val="0066037F"/>
    <w:rsid w:val="0066060D"/>
    <w:rsid w:val="00660EA5"/>
    <w:rsid w:val="006615A7"/>
    <w:rsid w:val="00661F3D"/>
    <w:rsid w:val="00661F73"/>
    <w:rsid w:val="00662581"/>
    <w:rsid w:val="00662807"/>
    <w:rsid w:val="00662871"/>
    <w:rsid w:val="00662B2B"/>
    <w:rsid w:val="00663005"/>
    <w:rsid w:val="00663194"/>
    <w:rsid w:val="00663349"/>
    <w:rsid w:val="00663BB6"/>
    <w:rsid w:val="00663D4B"/>
    <w:rsid w:val="00663E52"/>
    <w:rsid w:val="00663F6B"/>
    <w:rsid w:val="006642A3"/>
    <w:rsid w:val="0066466E"/>
    <w:rsid w:val="00664A95"/>
    <w:rsid w:val="006654BB"/>
    <w:rsid w:val="00665687"/>
    <w:rsid w:val="00665ACE"/>
    <w:rsid w:val="00665C55"/>
    <w:rsid w:val="00666166"/>
    <w:rsid w:val="006661FD"/>
    <w:rsid w:val="00666949"/>
    <w:rsid w:val="006674F3"/>
    <w:rsid w:val="00667771"/>
    <w:rsid w:val="0066F086"/>
    <w:rsid w:val="006705A0"/>
    <w:rsid w:val="00670669"/>
    <w:rsid w:val="006715AF"/>
    <w:rsid w:val="0067162D"/>
    <w:rsid w:val="00671870"/>
    <w:rsid w:val="00671917"/>
    <w:rsid w:val="00671AB5"/>
    <w:rsid w:val="00672D86"/>
    <w:rsid w:val="006735EC"/>
    <w:rsid w:val="006737D7"/>
    <w:rsid w:val="00673B4E"/>
    <w:rsid w:val="00673D40"/>
    <w:rsid w:val="00674084"/>
    <w:rsid w:val="00674246"/>
    <w:rsid w:val="006748D2"/>
    <w:rsid w:val="00674A95"/>
    <w:rsid w:val="00674B44"/>
    <w:rsid w:val="0067546E"/>
    <w:rsid w:val="0067590D"/>
    <w:rsid w:val="00675EE2"/>
    <w:rsid w:val="0067607B"/>
    <w:rsid w:val="00676080"/>
    <w:rsid w:val="00676420"/>
    <w:rsid w:val="00676BF8"/>
    <w:rsid w:val="00676EF8"/>
    <w:rsid w:val="00676FC2"/>
    <w:rsid w:val="0067736B"/>
    <w:rsid w:val="006778AC"/>
    <w:rsid w:val="00677DDA"/>
    <w:rsid w:val="00680162"/>
    <w:rsid w:val="00680A52"/>
    <w:rsid w:val="00680D33"/>
    <w:rsid w:val="0068103A"/>
    <w:rsid w:val="00681370"/>
    <w:rsid w:val="0068173F"/>
    <w:rsid w:val="00681D7C"/>
    <w:rsid w:val="00682455"/>
    <w:rsid w:val="006833F6"/>
    <w:rsid w:val="00683C1F"/>
    <w:rsid w:val="00683EB8"/>
    <w:rsid w:val="00684320"/>
    <w:rsid w:val="00684435"/>
    <w:rsid w:val="00684853"/>
    <w:rsid w:val="00684D9B"/>
    <w:rsid w:val="00684E00"/>
    <w:rsid w:val="0068571F"/>
    <w:rsid w:val="00685A18"/>
    <w:rsid w:val="00685C0C"/>
    <w:rsid w:val="00685EF0"/>
    <w:rsid w:val="00686D03"/>
    <w:rsid w:val="00686E04"/>
    <w:rsid w:val="00686F2D"/>
    <w:rsid w:val="00687204"/>
    <w:rsid w:val="0068749D"/>
    <w:rsid w:val="00687D16"/>
    <w:rsid w:val="006907C1"/>
    <w:rsid w:val="0069082A"/>
    <w:rsid w:val="00690836"/>
    <w:rsid w:val="006908F3"/>
    <w:rsid w:val="00690D51"/>
    <w:rsid w:val="00690F52"/>
    <w:rsid w:val="00691122"/>
    <w:rsid w:val="00691292"/>
    <w:rsid w:val="006912C2"/>
    <w:rsid w:val="00691464"/>
    <w:rsid w:val="006916AA"/>
    <w:rsid w:val="0069185E"/>
    <w:rsid w:val="00692356"/>
    <w:rsid w:val="006926AA"/>
    <w:rsid w:val="00692AAE"/>
    <w:rsid w:val="006931CD"/>
    <w:rsid w:val="00693B16"/>
    <w:rsid w:val="00693C52"/>
    <w:rsid w:val="00694531"/>
    <w:rsid w:val="0069701B"/>
    <w:rsid w:val="00697556"/>
    <w:rsid w:val="006A0839"/>
    <w:rsid w:val="006A1772"/>
    <w:rsid w:val="006A1777"/>
    <w:rsid w:val="006A1C90"/>
    <w:rsid w:val="006A4636"/>
    <w:rsid w:val="006A47A3"/>
    <w:rsid w:val="006A5609"/>
    <w:rsid w:val="006A59E5"/>
    <w:rsid w:val="006A66A4"/>
    <w:rsid w:val="006A69C3"/>
    <w:rsid w:val="006A6E6D"/>
    <w:rsid w:val="006A6F79"/>
    <w:rsid w:val="006A7337"/>
    <w:rsid w:val="006A77A0"/>
    <w:rsid w:val="006A7978"/>
    <w:rsid w:val="006A7AEB"/>
    <w:rsid w:val="006B02C2"/>
    <w:rsid w:val="006B0461"/>
    <w:rsid w:val="006B0D0D"/>
    <w:rsid w:val="006B0D1A"/>
    <w:rsid w:val="006B0ED3"/>
    <w:rsid w:val="006B113F"/>
    <w:rsid w:val="006B1803"/>
    <w:rsid w:val="006B25AF"/>
    <w:rsid w:val="006B27D5"/>
    <w:rsid w:val="006B2DCC"/>
    <w:rsid w:val="006B2E8F"/>
    <w:rsid w:val="006B2F13"/>
    <w:rsid w:val="006B2F85"/>
    <w:rsid w:val="006B3011"/>
    <w:rsid w:val="006B380B"/>
    <w:rsid w:val="006B3A3D"/>
    <w:rsid w:val="006B3ED8"/>
    <w:rsid w:val="006B400B"/>
    <w:rsid w:val="006B416C"/>
    <w:rsid w:val="006B41F1"/>
    <w:rsid w:val="006B464D"/>
    <w:rsid w:val="006B4965"/>
    <w:rsid w:val="006B4A3B"/>
    <w:rsid w:val="006B4C2B"/>
    <w:rsid w:val="006B5C18"/>
    <w:rsid w:val="006B5F58"/>
    <w:rsid w:val="006B6188"/>
    <w:rsid w:val="006B6728"/>
    <w:rsid w:val="006B6A66"/>
    <w:rsid w:val="006B719F"/>
    <w:rsid w:val="006C151B"/>
    <w:rsid w:val="006C1662"/>
    <w:rsid w:val="006C1868"/>
    <w:rsid w:val="006C1F69"/>
    <w:rsid w:val="006C34CE"/>
    <w:rsid w:val="006C36D3"/>
    <w:rsid w:val="006C3881"/>
    <w:rsid w:val="006C3DA5"/>
    <w:rsid w:val="006C3FC0"/>
    <w:rsid w:val="006C4065"/>
    <w:rsid w:val="006C477B"/>
    <w:rsid w:val="006C4987"/>
    <w:rsid w:val="006C5124"/>
    <w:rsid w:val="006C5C08"/>
    <w:rsid w:val="006C5E41"/>
    <w:rsid w:val="006C6D04"/>
    <w:rsid w:val="006C777A"/>
    <w:rsid w:val="006D0054"/>
    <w:rsid w:val="006D00C3"/>
    <w:rsid w:val="006D0392"/>
    <w:rsid w:val="006D0BB8"/>
    <w:rsid w:val="006D2B31"/>
    <w:rsid w:val="006D2F27"/>
    <w:rsid w:val="006D3007"/>
    <w:rsid w:val="006D301C"/>
    <w:rsid w:val="006D3162"/>
    <w:rsid w:val="006D33A7"/>
    <w:rsid w:val="006D35AE"/>
    <w:rsid w:val="006D39CB"/>
    <w:rsid w:val="006D3E8C"/>
    <w:rsid w:val="006D468F"/>
    <w:rsid w:val="006D48E2"/>
    <w:rsid w:val="006D49F9"/>
    <w:rsid w:val="006D4D9C"/>
    <w:rsid w:val="006D550C"/>
    <w:rsid w:val="006D557B"/>
    <w:rsid w:val="006D615F"/>
    <w:rsid w:val="006D633E"/>
    <w:rsid w:val="006D6662"/>
    <w:rsid w:val="006D6800"/>
    <w:rsid w:val="006D69A5"/>
    <w:rsid w:val="006D747C"/>
    <w:rsid w:val="006D78F0"/>
    <w:rsid w:val="006D7F7C"/>
    <w:rsid w:val="006DA5B8"/>
    <w:rsid w:val="006E0758"/>
    <w:rsid w:val="006E07A3"/>
    <w:rsid w:val="006E090F"/>
    <w:rsid w:val="006E1200"/>
    <w:rsid w:val="006E145C"/>
    <w:rsid w:val="006E1F34"/>
    <w:rsid w:val="006E1FD6"/>
    <w:rsid w:val="006E2483"/>
    <w:rsid w:val="006E24FB"/>
    <w:rsid w:val="006E26FD"/>
    <w:rsid w:val="006E2741"/>
    <w:rsid w:val="006E2A38"/>
    <w:rsid w:val="006E2DC4"/>
    <w:rsid w:val="006E2DCF"/>
    <w:rsid w:val="006E2FBE"/>
    <w:rsid w:val="006E3AC8"/>
    <w:rsid w:val="006E3D1A"/>
    <w:rsid w:val="006E4150"/>
    <w:rsid w:val="006E4680"/>
    <w:rsid w:val="006E4EF7"/>
    <w:rsid w:val="006E5B5B"/>
    <w:rsid w:val="006E5D0F"/>
    <w:rsid w:val="006E6424"/>
    <w:rsid w:val="006E7963"/>
    <w:rsid w:val="006F0064"/>
    <w:rsid w:val="006F00F7"/>
    <w:rsid w:val="006F0539"/>
    <w:rsid w:val="006F068C"/>
    <w:rsid w:val="006F0E40"/>
    <w:rsid w:val="006F105C"/>
    <w:rsid w:val="006F2D5E"/>
    <w:rsid w:val="006F2F4B"/>
    <w:rsid w:val="006F302A"/>
    <w:rsid w:val="006F3605"/>
    <w:rsid w:val="006F41CC"/>
    <w:rsid w:val="006F42C5"/>
    <w:rsid w:val="006F4802"/>
    <w:rsid w:val="006F5922"/>
    <w:rsid w:val="006F5E9C"/>
    <w:rsid w:val="006F600C"/>
    <w:rsid w:val="006F6127"/>
    <w:rsid w:val="006F620E"/>
    <w:rsid w:val="006F6B6A"/>
    <w:rsid w:val="006F6BFF"/>
    <w:rsid w:val="006F6D95"/>
    <w:rsid w:val="006F73D4"/>
    <w:rsid w:val="006F76CF"/>
    <w:rsid w:val="006F78CA"/>
    <w:rsid w:val="006F7C03"/>
    <w:rsid w:val="006FD6F2"/>
    <w:rsid w:val="00700A66"/>
    <w:rsid w:val="00700CA7"/>
    <w:rsid w:val="00701F5E"/>
    <w:rsid w:val="00702E8A"/>
    <w:rsid w:val="007036B6"/>
    <w:rsid w:val="00703752"/>
    <w:rsid w:val="0070417F"/>
    <w:rsid w:val="00704929"/>
    <w:rsid w:val="00704952"/>
    <w:rsid w:val="00704EF3"/>
    <w:rsid w:val="00705245"/>
    <w:rsid w:val="0070540E"/>
    <w:rsid w:val="00705ADE"/>
    <w:rsid w:val="007063FE"/>
    <w:rsid w:val="00706636"/>
    <w:rsid w:val="00706934"/>
    <w:rsid w:val="00706F13"/>
    <w:rsid w:val="00707A8D"/>
    <w:rsid w:val="00707C70"/>
    <w:rsid w:val="0070E54C"/>
    <w:rsid w:val="00710130"/>
    <w:rsid w:val="0071028D"/>
    <w:rsid w:val="007106BA"/>
    <w:rsid w:val="007107DC"/>
    <w:rsid w:val="00710979"/>
    <w:rsid w:val="00711549"/>
    <w:rsid w:val="0071230B"/>
    <w:rsid w:val="00713114"/>
    <w:rsid w:val="00713441"/>
    <w:rsid w:val="00713BB4"/>
    <w:rsid w:val="00715415"/>
    <w:rsid w:val="0071553D"/>
    <w:rsid w:val="00716AB3"/>
    <w:rsid w:val="00716B0B"/>
    <w:rsid w:val="00716C3B"/>
    <w:rsid w:val="00716FAC"/>
    <w:rsid w:val="00717987"/>
    <w:rsid w:val="00717B9D"/>
    <w:rsid w:val="007202D8"/>
    <w:rsid w:val="007211AF"/>
    <w:rsid w:val="0072273A"/>
    <w:rsid w:val="0072296E"/>
    <w:rsid w:val="00722AB3"/>
    <w:rsid w:val="007231E6"/>
    <w:rsid w:val="00723AED"/>
    <w:rsid w:val="007243C4"/>
    <w:rsid w:val="007243EC"/>
    <w:rsid w:val="007252E8"/>
    <w:rsid w:val="00725FA4"/>
    <w:rsid w:val="00725FDA"/>
    <w:rsid w:val="00727040"/>
    <w:rsid w:val="00727730"/>
    <w:rsid w:val="00727757"/>
    <w:rsid w:val="007279FA"/>
    <w:rsid w:val="00727B77"/>
    <w:rsid w:val="00727C06"/>
    <w:rsid w:val="00727F39"/>
    <w:rsid w:val="00730874"/>
    <w:rsid w:val="00730F6E"/>
    <w:rsid w:val="00731067"/>
    <w:rsid w:val="00731EF9"/>
    <w:rsid w:val="00733138"/>
    <w:rsid w:val="00733964"/>
    <w:rsid w:val="00733F04"/>
    <w:rsid w:val="00733F0E"/>
    <w:rsid w:val="007346D2"/>
    <w:rsid w:val="00735255"/>
    <w:rsid w:val="00735B23"/>
    <w:rsid w:val="007362C1"/>
    <w:rsid w:val="00736387"/>
    <w:rsid w:val="007367DD"/>
    <w:rsid w:val="00736891"/>
    <w:rsid w:val="0073698C"/>
    <w:rsid w:val="00740473"/>
    <w:rsid w:val="00740AF7"/>
    <w:rsid w:val="00741259"/>
    <w:rsid w:val="007414CC"/>
    <w:rsid w:val="00741C25"/>
    <w:rsid w:val="007420E8"/>
    <w:rsid w:val="00742795"/>
    <w:rsid w:val="00742F35"/>
    <w:rsid w:val="00743138"/>
    <w:rsid w:val="0074338C"/>
    <w:rsid w:val="007438A9"/>
    <w:rsid w:val="0074491E"/>
    <w:rsid w:val="00744F64"/>
    <w:rsid w:val="00745369"/>
    <w:rsid w:val="00746236"/>
    <w:rsid w:val="007462AA"/>
    <w:rsid w:val="00746D74"/>
    <w:rsid w:val="00746EF1"/>
    <w:rsid w:val="00746F5A"/>
    <w:rsid w:val="00750E2C"/>
    <w:rsid w:val="00750F16"/>
    <w:rsid w:val="007516DD"/>
    <w:rsid w:val="00751DBD"/>
    <w:rsid w:val="00752E65"/>
    <w:rsid w:val="00753107"/>
    <w:rsid w:val="007531AF"/>
    <w:rsid w:val="0075397E"/>
    <w:rsid w:val="00753DAE"/>
    <w:rsid w:val="007542EF"/>
    <w:rsid w:val="007543D5"/>
    <w:rsid w:val="00754855"/>
    <w:rsid w:val="00754DE5"/>
    <w:rsid w:val="0075588B"/>
    <w:rsid w:val="0075611E"/>
    <w:rsid w:val="0075669B"/>
    <w:rsid w:val="00756EB0"/>
    <w:rsid w:val="00757193"/>
    <w:rsid w:val="00757232"/>
    <w:rsid w:val="007573FD"/>
    <w:rsid w:val="00757C92"/>
    <w:rsid w:val="00760161"/>
    <w:rsid w:val="0076028C"/>
    <w:rsid w:val="00760AB6"/>
    <w:rsid w:val="007610BF"/>
    <w:rsid w:val="0076192B"/>
    <w:rsid w:val="00762513"/>
    <w:rsid w:val="00762601"/>
    <w:rsid w:val="0076269C"/>
    <w:rsid w:val="007630BA"/>
    <w:rsid w:val="00763C3F"/>
    <w:rsid w:val="00763D60"/>
    <w:rsid w:val="007641BE"/>
    <w:rsid w:val="0076434E"/>
    <w:rsid w:val="007647DB"/>
    <w:rsid w:val="0076507A"/>
    <w:rsid w:val="007659A3"/>
    <w:rsid w:val="00765D2F"/>
    <w:rsid w:val="00766205"/>
    <w:rsid w:val="0076657A"/>
    <w:rsid w:val="007666A6"/>
    <w:rsid w:val="007669C2"/>
    <w:rsid w:val="00766F40"/>
    <w:rsid w:val="007670E1"/>
    <w:rsid w:val="00767426"/>
    <w:rsid w:val="00767B7D"/>
    <w:rsid w:val="00767D52"/>
    <w:rsid w:val="00767D88"/>
    <w:rsid w:val="00767D9E"/>
    <w:rsid w:val="00767FF7"/>
    <w:rsid w:val="00770177"/>
    <w:rsid w:val="0077037B"/>
    <w:rsid w:val="00770554"/>
    <w:rsid w:val="0077059B"/>
    <w:rsid w:val="007706CB"/>
    <w:rsid w:val="00771073"/>
    <w:rsid w:val="00771386"/>
    <w:rsid w:val="00771D1F"/>
    <w:rsid w:val="00771D95"/>
    <w:rsid w:val="007721DD"/>
    <w:rsid w:val="00772610"/>
    <w:rsid w:val="00772896"/>
    <w:rsid w:val="007729E8"/>
    <w:rsid w:val="00772AB6"/>
    <w:rsid w:val="00772BFD"/>
    <w:rsid w:val="00773411"/>
    <w:rsid w:val="007744B3"/>
    <w:rsid w:val="0077474C"/>
    <w:rsid w:val="00774B52"/>
    <w:rsid w:val="00774BFB"/>
    <w:rsid w:val="00775181"/>
    <w:rsid w:val="00776C54"/>
    <w:rsid w:val="00776E0E"/>
    <w:rsid w:val="007805B1"/>
    <w:rsid w:val="00780E3E"/>
    <w:rsid w:val="00780F5E"/>
    <w:rsid w:val="00780FD1"/>
    <w:rsid w:val="00781301"/>
    <w:rsid w:val="00781499"/>
    <w:rsid w:val="00781BA4"/>
    <w:rsid w:val="00781E26"/>
    <w:rsid w:val="00781F54"/>
    <w:rsid w:val="0078241C"/>
    <w:rsid w:val="00782C76"/>
    <w:rsid w:val="0078340C"/>
    <w:rsid w:val="00783439"/>
    <w:rsid w:val="007850B3"/>
    <w:rsid w:val="007854E2"/>
    <w:rsid w:val="00785722"/>
    <w:rsid w:val="00785EA0"/>
    <w:rsid w:val="00785F4F"/>
    <w:rsid w:val="0078600F"/>
    <w:rsid w:val="00786976"/>
    <w:rsid w:val="00786D58"/>
    <w:rsid w:val="00786F57"/>
    <w:rsid w:val="00787949"/>
    <w:rsid w:val="0079059D"/>
    <w:rsid w:val="0079087C"/>
    <w:rsid w:val="007910BB"/>
    <w:rsid w:val="007911D4"/>
    <w:rsid w:val="00791472"/>
    <w:rsid w:val="007915E0"/>
    <w:rsid w:val="00791C31"/>
    <w:rsid w:val="00791CA1"/>
    <w:rsid w:val="007922B5"/>
    <w:rsid w:val="007924EE"/>
    <w:rsid w:val="00792D0D"/>
    <w:rsid w:val="00794495"/>
    <w:rsid w:val="00794BB4"/>
    <w:rsid w:val="00794F79"/>
    <w:rsid w:val="00795BFB"/>
    <w:rsid w:val="00795D38"/>
    <w:rsid w:val="0079634F"/>
    <w:rsid w:val="007965C6"/>
    <w:rsid w:val="0079669E"/>
    <w:rsid w:val="007977EE"/>
    <w:rsid w:val="00797EFF"/>
    <w:rsid w:val="00797FBE"/>
    <w:rsid w:val="0079C4F9"/>
    <w:rsid w:val="007A04FA"/>
    <w:rsid w:val="007A06D3"/>
    <w:rsid w:val="007A0B49"/>
    <w:rsid w:val="007A0FAC"/>
    <w:rsid w:val="007A152E"/>
    <w:rsid w:val="007A1860"/>
    <w:rsid w:val="007A187B"/>
    <w:rsid w:val="007A18CE"/>
    <w:rsid w:val="007A22D8"/>
    <w:rsid w:val="007A2ABF"/>
    <w:rsid w:val="007A300B"/>
    <w:rsid w:val="007A38CB"/>
    <w:rsid w:val="007A3F10"/>
    <w:rsid w:val="007A4158"/>
    <w:rsid w:val="007A470B"/>
    <w:rsid w:val="007A4A5A"/>
    <w:rsid w:val="007A4D61"/>
    <w:rsid w:val="007A4F73"/>
    <w:rsid w:val="007A5D1D"/>
    <w:rsid w:val="007A6238"/>
    <w:rsid w:val="007A6C26"/>
    <w:rsid w:val="007A7309"/>
    <w:rsid w:val="007A787D"/>
    <w:rsid w:val="007B001D"/>
    <w:rsid w:val="007B04CB"/>
    <w:rsid w:val="007B07CE"/>
    <w:rsid w:val="007B0B74"/>
    <w:rsid w:val="007B10F8"/>
    <w:rsid w:val="007B1140"/>
    <w:rsid w:val="007B1178"/>
    <w:rsid w:val="007B1807"/>
    <w:rsid w:val="007B1EFC"/>
    <w:rsid w:val="007B2110"/>
    <w:rsid w:val="007B2314"/>
    <w:rsid w:val="007B2528"/>
    <w:rsid w:val="007B2D0E"/>
    <w:rsid w:val="007B2EFE"/>
    <w:rsid w:val="007B3718"/>
    <w:rsid w:val="007B3A90"/>
    <w:rsid w:val="007B3F0B"/>
    <w:rsid w:val="007B3FAF"/>
    <w:rsid w:val="007B45D8"/>
    <w:rsid w:val="007B541A"/>
    <w:rsid w:val="007B5557"/>
    <w:rsid w:val="007B5E22"/>
    <w:rsid w:val="007B6B6E"/>
    <w:rsid w:val="007B6C11"/>
    <w:rsid w:val="007B6D3A"/>
    <w:rsid w:val="007B7080"/>
    <w:rsid w:val="007B7317"/>
    <w:rsid w:val="007C061F"/>
    <w:rsid w:val="007C0E1D"/>
    <w:rsid w:val="007C12A1"/>
    <w:rsid w:val="007C13EE"/>
    <w:rsid w:val="007C17EB"/>
    <w:rsid w:val="007C1873"/>
    <w:rsid w:val="007C2239"/>
    <w:rsid w:val="007C22FB"/>
    <w:rsid w:val="007C2355"/>
    <w:rsid w:val="007C30BB"/>
    <w:rsid w:val="007C34AC"/>
    <w:rsid w:val="007C3C5C"/>
    <w:rsid w:val="007C3E57"/>
    <w:rsid w:val="007C4801"/>
    <w:rsid w:val="007C566F"/>
    <w:rsid w:val="007C575F"/>
    <w:rsid w:val="007C5BE3"/>
    <w:rsid w:val="007C5E07"/>
    <w:rsid w:val="007C744B"/>
    <w:rsid w:val="007C7DA0"/>
    <w:rsid w:val="007C7DCC"/>
    <w:rsid w:val="007D0046"/>
    <w:rsid w:val="007D01E7"/>
    <w:rsid w:val="007D05D5"/>
    <w:rsid w:val="007D0919"/>
    <w:rsid w:val="007D0A0D"/>
    <w:rsid w:val="007D0C1F"/>
    <w:rsid w:val="007D10EB"/>
    <w:rsid w:val="007D1668"/>
    <w:rsid w:val="007D1C65"/>
    <w:rsid w:val="007D2E06"/>
    <w:rsid w:val="007D312B"/>
    <w:rsid w:val="007D31E0"/>
    <w:rsid w:val="007D3224"/>
    <w:rsid w:val="007D337E"/>
    <w:rsid w:val="007D36A5"/>
    <w:rsid w:val="007D3A5F"/>
    <w:rsid w:val="007D4389"/>
    <w:rsid w:val="007D4513"/>
    <w:rsid w:val="007D455D"/>
    <w:rsid w:val="007D4870"/>
    <w:rsid w:val="007D4986"/>
    <w:rsid w:val="007D52C5"/>
    <w:rsid w:val="007D5CA2"/>
    <w:rsid w:val="007D5CEE"/>
    <w:rsid w:val="007D63FF"/>
    <w:rsid w:val="007D661C"/>
    <w:rsid w:val="007D67BB"/>
    <w:rsid w:val="007D93CF"/>
    <w:rsid w:val="007E0553"/>
    <w:rsid w:val="007E0588"/>
    <w:rsid w:val="007E06F7"/>
    <w:rsid w:val="007E07F4"/>
    <w:rsid w:val="007E0DBB"/>
    <w:rsid w:val="007E2130"/>
    <w:rsid w:val="007E255E"/>
    <w:rsid w:val="007E269C"/>
    <w:rsid w:val="007E35CE"/>
    <w:rsid w:val="007E3E8A"/>
    <w:rsid w:val="007E411B"/>
    <w:rsid w:val="007E41DE"/>
    <w:rsid w:val="007E4346"/>
    <w:rsid w:val="007E458F"/>
    <w:rsid w:val="007E4DE5"/>
    <w:rsid w:val="007E4E69"/>
    <w:rsid w:val="007E508B"/>
    <w:rsid w:val="007E55C7"/>
    <w:rsid w:val="007E5629"/>
    <w:rsid w:val="007E5663"/>
    <w:rsid w:val="007E5885"/>
    <w:rsid w:val="007E5FA7"/>
    <w:rsid w:val="007E64FE"/>
    <w:rsid w:val="007E66C6"/>
    <w:rsid w:val="007E6747"/>
    <w:rsid w:val="007E6D90"/>
    <w:rsid w:val="007E6E52"/>
    <w:rsid w:val="007E6FC1"/>
    <w:rsid w:val="007E72DF"/>
    <w:rsid w:val="007E7606"/>
    <w:rsid w:val="007E7AAB"/>
    <w:rsid w:val="007E7B0B"/>
    <w:rsid w:val="007E7B85"/>
    <w:rsid w:val="007E7E31"/>
    <w:rsid w:val="007F02A9"/>
    <w:rsid w:val="007F04C8"/>
    <w:rsid w:val="007F0690"/>
    <w:rsid w:val="007F0B37"/>
    <w:rsid w:val="007F0FF2"/>
    <w:rsid w:val="007F106B"/>
    <w:rsid w:val="007F118E"/>
    <w:rsid w:val="007F12DD"/>
    <w:rsid w:val="007F17F8"/>
    <w:rsid w:val="007F18AF"/>
    <w:rsid w:val="007F1A15"/>
    <w:rsid w:val="007F1F8E"/>
    <w:rsid w:val="007F2B36"/>
    <w:rsid w:val="007F309E"/>
    <w:rsid w:val="007F31D8"/>
    <w:rsid w:val="007F3A95"/>
    <w:rsid w:val="007F482D"/>
    <w:rsid w:val="007F48D0"/>
    <w:rsid w:val="007F4F0A"/>
    <w:rsid w:val="007F5028"/>
    <w:rsid w:val="007F5202"/>
    <w:rsid w:val="007F60C3"/>
    <w:rsid w:val="007F62C9"/>
    <w:rsid w:val="007F657A"/>
    <w:rsid w:val="007F6EC0"/>
    <w:rsid w:val="007F7919"/>
    <w:rsid w:val="007F7FF8"/>
    <w:rsid w:val="008002EA"/>
    <w:rsid w:val="00800404"/>
    <w:rsid w:val="0080046C"/>
    <w:rsid w:val="0080091E"/>
    <w:rsid w:val="00800944"/>
    <w:rsid w:val="00800DC3"/>
    <w:rsid w:val="0080148E"/>
    <w:rsid w:val="0080165A"/>
    <w:rsid w:val="008018FD"/>
    <w:rsid w:val="00801C01"/>
    <w:rsid w:val="00801F28"/>
    <w:rsid w:val="008020DB"/>
    <w:rsid w:val="008023E3"/>
    <w:rsid w:val="00803EB8"/>
    <w:rsid w:val="0080440E"/>
    <w:rsid w:val="0080447F"/>
    <w:rsid w:val="00804EA5"/>
    <w:rsid w:val="00804EE8"/>
    <w:rsid w:val="0080518F"/>
    <w:rsid w:val="00805205"/>
    <w:rsid w:val="0080520A"/>
    <w:rsid w:val="008054E2"/>
    <w:rsid w:val="008058F6"/>
    <w:rsid w:val="00805991"/>
    <w:rsid w:val="008062BD"/>
    <w:rsid w:val="0080638A"/>
    <w:rsid w:val="008063BF"/>
    <w:rsid w:val="00806D3E"/>
    <w:rsid w:val="00806EBE"/>
    <w:rsid w:val="008072B7"/>
    <w:rsid w:val="008078F9"/>
    <w:rsid w:val="00807D54"/>
    <w:rsid w:val="00807F67"/>
    <w:rsid w:val="008104B7"/>
    <w:rsid w:val="008107F2"/>
    <w:rsid w:val="00812106"/>
    <w:rsid w:val="00812121"/>
    <w:rsid w:val="00812288"/>
    <w:rsid w:val="008122D6"/>
    <w:rsid w:val="00812366"/>
    <w:rsid w:val="00812AE1"/>
    <w:rsid w:val="00812BC1"/>
    <w:rsid w:val="00812CF7"/>
    <w:rsid w:val="0081304D"/>
    <w:rsid w:val="008137CF"/>
    <w:rsid w:val="008139CA"/>
    <w:rsid w:val="008142C9"/>
    <w:rsid w:val="008148CC"/>
    <w:rsid w:val="00814978"/>
    <w:rsid w:val="00814EC2"/>
    <w:rsid w:val="008152D2"/>
    <w:rsid w:val="00815997"/>
    <w:rsid w:val="008166B3"/>
    <w:rsid w:val="00816838"/>
    <w:rsid w:val="00816913"/>
    <w:rsid w:val="008174D6"/>
    <w:rsid w:val="0081780B"/>
    <w:rsid w:val="0081791B"/>
    <w:rsid w:val="00817969"/>
    <w:rsid w:val="00817B7D"/>
    <w:rsid w:val="00817BD6"/>
    <w:rsid w:val="00820322"/>
    <w:rsid w:val="00820C31"/>
    <w:rsid w:val="00820E3E"/>
    <w:rsid w:val="00820EA3"/>
    <w:rsid w:val="00820EFA"/>
    <w:rsid w:val="008211A4"/>
    <w:rsid w:val="00821248"/>
    <w:rsid w:val="00821FD5"/>
    <w:rsid w:val="008220BD"/>
    <w:rsid w:val="00822AEF"/>
    <w:rsid w:val="008235FF"/>
    <w:rsid w:val="008238E0"/>
    <w:rsid w:val="00823C76"/>
    <w:rsid w:val="00823D51"/>
    <w:rsid w:val="00823D52"/>
    <w:rsid w:val="008255DC"/>
    <w:rsid w:val="008255E1"/>
    <w:rsid w:val="00825B9B"/>
    <w:rsid w:val="00826C6A"/>
    <w:rsid w:val="00827FCE"/>
    <w:rsid w:val="0083030B"/>
    <w:rsid w:val="008303E6"/>
    <w:rsid w:val="00830909"/>
    <w:rsid w:val="00830957"/>
    <w:rsid w:val="0083155C"/>
    <w:rsid w:val="00832192"/>
    <w:rsid w:val="008322AC"/>
    <w:rsid w:val="00832426"/>
    <w:rsid w:val="0083324C"/>
    <w:rsid w:val="00833E9B"/>
    <w:rsid w:val="008341CC"/>
    <w:rsid w:val="008346BD"/>
    <w:rsid w:val="00835A6F"/>
    <w:rsid w:val="008363B7"/>
    <w:rsid w:val="0083705A"/>
    <w:rsid w:val="00837092"/>
    <w:rsid w:val="00840020"/>
    <w:rsid w:val="00840066"/>
    <w:rsid w:val="008404EA"/>
    <w:rsid w:val="00840D3E"/>
    <w:rsid w:val="008411C1"/>
    <w:rsid w:val="00841735"/>
    <w:rsid w:val="0084197D"/>
    <w:rsid w:val="00843AAE"/>
    <w:rsid w:val="00843D6B"/>
    <w:rsid w:val="00843EBD"/>
    <w:rsid w:val="00843F8E"/>
    <w:rsid w:val="008442D7"/>
    <w:rsid w:val="00844509"/>
    <w:rsid w:val="00844689"/>
    <w:rsid w:val="008446C1"/>
    <w:rsid w:val="00844712"/>
    <w:rsid w:val="008449D1"/>
    <w:rsid w:val="00844C4F"/>
    <w:rsid w:val="00844E87"/>
    <w:rsid w:val="00845206"/>
    <w:rsid w:val="008459A7"/>
    <w:rsid w:val="00845A95"/>
    <w:rsid w:val="00846153"/>
    <w:rsid w:val="00846A4D"/>
    <w:rsid w:val="00847C7D"/>
    <w:rsid w:val="00850762"/>
    <w:rsid w:val="00850AA7"/>
    <w:rsid w:val="00850CF2"/>
    <w:rsid w:val="00851020"/>
    <w:rsid w:val="00851226"/>
    <w:rsid w:val="0085143E"/>
    <w:rsid w:val="00851448"/>
    <w:rsid w:val="00851482"/>
    <w:rsid w:val="008520B0"/>
    <w:rsid w:val="00852D9B"/>
    <w:rsid w:val="00853108"/>
    <w:rsid w:val="00853D16"/>
    <w:rsid w:val="00854271"/>
    <w:rsid w:val="0085435E"/>
    <w:rsid w:val="00854E71"/>
    <w:rsid w:val="0085510C"/>
    <w:rsid w:val="0085513B"/>
    <w:rsid w:val="008555BB"/>
    <w:rsid w:val="00855F7D"/>
    <w:rsid w:val="00856796"/>
    <w:rsid w:val="008567DD"/>
    <w:rsid w:val="008568E5"/>
    <w:rsid w:val="00856EE1"/>
    <w:rsid w:val="00856F40"/>
    <w:rsid w:val="008570BF"/>
    <w:rsid w:val="0085738B"/>
    <w:rsid w:val="00857616"/>
    <w:rsid w:val="0085777C"/>
    <w:rsid w:val="00857D39"/>
    <w:rsid w:val="0086059F"/>
    <w:rsid w:val="0086078E"/>
    <w:rsid w:val="00860AA3"/>
    <w:rsid w:val="0086116A"/>
    <w:rsid w:val="00861574"/>
    <w:rsid w:val="00861CE3"/>
    <w:rsid w:val="008623C4"/>
    <w:rsid w:val="008626FB"/>
    <w:rsid w:val="00862723"/>
    <w:rsid w:val="0086275F"/>
    <w:rsid w:val="0086310A"/>
    <w:rsid w:val="008634E2"/>
    <w:rsid w:val="008639FE"/>
    <w:rsid w:val="00863A61"/>
    <w:rsid w:val="0086458B"/>
    <w:rsid w:val="0086545E"/>
    <w:rsid w:val="00865928"/>
    <w:rsid w:val="0086593E"/>
    <w:rsid w:val="00865B25"/>
    <w:rsid w:val="0086619E"/>
    <w:rsid w:val="00866327"/>
    <w:rsid w:val="00866A21"/>
    <w:rsid w:val="008671C2"/>
    <w:rsid w:val="0086732C"/>
    <w:rsid w:val="00867812"/>
    <w:rsid w:val="0087011D"/>
    <w:rsid w:val="00870A09"/>
    <w:rsid w:val="00870B03"/>
    <w:rsid w:val="0087114A"/>
    <w:rsid w:val="00871BF5"/>
    <w:rsid w:val="008721AB"/>
    <w:rsid w:val="00872A66"/>
    <w:rsid w:val="00872FDB"/>
    <w:rsid w:val="00873034"/>
    <w:rsid w:val="00873107"/>
    <w:rsid w:val="00873150"/>
    <w:rsid w:val="00873392"/>
    <w:rsid w:val="00873501"/>
    <w:rsid w:val="00873957"/>
    <w:rsid w:val="00873BBF"/>
    <w:rsid w:val="00873EF0"/>
    <w:rsid w:val="00873FF9"/>
    <w:rsid w:val="00874016"/>
    <w:rsid w:val="00874150"/>
    <w:rsid w:val="0087454E"/>
    <w:rsid w:val="00874649"/>
    <w:rsid w:val="00874B67"/>
    <w:rsid w:val="0087538B"/>
    <w:rsid w:val="0087642E"/>
    <w:rsid w:val="0087657D"/>
    <w:rsid w:val="008765D4"/>
    <w:rsid w:val="008766C2"/>
    <w:rsid w:val="008768FD"/>
    <w:rsid w:val="00876C91"/>
    <w:rsid w:val="00876E79"/>
    <w:rsid w:val="00876EAD"/>
    <w:rsid w:val="0087743A"/>
    <w:rsid w:val="00877A72"/>
    <w:rsid w:val="00877EA5"/>
    <w:rsid w:val="00880093"/>
    <w:rsid w:val="00880094"/>
    <w:rsid w:val="00880246"/>
    <w:rsid w:val="008803F6"/>
    <w:rsid w:val="00880832"/>
    <w:rsid w:val="008809C3"/>
    <w:rsid w:val="00880A98"/>
    <w:rsid w:val="00881DFA"/>
    <w:rsid w:val="0088217A"/>
    <w:rsid w:val="008821F1"/>
    <w:rsid w:val="008825D7"/>
    <w:rsid w:val="00883361"/>
    <w:rsid w:val="00883A56"/>
    <w:rsid w:val="00884176"/>
    <w:rsid w:val="008849A6"/>
    <w:rsid w:val="00884F8C"/>
    <w:rsid w:val="00885188"/>
    <w:rsid w:val="008852F5"/>
    <w:rsid w:val="008853A5"/>
    <w:rsid w:val="008855AA"/>
    <w:rsid w:val="0088592F"/>
    <w:rsid w:val="00885CDE"/>
    <w:rsid w:val="00885E5E"/>
    <w:rsid w:val="00886EE1"/>
    <w:rsid w:val="008873C5"/>
    <w:rsid w:val="00887464"/>
    <w:rsid w:val="0088746D"/>
    <w:rsid w:val="00887491"/>
    <w:rsid w:val="008877CA"/>
    <w:rsid w:val="00887927"/>
    <w:rsid w:val="00887A0F"/>
    <w:rsid w:val="00887F1F"/>
    <w:rsid w:val="00890095"/>
    <w:rsid w:val="00890114"/>
    <w:rsid w:val="00890626"/>
    <w:rsid w:val="00890EB1"/>
    <w:rsid w:val="008910EB"/>
    <w:rsid w:val="008914C2"/>
    <w:rsid w:val="008919B6"/>
    <w:rsid w:val="00892995"/>
    <w:rsid w:val="008937CF"/>
    <w:rsid w:val="00894D64"/>
    <w:rsid w:val="00894E74"/>
    <w:rsid w:val="00895107"/>
    <w:rsid w:val="00895260"/>
    <w:rsid w:val="0089544B"/>
    <w:rsid w:val="008954FA"/>
    <w:rsid w:val="008955F6"/>
    <w:rsid w:val="00895796"/>
    <w:rsid w:val="00895C8E"/>
    <w:rsid w:val="00895F35"/>
    <w:rsid w:val="00896D9C"/>
    <w:rsid w:val="00896FB5"/>
    <w:rsid w:val="008972D3"/>
    <w:rsid w:val="0089792E"/>
    <w:rsid w:val="00897C75"/>
    <w:rsid w:val="00897C94"/>
    <w:rsid w:val="008A038C"/>
    <w:rsid w:val="008A06C7"/>
    <w:rsid w:val="008A0788"/>
    <w:rsid w:val="008A0E9E"/>
    <w:rsid w:val="008A143D"/>
    <w:rsid w:val="008A1522"/>
    <w:rsid w:val="008A26EE"/>
    <w:rsid w:val="008A2920"/>
    <w:rsid w:val="008A2DA0"/>
    <w:rsid w:val="008A2F2F"/>
    <w:rsid w:val="008A3688"/>
    <w:rsid w:val="008A398D"/>
    <w:rsid w:val="008A3CBB"/>
    <w:rsid w:val="008A438F"/>
    <w:rsid w:val="008A43D8"/>
    <w:rsid w:val="008A4435"/>
    <w:rsid w:val="008A452B"/>
    <w:rsid w:val="008A456A"/>
    <w:rsid w:val="008A4AAD"/>
    <w:rsid w:val="008A51B7"/>
    <w:rsid w:val="008A53CA"/>
    <w:rsid w:val="008A6ABD"/>
    <w:rsid w:val="008A6E23"/>
    <w:rsid w:val="008A738D"/>
    <w:rsid w:val="008A7BCF"/>
    <w:rsid w:val="008A7DCF"/>
    <w:rsid w:val="008B0C99"/>
    <w:rsid w:val="008B1282"/>
    <w:rsid w:val="008B128B"/>
    <w:rsid w:val="008B1D1E"/>
    <w:rsid w:val="008B2C22"/>
    <w:rsid w:val="008B2C31"/>
    <w:rsid w:val="008B35A8"/>
    <w:rsid w:val="008B3727"/>
    <w:rsid w:val="008B3A55"/>
    <w:rsid w:val="008B466B"/>
    <w:rsid w:val="008B55FF"/>
    <w:rsid w:val="008B5E09"/>
    <w:rsid w:val="008B6150"/>
    <w:rsid w:val="008B64FB"/>
    <w:rsid w:val="008B658E"/>
    <w:rsid w:val="008B6721"/>
    <w:rsid w:val="008B696A"/>
    <w:rsid w:val="008B6CE5"/>
    <w:rsid w:val="008B6D47"/>
    <w:rsid w:val="008B6DEC"/>
    <w:rsid w:val="008B73FE"/>
    <w:rsid w:val="008C0038"/>
    <w:rsid w:val="008C07CB"/>
    <w:rsid w:val="008C098E"/>
    <w:rsid w:val="008C12C3"/>
    <w:rsid w:val="008C15A7"/>
    <w:rsid w:val="008C19AB"/>
    <w:rsid w:val="008C1AD7"/>
    <w:rsid w:val="008C1B94"/>
    <w:rsid w:val="008C2C23"/>
    <w:rsid w:val="008C3B9C"/>
    <w:rsid w:val="008C3C59"/>
    <w:rsid w:val="008C40C7"/>
    <w:rsid w:val="008C415A"/>
    <w:rsid w:val="008C452E"/>
    <w:rsid w:val="008C53C7"/>
    <w:rsid w:val="008C5C70"/>
    <w:rsid w:val="008C6B7E"/>
    <w:rsid w:val="008C6D0A"/>
    <w:rsid w:val="008C715A"/>
    <w:rsid w:val="008C7886"/>
    <w:rsid w:val="008D0253"/>
    <w:rsid w:val="008D0EA2"/>
    <w:rsid w:val="008D14D1"/>
    <w:rsid w:val="008D18AF"/>
    <w:rsid w:val="008D18E6"/>
    <w:rsid w:val="008D1D56"/>
    <w:rsid w:val="008D2D12"/>
    <w:rsid w:val="008D30F1"/>
    <w:rsid w:val="008D38DF"/>
    <w:rsid w:val="008D3A5E"/>
    <w:rsid w:val="008D3BF4"/>
    <w:rsid w:val="008D454D"/>
    <w:rsid w:val="008D49A5"/>
    <w:rsid w:val="008D504B"/>
    <w:rsid w:val="008D5835"/>
    <w:rsid w:val="008D5917"/>
    <w:rsid w:val="008D607F"/>
    <w:rsid w:val="008D6084"/>
    <w:rsid w:val="008D611C"/>
    <w:rsid w:val="008D6263"/>
    <w:rsid w:val="008D6552"/>
    <w:rsid w:val="008D66C1"/>
    <w:rsid w:val="008D78C0"/>
    <w:rsid w:val="008E00FE"/>
    <w:rsid w:val="008E0550"/>
    <w:rsid w:val="008E08AB"/>
    <w:rsid w:val="008E0C73"/>
    <w:rsid w:val="008E0D6D"/>
    <w:rsid w:val="008E165E"/>
    <w:rsid w:val="008E1B55"/>
    <w:rsid w:val="008E2060"/>
    <w:rsid w:val="008E2DED"/>
    <w:rsid w:val="008E3396"/>
    <w:rsid w:val="008E44ED"/>
    <w:rsid w:val="008E483E"/>
    <w:rsid w:val="008E507B"/>
    <w:rsid w:val="008E5209"/>
    <w:rsid w:val="008E5A9F"/>
    <w:rsid w:val="008E608B"/>
    <w:rsid w:val="008E6440"/>
    <w:rsid w:val="008E6566"/>
    <w:rsid w:val="008E6776"/>
    <w:rsid w:val="008E6A1B"/>
    <w:rsid w:val="008E6A57"/>
    <w:rsid w:val="008E6F14"/>
    <w:rsid w:val="008E6FB0"/>
    <w:rsid w:val="008E7613"/>
    <w:rsid w:val="008E7688"/>
    <w:rsid w:val="008E7755"/>
    <w:rsid w:val="008F0129"/>
    <w:rsid w:val="008F0201"/>
    <w:rsid w:val="008F0582"/>
    <w:rsid w:val="008F064D"/>
    <w:rsid w:val="008F0758"/>
    <w:rsid w:val="008F0DBE"/>
    <w:rsid w:val="008F11F8"/>
    <w:rsid w:val="008F147E"/>
    <w:rsid w:val="008F19AE"/>
    <w:rsid w:val="008F1A08"/>
    <w:rsid w:val="008F1BB0"/>
    <w:rsid w:val="008F1C2C"/>
    <w:rsid w:val="008F1D89"/>
    <w:rsid w:val="008F21F6"/>
    <w:rsid w:val="008F26A8"/>
    <w:rsid w:val="008F279B"/>
    <w:rsid w:val="008F27F3"/>
    <w:rsid w:val="008F2E64"/>
    <w:rsid w:val="008F3581"/>
    <w:rsid w:val="008F3766"/>
    <w:rsid w:val="008F3836"/>
    <w:rsid w:val="008F38CF"/>
    <w:rsid w:val="008F3E12"/>
    <w:rsid w:val="008F3FD6"/>
    <w:rsid w:val="008F452C"/>
    <w:rsid w:val="008F48E0"/>
    <w:rsid w:val="008F4BD9"/>
    <w:rsid w:val="008F4EF1"/>
    <w:rsid w:val="008F5B5C"/>
    <w:rsid w:val="008F5C77"/>
    <w:rsid w:val="008F5CD7"/>
    <w:rsid w:val="008F61F3"/>
    <w:rsid w:val="008F6FD1"/>
    <w:rsid w:val="008F7435"/>
    <w:rsid w:val="008F7BA7"/>
    <w:rsid w:val="008F7DEA"/>
    <w:rsid w:val="008F7F67"/>
    <w:rsid w:val="00900445"/>
    <w:rsid w:val="00900BD3"/>
    <w:rsid w:val="00900C3E"/>
    <w:rsid w:val="009011B5"/>
    <w:rsid w:val="009011F7"/>
    <w:rsid w:val="00901E89"/>
    <w:rsid w:val="00902855"/>
    <w:rsid w:val="00902933"/>
    <w:rsid w:val="00902AC0"/>
    <w:rsid w:val="00902B00"/>
    <w:rsid w:val="009033E0"/>
    <w:rsid w:val="00903C58"/>
    <w:rsid w:val="0090687D"/>
    <w:rsid w:val="00906B32"/>
    <w:rsid w:val="00906D69"/>
    <w:rsid w:val="00906DAF"/>
    <w:rsid w:val="00907189"/>
    <w:rsid w:val="00907861"/>
    <w:rsid w:val="00907E82"/>
    <w:rsid w:val="00911122"/>
    <w:rsid w:val="00911656"/>
    <w:rsid w:val="0091182B"/>
    <w:rsid w:val="00913543"/>
    <w:rsid w:val="009137DA"/>
    <w:rsid w:val="00913A25"/>
    <w:rsid w:val="00913E0E"/>
    <w:rsid w:val="009142F8"/>
    <w:rsid w:val="009144F9"/>
    <w:rsid w:val="0091464A"/>
    <w:rsid w:val="0091486E"/>
    <w:rsid w:val="009148CB"/>
    <w:rsid w:val="00914C93"/>
    <w:rsid w:val="00914D37"/>
    <w:rsid w:val="00914D86"/>
    <w:rsid w:val="009152DD"/>
    <w:rsid w:val="00917289"/>
    <w:rsid w:val="009176BE"/>
    <w:rsid w:val="0092006B"/>
    <w:rsid w:val="00920178"/>
    <w:rsid w:val="0092020A"/>
    <w:rsid w:val="00920438"/>
    <w:rsid w:val="00920746"/>
    <w:rsid w:val="00920BD1"/>
    <w:rsid w:val="00921267"/>
    <w:rsid w:val="00921B91"/>
    <w:rsid w:val="00921D7B"/>
    <w:rsid w:val="00922D9D"/>
    <w:rsid w:val="0092339A"/>
    <w:rsid w:val="009238FB"/>
    <w:rsid w:val="00923CBF"/>
    <w:rsid w:val="009241C8"/>
    <w:rsid w:val="00924350"/>
    <w:rsid w:val="009246DB"/>
    <w:rsid w:val="0092501E"/>
    <w:rsid w:val="00925634"/>
    <w:rsid w:val="009257C9"/>
    <w:rsid w:val="00925F01"/>
    <w:rsid w:val="009273A3"/>
    <w:rsid w:val="009275DB"/>
    <w:rsid w:val="00927AF9"/>
    <w:rsid w:val="00927C4B"/>
    <w:rsid w:val="00930282"/>
    <w:rsid w:val="009302AA"/>
    <w:rsid w:val="009303A6"/>
    <w:rsid w:val="009305B2"/>
    <w:rsid w:val="00930B31"/>
    <w:rsid w:val="00931087"/>
    <w:rsid w:val="0093112E"/>
    <w:rsid w:val="00931CAC"/>
    <w:rsid w:val="0093232B"/>
    <w:rsid w:val="00932987"/>
    <w:rsid w:val="00932B74"/>
    <w:rsid w:val="00932DC8"/>
    <w:rsid w:val="00932F07"/>
    <w:rsid w:val="009335C7"/>
    <w:rsid w:val="009337A9"/>
    <w:rsid w:val="009338BE"/>
    <w:rsid w:val="009344ED"/>
    <w:rsid w:val="009348EA"/>
    <w:rsid w:val="00934C4E"/>
    <w:rsid w:val="00934FF1"/>
    <w:rsid w:val="009354DC"/>
    <w:rsid w:val="00935D28"/>
    <w:rsid w:val="00936386"/>
    <w:rsid w:val="00936710"/>
    <w:rsid w:val="00936A49"/>
    <w:rsid w:val="00936CE8"/>
    <w:rsid w:val="0093745B"/>
    <w:rsid w:val="009374C1"/>
    <w:rsid w:val="009376D6"/>
    <w:rsid w:val="00937F19"/>
    <w:rsid w:val="009402C6"/>
    <w:rsid w:val="00940359"/>
    <w:rsid w:val="009404F1"/>
    <w:rsid w:val="00940904"/>
    <w:rsid w:val="00940BA1"/>
    <w:rsid w:val="00940ED4"/>
    <w:rsid w:val="00941110"/>
    <w:rsid w:val="00941D3F"/>
    <w:rsid w:val="009420A9"/>
    <w:rsid w:val="00942419"/>
    <w:rsid w:val="00942684"/>
    <w:rsid w:val="00942874"/>
    <w:rsid w:val="00943181"/>
    <w:rsid w:val="00943888"/>
    <w:rsid w:val="009444D5"/>
    <w:rsid w:val="00944E86"/>
    <w:rsid w:val="00945200"/>
    <w:rsid w:val="00945715"/>
    <w:rsid w:val="00945C70"/>
    <w:rsid w:val="009460C4"/>
    <w:rsid w:val="00946168"/>
    <w:rsid w:val="0094622F"/>
    <w:rsid w:val="00946A14"/>
    <w:rsid w:val="00946A44"/>
    <w:rsid w:val="00947784"/>
    <w:rsid w:val="00947C33"/>
    <w:rsid w:val="0095042B"/>
    <w:rsid w:val="009508DC"/>
    <w:rsid w:val="00950BA1"/>
    <w:rsid w:val="00950BD9"/>
    <w:rsid w:val="00950D13"/>
    <w:rsid w:val="00950ED3"/>
    <w:rsid w:val="00951025"/>
    <w:rsid w:val="00951082"/>
    <w:rsid w:val="00951114"/>
    <w:rsid w:val="00951182"/>
    <w:rsid w:val="00951F79"/>
    <w:rsid w:val="009522A6"/>
    <w:rsid w:val="00952CD3"/>
    <w:rsid w:val="0095333F"/>
    <w:rsid w:val="00953440"/>
    <w:rsid w:val="00953A30"/>
    <w:rsid w:val="00953B0B"/>
    <w:rsid w:val="00953FF5"/>
    <w:rsid w:val="00954164"/>
    <w:rsid w:val="00954580"/>
    <w:rsid w:val="0095559D"/>
    <w:rsid w:val="00955642"/>
    <w:rsid w:val="009560E4"/>
    <w:rsid w:val="009565D2"/>
    <w:rsid w:val="00957808"/>
    <w:rsid w:val="00957B09"/>
    <w:rsid w:val="009604A1"/>
    <w:rsid w:val="009608E0"/>
    <w:rsid w:val="00960E38"/>
    <w:rsid w:val="00961BF1"/>
    <w:rsid w:val="009620BC"/>
    <w:rsid w:val="00962BD7"/>
    <w:rsid w:val="00962D30"/>
    <w:rsid w:val="00962F26"/>
    <w:rsid w:val="00963214"/>
    <w:rsid w:val="009632EE"/>
    <w:rsid w:val="00963400"/>
    <w:rsid w:val="00963564"/>
    <w:rsid w:val="0096365B"/>
    <w:rsid w:val="009638F4"/>
    <w:rsid w:val="009639A7"/>
    <w:rsid w:val="00963AD5"/>
    <w:rsid w:val="00963DDE"/>
    <w:rsid w:val="00963E48"/>
    <w:rsid w:val="00963EBB"/>
    <w:rsid w:val="00964944"/>
    <w:rsid w:val="009657D9"/>
    <w:rsid w:val="0096582C"/>
    <w:rsid w:val="00965D06"/>
    <w:rsid w:val="00966461"/>
    <w:rsid w:val="00966906"/>
    <w:rsid w:val="00966B5D"/>
    <w:rsid w:val="00966C1C"/>
    <w:rsid w:val="0096713E"/>
    <w:rsid w:val="00967A25"/>
    <w:rsid w:val="00967BBD"/>
    <w:rsid w:val="00967D8F"/>
    <w:rsid w:val="00967ECD"/>
    <w:rsid w:val="00970253"/>
    <w:rsid w:val="00970715"/>
    <w:rsid w:val="00970A7C"/>
    <w:rsid w:val="00970D29"/>
    <w:rsid w:val="009714EF"/>
    <w:rsid w:val="00971868"/>
    <w:rsid w:val="00972427"/>
    <w:rsid w:val="00972970"/>
    <w:rsid w:val="00972C0C"/>
    <w:rsid w:val="00973204"/>
    <w:rsid w:val="009732F9"/>
    <w:rsid w:val="00973840"/>
    <w:rsid w:val="00973A82"/>
    <w:rsid w:val="00973C97"/>
    <w:rsid w:val="00973D0E"/>
    <w:rsid w:val="00973D75"/>
    <w:rsid w:val="009749F3"/>
    <w:rsid w:val="00974ABA"/>
    <w:rsid w:val="00974BB4"/>
    <w:rsid w:val="009754E2"/>
    <w:rsid w:val="009762E2"/>
    <w:rsid w:val="00976344"/>
    <w:rsid w:val="00976B35"/>
    <w:rsid w:val="00976C36"/>
    <w:rsid w:val="00977B79"/>
    <w:rsid w:val="00980C73"/>
    <w:rsid w:val="00980EEC"/>
    <w:rsid w:val="00980F4E"/>
    <w:rsid w:val="00981458"/>
    <w:rsid w:val="00981E07"/>
    <w:rsid w:val="009824FD"/>
    <w:rsid w:val="00982720"/>
    <w:rsid w:val="00982760"/>
    <w:rsid w:val="00982CCD"/>
    <w:rsid w:val="00983188"/>
    <w:rsid w:val="009833DD"/>
    <w:rsid w:val="009836C5"/>
    <w:rsid w:val="009836F0"/>
    <w:rsid w:val="00983717"/>
    <w:rsid w:val="00983925"/>
    <w:rsid w:val="0098426C"/>
    <w:rsid w:val="009842B7"/>
    <w:rsid w:val="009847A9"/>
    <w:rsid w:val="00984AA1"/>
    <w:rsid w:val="00985428"/>
    <w:rsid w:val="00985825"/>
    <w:rsid w:val="00985970"/>
    <w:rsid w:val="0098601C"/>
    <w:rsid w:val="00986777"/>
    <w:rsid w:val="00986A69"/>
    <w:rsid w:val="0098706D"/>
    <w:rsid w:val="009872BB"/>
    <w:rsid w:val="00987B29"/>
    <w:rsid w:val="00987DF1"/>
    <w:rsid w:val="00987E30"/>
    <w:rsid w:val="00990469"/>
    <w:rsid w:val="00990502"/>
    <w:rsid w:val="00990552"/>
    <w:rsid w:val="00990625"/>
    <w:rsid w:val="00991916"/>
    <w:rsid w:val="00991AB5"/>
    <w:rsid w:val="00992CFA"/>
    <w:rsid w:val="00992DE7"/>
    <w:rsid w:val="00992F64"/>
    <w:rsid w:val="009932DD"/>
    <w:rsid w:val="0099342D"/>
    <w:rsid w:val="009935FB"/>
    <w:rsid w:val="009938AA"/>
    <w:rsid w:val="009940DB"/>
    <w:rsid w:val="00994621"/>
    <w:rsid w:val="0099477A"/>
    <w:rsid w:val="00994B74"/>
    <w:rsid w:val="00994D0D"/>
    <w:rsid w:val="009954A3"/>
    <w:rsid w:val="009962A6"/>
    <w:rsid w:val="00996584"/>
    <w:rsid w:val="00996A27"/>
    <w:rsid w:val="00996B53"/>
    <w:rsid w:val="00996B6A"/>
    <w:rsid w:val="009970A6"/>
    <w:rsid w:val="00997188"/>
    <w:rsid w:val="009971F2"/>
    <w:rsid w:val="00997270"/>
    <w:rsid w:val="009973DD"/>
    <w:rsid w:val="009976F4"/>
    <w:rsid w:val="00997C59"/>
    <w:rsid w:val="00997FAC"/>
    <w:rsid w:val="009A07A6"/>
    <w:rsid w:val="009A1333"/>
    <w:rsid w:val="009A13F1"/>
    <w:rsid w:val="009A1592"/>
    <w:rsid w:val="009A256B"/>
    <w:rsid w:val="009A2DE2"/>
    <w:rsid w:val="009A3062"/>
    <w:rsid w:val="009A32D0"/>
    <w:rsid w:val="009A3BF0"/>
    <w:rsid w:val="009A3DAF"/>
    <w:rsid w:val="009A467D"/>
    <w:rsid w:val="009A4A92"/>
    <w:rsid w:val="009A5703"/>
    <w:rsid w:val="009A59BD"/>
    <w:rsid w:val="009A6367"/>
    <w:rsid w:val="009A6411"/>
    <w:rsid w:val="009A7045"/>
    <w:rsid w:val="009A7164"/>
    <w:rsid w:val="009A722C"/>
    <w:rsid w:val="009A7318"/>
    <w:rsid w:val="009B0116"/>
    <w:rsid w:val="009B02A3"/>
    <w:rsid w:val="009B0675"/>
    <w:rsid w:val="009B08D4"/>
    <w:rsid w:val="009B09C4"/>
    <w:rsid w:val="009B10B8"/>
    <w:rsid w:val="009B313D"/>
    <w:rsid w:val="009B385B"/>
    <w:rsid w:val="009B3EC5"/>
    <w:rsid w:val="009B3F85"/>
    <w:rsid w:val="009B417F"/>
    <w:rsid w:val="009B42CF"/>
    <w:rsid w:val="009B4628"/>
    <w:rsid w:val="009B46C3"/>
    <w:rsid w:val="009B4860"/>
    <w:rsid w:val="009B49B3"/>
    <w:rsid w:val="009B4BA4"/>
    <w:rsid w:val="009B4E2C"/>
    <w:rsid w:val="009B4F79"/>
    <w:rsid w:val="009B503B"/>
    <w:rsid w:val="009B5308"/>
    <w:rsid w:val="009B559E"/>
    <w:rsid w:val="009B599F"/>
    <w:rsid w:val="009B5A0E"/>
    <w:rsid w:val="009B5A32"/>
    <w:rsid w:val="009B5B01"/>
    <w:rsid w:val="009B5B14"/>
    <w:rsid w:val="009B5C1C"/>
    <w:rsid w:val="009B5D35"/>
    <w:rsid w:val="009B6146"/>
    <w:rsid w:val="009B61B9"/>
    <w:rsid w:val="009B6E02"/>
    <w:rsid w:val="009B7702"/>
    <w:rsid w:val="009B7A76"/>
    <w:rsid w:val="009B7FB6"/>
    <w:rsid w:val="009C03F0"/>
    <w:rsid w:val="009C046E"/>
    <w:rsid w:val="009C05F8"/>
    <w:rsid w:val="009C0A1B"/>
    <w:rsid w:val="009C1FD4"/>
    <w:rsid w:val="009C209F"/>
    <w:rsid w:val="009C20FB"/>
    <w:rsid w:val="009C21F8"/>
    <w:rsid w:val="009C2356"/>
    <w:rsid w:val="009C2A92"/>
    <w:rsid w:val="009C2BE2"/>
    <w:rsid w:val="009C315B"/>
    <w:rsid w:val="009C37CD"/>
    <w:rsid w:val="009C429C"/>
    <w:rsid w:val="009C4C92"/>
    <w:rsid w:val="009C4F67"/>
    <w:rsid w:val="009C5090"/>
    <w:rsid w:val="009C53D5"/>
    <w:rsid w:val="009C546A"/>
    <w:rsid w:val="009C5484"/>
    <w:rsid w:val="009C64F7"/>
    <w:rsid w:val="009C7336"/>
    <w:rsid w:val="009CBBA8"/>
    <w:rsid w:val="009D02D6"/>
    <w:rsid w:val="009D0850"/>
    <w:rsid w:val="009D0964"/>
    <w:rsid w:val="009D0AF6"/>
    <w:rsid w:val="009D0EE3"/>
    <w:rsid w:val="009D10BE"/>
    <w:rsid w:val="009D121B"/>
    <w:rsid w:val="009D196C"/>
    <w:rsid w:val="009D1A04"/>
    <w:rsid w:val="009D1E4B"/>
    <w:rsid w:val="009D2C96"/>
    <w:rsid w:val="009D3B48"/>
    <w:rsid w:val="009D3B9E"/>
    <w:rsid w:val="009D3EFE"/>
    <w:rsid w:val="009D3FD3"/>
    <w:rsid w:val="009D4662"/>
    <w:rsid w:val="009D4F80"/>
    <w:rsid w:val="009D4FB2"/>
    <w:rsid w:val="009D55F8"/>
    <w:rsid w:val="009D6149"/>
    <w:rsid w:val="009D61ED"/>
    <w:rsid w:val="009D628C"/>
    <w:rsid w:val="009D6929"/>
    <w:rsid w:val="009D6E70"/>
    <w:rsid w:val="009D6EB7"/>
    <w:rsid w:val="009D6F1C"/>
    <w:rsid w:val="009D7277"/>
    <w:rsid w:val="009D76C1"/>
    <w:rsid w:val="009D775C"/>
    <w:rsid w:val="009D7ABE"/>
    <w:rsid w:val="009D7DDA"/>
    <w:rsid w:val="009D7E2C"/>
    <w:rsid w:val="009E00A0"/>
    <w:rsid w:val="009E02FB"/>
    <w:rsid w:val="009E032A"/>
    <w:rsid w:val="009E0FC2"/>
    <w:rsid w:val="009E0FE4"/>
    <w:rsid w:val="009E141A"/>
    <w:rsid w:val="009E209A"/>
    <w:rsid w:val="009E2663"/>
    <w:rsid w:val="009E2E6D"/>
    <w:rsid w:val="009E348F"/>
    <w:rsid w:val="009E3907"/>
    <w:rsid w:val="009E3B04"/>
    <w:rsid w:val="009E43E7"/>
    <w:rsid w:val="009E4878"/>
    <w:rsid w:val="009E5D7C"/>
    <w:rsid w:val="009E5F56"/>
    <w:rsid w:val="009E6611"/>
    <w:rsid w:val="009E66F6"/>
    <w:rsid w:val="009E6A8F"/>
    <w:rsid w:val="009E6CAD"/>
    <w:rsid w:val="009E7133"/>
    <w:rsid w:val="009E7509"/>
    <w:rsid w:val="009E792F"/>
    <w:rsid w:val="009E7BB2"/>
    <w:rsid w:val="009F0489"/>
    <w:rsid w:val="009F0A89"/>
    <w:rsid w:val="009F1232"/>
    <w:rsid w:val="009F1520"/>
    <w:rsid w:val="009F2099"/>
    <w:rsid w:val="009F240D"/>
    <w:rsid w:val="009F291E"/>
    <w:rsid w:val="009F2998"/>
    <w:rsid w:val="009F2B3F"/>
    <w:rsid w:val="009F2F09"/>
    <w:rsid w:val="009F2F16"/>
    <w:rsid w:val="009F32A3"/>
    <w:rsid w:val="009F3781"/>
    <w:rsid w:val="009F43FA"/>
    <w:rsid w:val="009F4530"/>
    <w:rsid w:val="009F45B7"/>
    <w:rsid w:val="009F487A"/>
    <w:rsid w:val="009F48AC"/>
    <w:rsid w:val="009F49A9"/>
    <w:rsid w:val="009F4D04"/>
    <w:rsid w:val="009F4F4F"/>
    <w:rsid w:val="009F50EA"/>
    <w:rsid w:val="009F5267"/>
    <w:rsid w:val="009F52E8"/>
    <w:rsid w:val="009F572E"/>
    <w:rsid w:val="009F5F55"/>
    <w:rsid w:val="009F64C5"/>
    <w:rsid w:val="009F66CB"/>
    <w:rsid w:val="009F66DF"/>
    <w:rsid w:val="009F6C06"/>
    <w:rsid w:val="009F77CC"/>
    <w:rsid w:val="009F7976"/>
    <w:rsid w:val="00A00020"/>
    <w:rsid w:val="00A00D69"/>
    <w:rsid w:val="00A01658"/>
    <w:rsid w:val="00A03021"/>
    <w:rsid w:val="00A0345B"/>
    <w:rsid w:val="00A0351E"/>
    <w:rsid w:val="00A0381B"/>
    <w:rsid w:val="00A03A8E"/>
    <w:rsid w:val="00A05048"/>
    <w:rsid w:val="00A05735"/>
    <w:rsid w:val="00A05C8F"/>
    <w:rsid w:val="00A067ED"/>
    <w:rsid w:val="00A06A01"/>
    <w:rsid w:val="00A06F10"/>
    <w:rsid w:val="00A073D8"/>
    <w:rsid w:val="00A07DAB"/>
    <w:rsid w:val="00A07F55"/>
    <w:rsid w:val="00A100F2"/>
    <w:rsid w:val="00A10568"/>
    <w:rsid w:val="00A1128F"/>
    <w:rsid w:val="00A11921"/>
    <w:rsid w:val="00A11CEA"/>
    <w:rsid w:val="00A11D2D"/>
    <w:rsid w:val="00A11EB4"/>
    <w:rsid w:val="00A12244"/>
    <w:rsid w:val="00A124A7"/>
    <w:rsid w:val="00A12C57"/>
    <w:rsid w:val="00A135CA"/>
    <w:rsid w:val="00A13C44"/>
    <w:rsid w:val="00A13E5D"/>
    <w:rsid w:val="00A14635"/>
    <w:rsid w:val="00A14F0B"/>
    <w:rsid w:val="00A15753"/>
    <w:rsid w:val="00A1615A"/>
    <w:rsid w:val="00A16447"/>
    <w:rsid w:val="00A16909"/>
    <w:rsid w:val="00A16F2B"/>
    <w:rsid w:val="00A1702A"/>
    <w:rsid w:val="00A170C8"/>
    <w:rsid w:val="00A1734D"/>
    <w:rsid w:val="00A1770C"/>
    <w:rsid w:val="00A17910"/>
    <w:rsid w:val="00A17950"/>
    <w:rsid w:val="00A17DCB"/>
    <w:rsid w:val="00A2091C"/>
    <w:rsid w:val="00A20ABF"/>
    <w:rsid w:val="00A20C12"/>
    <w:rsid w:val="00A21141"/>
    <w:rsid w:val="00A21428"/>
    <w:rsid w:val="00A21766"/>
    <w:rsid w:val="00A218EF"/>
    <w:rsid w:val="00A22B19"/>
    <w:rsid w:val="00A22D83"/>
    <w:rsid w:val="00A22EF5"/>
    <w:rsid w:val="00A230C2"/>
    <w:rsid w:val="00A23703"/>
    <w:rsid w:val="00A239A9"/>
    <w:rsid w:val="00A246EE"/>
    <w:rsid w:val="00A246F8"/>
    <w:rsid w:val="00A24B59"/>
    <w:rsid w:val="00A24CD7"/>
    <w:rsid w:val="00A250F5"/>
    <w:rsid w:val="00A25425"/>
    <w:rsid w:val="00A255E5"/>
    <w:rsid w:val="00A25F6D"/>
    <w:rsid w:val="00A25FD7"/>
    <w:rsid w:val="00A2605A"/>
    <w:rsid w:val="00A260DE"/>
    <w:rsid w:val="00A26B58"/>
    <w:rsid w:val="00A26FE7"/>
    <w:rsid w:val="00A27194"/>
    <w:rsid w:val="00A2721E"/>
    <w:rsid w:val="00A272E4"/>
    <w:rsid w:val="00A30562"/>
    <w:rsid w:val="00A3160F"/>
    <w:rsid w:val="00A31AD1"/>
    <w:rsid w:val="00A31C71"/>
    <w:rsid w:val="00A31DDE"/>
    <w:rsid w:val="00A31FB7"/>
    <w:rsid w:val="00A32F59"/>
    <w:rsid w:val="00A33177"/>
    <w:rsid w:val="00A332A8"/>
    <w:rsid w:val="00A337D7"/>
    <w:rsid w:val="00A34332"/>
    <w:rsid w:val="00A354D5"/>
    <w:rsid w:val="00A35829"/>
    <w:rsid w:val="00A35A3F"/>
    <w:rsid w:val="00A36380"/>
    <w:rsid w:val="00A366C7"/>
    <w:rsid w:val="00A36795"/>
    <w:rsid w:val="00A36850"/>
    <w:rsid w:val="00A368B5"/>
    <w:rsid w:val="00A36D1D"/>
    <w:rsid w:val="00A36F40"/>
    <w:rsid w:val="00A371C6"/>
    <w:rsid w:val="00A372DE"/>
    <w:rsid w:val="00A37334"/>
    <w:rsid w:val="00A37AE9"/>
    <w:rsid w:val="00A3E5E6"/>
    <w:rsid w:val="00A401BA"/>
    <w:rsid w:val="00A40300"/>
    <w:rsid w:val="00A4080E"/>
    <w:rsid w:val="00A408F1"/>
    <w:rsid w:val="00A40D0F"/>
    <w:rsid w:val="00A4131F"/>
    <w:rsid w:val="00A41432"/>
    <w:rsid w:val="00A41CBA"/>
    <w:rsid w:val="00A420D7"/>
    <w:rsid w:val="00A42533"/>
    <w:rsid w:val="00A42E6A"/>
    <w:rsid w:val="00A42F32"/>
    <w:rsid w:val="00A43AFF"/>
    <w:rsid w:val="00A43D26"/>
    <w:rsid w:val="00A43E14"/>
    <w:rsid w:val="00A4454B"/>
    <w:rsid w:val="00A447DD"/>
    <w:rsid w:val="00A448F9"/>
    <w:rsid w:val="00A44BA0"/>
    <w:rsid w:val="00A45224"/>
    <w:rsid w:val="00A45AE1"/>
    <w:rsid w:val="00A45E13"/>
    <w:rsid w:val="00A465F8"/>
    <w:rsid w:val="00A4670D"/>
    <w:rsid w:val="00A46854"/>
    <w:rsid w:val="00A46DD9"/>
    <w:rsid w:val="00A46F03"/>
    <w:rsid w:val="00A46F19"/>
    <w:rsid w:val="00A4714B"/>
    <w:rsid w:val="00A47A2A"/>
    <w:rsid w:val="00A47C4D"/>
    <w:rsid w:val="00A504C3"/>
    <w:rsid w:val="00A50E58"/>
    <w:rsid w:val="00A513FC"/>
    <w:rsid w:val="00A5191E"/>
    <w:rsid w:val="00A51E15"/>
    <w:rsid w:val="00A522E4"/>
    <w:rsid w:val="00A5277A"/>
    <w:rsid w:val="00A52F37"/>
    <w:rsid w:val="00A533C8"/>
    <w:rsid w:val="00A5388C"/>
    <w:rsid w:val="00A54AC2"/>
    <w:rsid w:val="00A54F0A"/>
    <w:rsid w:val="00A5548A"/>
    <w:rsid w:val="00A55E4C"/>
    <w:rsid w:val="00A55F66"/>
    <w:rsid w:val="00A56AA3"/>
    <w:rsid w:val="00A570E6"/>
    <w:rsid w:val="00A571B7"/>
    <w:rsid w:val="00A5736A"/>
    <w:rsid w:val="00A5763F"/>
    <w:rsid w:val="00A57A2B"/>
    <w:rsid w:val="00A57C29"/>
    <w:rsid w:val="00A6017C"/>
    <w:rsid w:val="00A6043B"/>
    <w:rsid w:val="00A608EE"/>
    <w:rsid w:val="00A60E87"/>
    <w:rsid w:val="00A61B70"/>
    <w:rsid w:val="00A61D7E"/>
    <w:rsid w:val="00A6208A"/>
    <w:rsid w:val="00A622CB"/>
    <w:rsid w:val="00A62994"/>
    <w:rsid w:val="00A62A6F"/>
    <w:rsid w:val="00A6327D"/>
    <w:rsid w:val="00A637AF"/>
    <w:rsid w:val="00A63A8A"/>
    <w:rsid w:val="00A64070"/>
    <w:rsid w:val="00A65154"/>
    <w:rsid w:val="00A65947"/>
    <w:rsid w:val="00A660CC"/>
    <w:rsid w:val="00A6610A"/>
    <w:rsid w:val="00A66274"/>
    <w:rsid w:val="00A66293"/>
    <w:rsid w:val="00A66424"/>
    <w:rsid w:val="00A66511"/>
    <w:rsid w:val="00A66C2E"/>
    <w:rsid w:val="00A7025F"/>
    <w:rsid w:val="00A7155A"/>
    <w:rsid w:val="00A7175B"/>
    <w:rsid w:val="00A71870"/>
    <w:rsid w:val="00A71BA8"/>
    <w:rsid w:val="00A71C45"/>
    <w:rsid w:val="00A725E6"/>
    <w:rsid w:val="00A72B18"/>
    <w:rsid w:val="00A72FCE"/>
    <w:rsid w:val="00A733B7"/>
    <w:rsid w:val="00A737A5"/>
    <w:rsid w:val="00A73851"/>
    <w:rsid w:val="00A73A3C"/>
    <w:rsid w:val="00A73E8C"/>
    <w:rsid w:val="00A7466B"/>
    <w:rsid w:val="00A74931"/>
    <w:rsid w:val="00A75209"/>
    <w:rsid w:val="00A75843"/>
    <w:rsid w:val="00A759C6"/>
    <w:rsid w:val="00A76B0E"/>
    <w:rsid w:val="00A777EC"/>
    <w:rsid w:val="00A77833"/>
    <w:rsid w:val="00A7793A"/>
    <w:rsid w:val="00A77C6C"/>
    <w:rsid w:val="00A77D95"/>
    <w:rsid w:val="00A77EF4"/>
    <w:rsid w:val="00A8001B"/>
    <w:rsid w:val="00A803C7"/>
    <w:rsid w:val="00A807D3"/>
    <w:rsid w:val="00A809B8"/>
    <w:rsid w:val="00A80C47"/>
    <w:rsid w:val="00A82916"/>
    <w:rsid w:val="00A829B2"/>
    <w:rsid w:val="00A83243"/>
    <w:rsid w:val="00A84073"/>
    <w:rsid w:val="00A84A71"/>
    <w:rsid w:val="00A84ABC"/>
    <w:rsid w:val="00A85322"/>
    <w:rsid w:val="00A86439"/>
    <w:rsid w:val="00A86491"/>
    <w:rsid w:val="00A86DE0"/>
    <w:rsid w:val="00A86F16"/>
    <w:rsid w:val="00A87024"/>
    <w:rsid w:val="00A87347"/>
    <w:rsid w:val="00A8749C"/>
    <w:rsid w:val="00A87E49"/>
    <w:rsid w:val="00A90AA9"/>
    <w:rsid w:val="00A90D98"/>
    <w:rsid w:val="00A9129A"/>
    <w:rsid w:val="00A9188C"/>
    <w:rsid w:val="00A91C7A"/>
    <w:rsid w:val="00A92936"/>
    <w:rsid w:val="00A93715"/>
    <w:rsid w:val="00A93B20"/>
    <w:rsid w:val="00A93C45"/>
    <w:rsid w:val="00A93D7D"/>
    <w:rsid w:val="00A93ECB"/>
    <w:rsid w:val="00A94447"/>
    <w:rsid w:val="00A94C46"/>
    <w:rsid w:val="00A94CBB"/>
    <w:rsid w:val="00A95897"/>
    <w:rsid w:val="00A961BF"/>
    <w:rsid w:val="00A96640"/>
    <w:rsid w:val="00A9693C"/>
    <w:rsid w:val="00A974B8"/>
    <w:rsid w:val="00A97657"/>
    <w:rsid w:val="00A97FCE"/>
    <w:rsid w:val="00AA1AF0"/>
    <w:rsid w:val="00AA206D"/>
    <w:rsid w:val="00AA214E"/>
    <w:rsid w:val="00AA2549"/>
    <w:rsid w:val="00AA3AFA"/>
    <w:rsid w:val="00AA3B67"/>
    <w:rsid w:val="00AA3E78"/>
    <w:rsid w:val="00AA3E86"/>
    <w:rsid w:val="00AA484D"/>
    <w:rsid w:val="00AA4A11"/>
    <w:rsid w:val="00AA4A19"/>
    <w:rsid w:val="00AA51B0"/>
    <w:rsid w:val="00AA5752"/>
    <w:rsid w:val="00AA683E"/>
    <w:rsid w:val="00AA6D75"/>
    <w:rsid w:val="00AA6FD4"/>
    <w:rsid w:val="00AA7BCA"/>
    <w:rsid w:val="00AA7CB4"/>
    <w:rsid w:val="00AB0040"/>
    <w:rsid w:val="00AB0705"/>
    <w:rsid w:val="00AB0B15"/>
    <w:rsid w:val="00AB13BC"/>
    <w:rsid w:val="00AB148E"/>
    <w:rsid w:val="00AB1559"/>
    <w:rsid w:val="00AB1D1C"/>
    <w:rsid w:val="00AB20EE"/>
    <w:rsid w:val="00AB3E81"/>
    <w:rsid w:val="00AB427C"/>
    <w:rsid w:val="00AB482A"/>
    <w:rsid w:val="00AB4BE0"/>
    <w:rsid w:val="00AB54AA"/>
    <w:rsid w:val="00AB5740"/>
    <w:rsid w:val="00AB5BB7"/>
    <w:rsid w:val="00AB5E1A"/>
    <w:rsid w:val="00AB628A"/>
    <w:rsid w:val="00AB653B"/>
    <w:rsid w:val="00AB662D"/>
    <w:rsid w:val="00AB674E"/>
    <w:rsid w:val="00AB729F"/>
    <w:rsid w:val="00AB75F5"/>
    <w:rsid w:val="00AB7636"/>
    <w:rsid w:val="00AB76FE"/>
    <w:rsid w:val="00AB7950"/>
    <w:rsid w:val="00AC00FE"/>
    <w:rsid w:val="00AC0331"/>
    <w:rsid w:val="00AC0589"/>
    <w:rsid w:val="00AC0862"/>
    <w:rsid w:val="00AC091C"/>
    <w:rsid w:val="00AC0C31"/>
    <w:rsid w:val="00AC12B1"/>
    <w:rsid w:val="00AC19B5"/>
    <w:rsid w:val="00AC220B"/>
    <w:rsid w:val="00AC2ADA"/>
    <w:rsid w:val="00AC384D"/>
    <w:rsid w:val="00AC3972"/>
    <w:rsid w:val="00AC3B08"/>
    <w:rsid w:val="00AC4551"/>
    <w:rsid w:val="00AC4649"/>
    <w:rsid w:val="00AC4FC8"/>
    <w:rsid w:val="00AC53E0"/>
    <w:rsid w:val="00AC545D"/>
    <w:rsid w:val="00AC5A5E"/>
    <w:rsid w:val="00AC5C1D"/>
    <w:rsid w:val="00AC6BD6"/>
    <w:rsid w:val="00AC6F05"/>
    <w:rsid w:val="00AC7160"/>
    <w:rsid w:val="00AC7474"/>
    <w:rsid w:val="00AC7499"/>
    <w:rsid w:val="00AC74ED"/>
    <w:rsid w:val="00AC7523"/>
    <w:rsid w:val="00AC7570"/>
    <w:rsid w:val="00AC7B16"/>
    <w:rsid w:val="00AD01E4"/>
    <w:rsid w:val="00AD06BB"/>
    <w:rsid w:val="00AD079B"/>
    <w:rsid w:val="00AD0863"/>
    <w:rsid w:val="00AD08A9"/>
    <w:rsid w:val="00AD100D"/>
    <w:rsid w:val="00AD103E"/>
    <w:rsid w:val="00AD1517"/>
    <w:rsid w:val="00AD2349"/>
    <w:rsid w:val="00AD429C"/>
    <w:rsid w:val="00AD5F6F"/>
    <w:rsid w:val="00AD6E0E"/>
    <w:rsid w:val="00AD6FAD"/>
    <w:rsid w:val="00AD75C8"/>
    <w:rsid w:val="00AD7E33"/>
    <w:rsid w:val="00AE002D"/>
    <w:rsid w:val="00AE0099"/>
    <w:rsid w:val="00AE022F"/>
    <w:rsid w:val="00AE0385"/>
    <w:rsid w:val="00AE04BD"/>
    <w:rsid w:val="00AE1AEA"/>
    <w:rsid w:val="00AE1F42"/>
    <w:rsid w:val="00AE21CD"/>
    <w:rsid w:val="00AE25E9"/>
    <w:rsid w:val="00AE365C"/>
    <w:rsid w:val="00AE378A"/>
    <w:rsid w:val="00AE3D26"/>
    <w:rsid w:val="00AE3E24"/>
    <w:rsid w:val="00AE3F44"/>
    <w:rsid w:val="00AE4075"/>
    <w:rsid w:val="00AE437A"/>
    <w:rsid w:val="00AE48CC"/>
    <w:rsid w:val="00AE4C9C"/>
    <w:rsid w:val="00AE51A6"/>
    <w:rsid w:val="00AE5941"/>
    <w:rsid w:val="00AE5F8E"/>
    <w:rsid w:val="00AE70F6"/>
    <w:rsid w:val="00AE711E"/>
    <w:rsid w:val="00AE72F2"/>
    <w:rsid w:val="00AE7ADA"/>
    <w:rsid w:val="00AE7F71"/>
    <w:rsid w:val="00AF053C"/>
    <w:rsid w:val="00AF08C0"/>
    <w:rsid w:val="00AF0A53"/>
    <w:rsid w:val="00AF0C05"/>
    <w:rsid w:val="00AF16D6"/>
    <w:rsid w:val="00AF18D5"/>
    <w:rsid w:val="00AF1D01"/>
    <w:rsid w:val="00AF1F58"/>
    <w:rsid w:val="00AF27FE"/>
    <w:rsid w:val="00AF33FF"/>
    <w:rsid w:val="00AF3B83"/>
    <w:rsid w:val="00AF4E7B"/>
    <w:rsid w:val="00AF5367"/>
    <w:rsid w:val="00AF53F2"/>
    <w:rsid w:val="00AF62B6"/>
    <w:rsid w:val="00AF647E"/>
    <w:rsid w:val="00AF7170"/>
    <w:rsid w:val="00AF7411"/>
    <w:rsid w:val="00AF7CBD"/>
    <w:rsid w:val="00B014B2"/>
    <w:rsid w:val="00B019B3"/>
    <w:rsid w:val="00B01BE4"/>
    <w:rsid w:val="00B01C98"/>
    <w:rsid w:val="00B01E51"/>
    <w:rsid w:val="00B029A2"/>
    <w:rsid w:val="00B035CA"/>
    <w:rsid w:val="00B0388A"/>
    <w:rsid w:val="00B03A00"/>
    <w:rsid w:val="00B03DE8"/>
    <w:rsid w:val="00B0451B"/>
    <w:rsid w:val="00B049C3"/>
    <w:rsid w:val="00B04CD1"/>
    <w:rsid w:val="00B04EC8"/>
    <w:rsid w:val="00B04F9A"/>
    <w:rsid w:val="00B050BA"/>
    <w:rsid w:val="00B0517A"/>
    <w:rsid w:val="00B052F4"/>
    <w:rsid w:val="00B053B7"/>
    <w:rsid w:val="00B0563E"/>
    <w:rsid w:val="00B056D6"/>
    <w:rsid w:val="00B0589E"/>
    <w:rsid w:val="00B05A95"/>
    <w:rsid w:val="00B05B41"/>
    <w:rsid w:val="00B05FBD"/>
    <w:rsid w:val="00B071A3"/>
    <w:rsid w:val="00B072FF"/>
    <w:rsid w:val="00B10795"/>
    <w:rsid w:val="00B110C5"/>
    <w:rsid w:val="00B11375"/>
    <w:rsid w:val="00B11990"/>
    <w:rsid w:val="00B11EC0"/>
    <w:rsid w:val="00B126F6"/>
    <w:rsid w:val="00B12818"/>
    <w:rsid w:val="00B12EB8"/>
    <w:rsid w:val="00B13025"/>
    <w:rsid w:val="00B1325E"/>
    <w:rsid w:val="00B13278"/>
    <w:rsid w:val="00B134DC"/>
    <w:rsid w:val="00B13575"/>
    <w:rsid w:val="00B13CA1"/>
    <w:rsid w:val="00B1402F"/>
    <w:rsid w:val="00B141E7"/>
    <w:rsid w:val="00B145FA"/>
    <w:rsid w:val="00B14927"/>
    <w:rsid w:val="00B15031"/>
    <w:rsid w:val="00B15506"/>
    <w:rsid w:val="00B15ACA"/>
    <w:rsid w:val="00B15C1B"/>
    <w:rsid w:val="00B15F59"/>
    <w:rsid w:val="00B16010"/>
    <w:rsid w:val="00B1619C"/>
    <w:rsid w:val="00B16669"/>
    <w:rsid w:val="00B17003"/>
    <w:rsid w:val="00B17121"/>
    <w:rsid w:val="00B17BC8"/>
    <w:rsid w:val="00B17BFF"/>
    <w:rsid w:val="00B17C21"/>
    <w:rsid w:val="00B203C4"/>
    <w:rsid w:val="00B206F1"/>
    <w:rsid w:val="00B20981"/>
    <w:rsid w:val="00B20BAA"/>
    <w:rsid w:val="00B213F2"/>
    <w:rsid w:val="00B214B1"/>
    <w:rsid w:val="00B21502"/>
    <w:rsid w:val="00B222EE"/>
    <w:rsid w:val="00B22D85"/>
    <w:rsid w:val="00B22F4F"/>
    <w:rsid w:val="00B23AA9"/>
    <w:rsid w:val="00B23EE6"/>
    <w:rsid w:val="00B241ED"/>
    <w:rsid w:val="00B2446F"/>
    <w:rsid w:val="00B24638"/>
    <w:rsid w:val="00B246D0"/>
    <w:rsid w:val="00B24A98"/>
    <w:rsid w:val="00B24EBB"/>
    <w:rsid w:val="00B24F5D"/>
    <w:rsid w:val="00B25AC7"/>
    <w:rsid w:val="00B264DC"/>
    <w:rsid w:val="00B265ED"/>
    <w:rsid w:val="00B2692A"/>
    <w:rsid w:val="00B270E0"/>
    <w:rsid w:val="00B27822"/>
    <w:rsid w:val="00B27D00"/>
    <w:rsid w:val="00B301D5"/>
    <w:rsid w:val="00B306A4"/>
    <w:rsid w:val="00B30995"/>
    <w:rsid w:val="00B31809"/>
    <w:rsid w:val="00B31C3D"/>
    <w:rsid w:val="00B31D06"/>
    <w:rsid w:val="00B321FC"/>
    <w:rsid w:val="00B32DF3"/>
    <w:rsid w:val="00B32EF0"/>
    <w:rsid w:val="00B338E9"/>
    <w:rsid w:val="00B33A10"/>
    <w:rsid w:val="00B33CEC"/>
    <w:rsid w:val="00B33D69"/>
    <w:rsid w:val="00B33E8E"/>
    <w:rsid w:val="00B34011"/>
    <w:rsid w:val="00B34E9C"/>
    <w:rsid w:val="00B35433"/>
    <w:rsid w:val="00B362CF"/>
    <w:rsid w:val="00B36BC3"/>
    <w:rsid w:val="00B36DAB"/>
    <w:rsid w:val="00B370C2"/>
    <w:rsid w:val="00B3766D"/>
    <w:rsid w:val="00B37CFC"/>
    <w:rsid w:val="00B4077B"/>
    <w:rsid w:val="00B40942"/>
    <w:rsid w:val="00B409FF"/>
    <w:rsid w:val="00B41D03"/>
    <w:rsid w:val="00B42499"/>
    <w:rsid w:val="00B43075"/>
    <w:rsid w:val="00B435D7"/>
    <w:rsid w:val="00B43627"/>
    <w:rsid w:val="00B43680"/>
    <w:rsid w:val="00B44EDC"/>
    <w:rsid w:val="00B455EB"/>
    <w:rsid w:val="00B466BB"/>
    <w:rsid w:val="00B467DA"/>
    <w:rsid w:val="00B46AB2"/>
    <w:rsid w:val="00B46BCA"/>
    <w:rsid w:val="00B46F23"/>
    <w:rsid w:val="00B46FDC"/>
    <w:rsid w:val="00B47505"/>
    <w:rsid w:val="00B47B71"/>
    <w:rsid w:val="00B47CF3"/>
    <w:rsid w:val="00B47E41"/>
    <w:rsid w:val="00B503A3"/>
    <w:rsid w:val="00B50937"/>
    <w:rsid w:val="00B50B31"/>
    <w:rsid w:val="00B5174A"/>
    <w:rsid w:val="00B51E41"/>
    <w:rsid w:val="00B524B8"/>
    <w:rsid w:val="00B5275A"/>
    <w:rsid w:val="00B52AE1"/>
    <w:rsid w:val="00B534DC"/>
    <w:rsid w:val="00B53ABF"/>
    <w:rsid w:val="00B53D0C"/>
    <w:rsid w:val="00B543CE"/>
    <w:rsid w:val="00B54D44"/>
    <w:rsid w:val="00B55A48"/>
    <w:rsid w:val="00B55D95"/>
    <w:rsid w:val="00B564EA"/>
    <w:rsid w:val="00B569E2"/>
    <w:rsid w:val="00B56A07"/>
    <w:rsid w:val="00B56D3D"/>
    <w:rsid w:val="00B56DD3"/>
    <w:rsid w:val="00B56F6B"/>
    <w:rsid w:val="00B57162"/>
    <w:rsid w:val="00B57C23"/>
    <w:rsid w:val="00B612C4"/>
    <w:rsid w:val="00B61419"/>
    <w:rsid w:val="00B61E86"/>
    <w:rsid w:val="00B628F9"/>
    <w:rsid w:val="00B635CB"/>
    <w:rsid w:val="00B6389D"/>
    <w:rsid w:val="00B63D6E"/>
    <w:rsid w:val="00B64D16"/>
    <w:rsid w:val="00B64DF3"/>
    <w:rsid w:val="00B6563D"/>
    <w:rsid w:val="00B65C85"/>
    <w:rsid w:val="00B65D4A"/>
    <w:rsid w:val="00B65DF3"/>
    <w:rsid w:val="00B66162"/>
    <w:rsid w:val="00B66467"/>
    <w:rsid w:val="00B66AD6"/>
    <w:rsid w:val="00B6724D"/>
    <w:rsid w:val="00B67377"/>
    <w:rsid w:val="00B6751A"/>
    <w:rsid w:val="00B67FCA"/>
    <w:rsid w:val="00B6885A"/>
    <w:rsid w:val="00B70BE0"/>
    <w:rsid w:val="00B71650"/>
    <w:rsid w:val="00B727F1"/>
    <w:rsid w:val="00B735D1"/>
    <w:rsid w:val="00B737EE"/>
    <w:rsid w:val="00B73D69"/>
    <w:rsid w:val="00B74151"/>
    <w:rsid w:val="00B74EBB"/>
    <w:rsid w:val="00B74FCF"/>
    <w:rsid w:val="00B76404"/>
    <w:rsid w:val="00B768C3"/>
    <w:rsid w:val="00B76A10"/>
    <w:rsid w:val="00B76AE5"/>
    <w:rsid w:val="00B77759"/>
    <w:rsid w:val="00B77BD3"/>
    <w:rsid w:val="00B77C29"/>
    <w:rsid w:val="00B80823"/>
    <w:rsid w:val="00B81381"/>
    <w:rsid w:val="00B815D1"/>
    <w:rsid w:val="00B818F9"/>
    <w:rsid w:val="00B81CA1"/>
    <w:rsid w:val="00B82363"/>
    <w:rsid w:val="00B82567"/>
    <w:rsid w:val="00B82821"/>
    <w:rsid w:val="00B837FD"/>
    <w:rsid w:val="00B83806"/>
    <w:rsid w:val="00B83992"/>
    <w:rsid w:val="00B8405C"/>
    <w:rsid w:val="00B84311"/>
    <w:rsid w:val="00B84421"/>
    <w:rsid w:val="00B84EF0"/>
    <w:rsid w:val="00B85671"/>
    <w:rsid w:val="00B85F36"/>
    <w:rsid w:val="00B86D18"/>
    <w:rsid w:val="00B874CA"/>
    <w:rsid w:val="00B87806"/>
    <w:rsid w:val="00B8799E"/>
    <w:rsid w:val="00B87EC9"/>
    <w:rsid w:val="00B9039D"/>
    <w:rsid w:val="00B91141"/>
    <w:rsid w:val="00B91440"/>
    <w:rsid w:val="00B91481"/>
    <w:rsid w:val="00B9151B"/>
    <w:rsid w:val="00B917C7"/>
    <w:rsid w:val="00B91DC7"/>
    <w:rsid w:val="00B92050"/>
    <w:rsid w:val="00B92512"/>
    <w:rsid w:val="00B9253A"/>
    <w:rsid w:val="00B92555"/>
    <w:rsid w:val="00B926B5"/>
    <w:rsid w:val="00B9277B"/>
    <w:rsid w:val="00B92D63"/>
    <w:rsid w:val="00B9304E"/>
    <w:rsid w:val="00B934D5"/>
    <w:rsid w:val="00B935CA"/>
    <w:rsid w:val="00B9461C"/>
    <w:rsid w:val="00B946AE"/>
    <w:rsid w:val="00B95A72"/>
    <w:rsid w:val="00B95BCC"/>
    <w:rsid w:val="00B95BE0"/>
    <w:rsid w:val="00B9627C"/>
    <w:rsid w:val="00B9638E"/>
    <w:rsid w:val="00B96B95"/>
    <w:rsid w:val="00B96BFA"/>
    <w:rsid w:val="00B96F2B"/>
    <w:rsid w:val="00B97932"/>
    <w:rsid w:val="00B97A53"/>
    <w:rsid w:val="00BA00B7"/>
    <w:rsid w:val="00BA043C"/>
    <w:rsid w:val="00BA0449"/>
    <w:rsid w:val="00BA06DE"/>
    <w:rsid w:val="00BA075A"/>
    <w:rsid w:val="00BA0B36"/>
    <w:rsid w:val="00BA0DBE"/>
    <w:rsid w:val="00BA1720"/>
    <w:rsid w:val="00BA21A5"/>
    <w:rsid w:val="00BA222E"/>
    <w:rsid w:val="00BA2397"/>
    <w:rsid w:val="00BA307E"/>
    <w:rsid w:val="00BA3D72"/>
    <w:rsid w:val="00BA3D87"/>
    <w:rsid w:val="00BA45EA"/>
    <w:rsid w:val="00BA45EC"/>
    <w:rsid w:val="00BA49A9"/>
    <w:rsid w:val="00BA4ACB"/>
    <w:rsid w:val="00BA4D25"/>
    <w:rsid w:val="00BA4FF0"/>
    <w:rsid w:val="00BA52D2"/>
    <w:rsid w:val="00BA52F1"/>
    <w:rsid w:val="00BA53D5"/>
    <w:rsid w:val="00BA5E47"/>
    <w:rsid w:val="00BA635D"/>
    <w:rsid w:val="00BA669E"/>
    <w:rsid w:val="00BA73E7"/>
    <w:rsid w:val="00BA7452"/>
    <w:rsid w:val="00BA7D9A"/>
    <w:rsid w:val="00BA7FB2"/>
    <w:rsid w:val="00BB064F"/>
    <w:rsid w:val="00BB0741"/>
    <w:rsid w:val="00BB0ACA"/>
    <w:rsid w:val="00BB0E2D"/>
    <w:rsid w:val="00BB0F1B"/>
    <w:rsid w:val="00BB1506"/>
    <w:rsid w:val="00BB1766"/>
    <w:rsid w:val="00BB1810"/>
    <w:rsid w:val="00BB191A"/>
    <w:rsid w:val="00BB1F91"/>
    <w:rsid w:val="00BB222F"/>
    <w:rsid w:val="00BB224D"/>
    <w:rsid w:val="00BB22B8"/>
    <w:rsid w:val="00BB2EF6"/>
    <w:rsid w:val="00BB36D6"/>
    <w:rsid w:val="00BB3903"/>
    <w:rsid w:val="00BB3B35"/>
    <w:rsid w:val="00BB3F93"/>
    <w:rsid w:val="00BB4976"/>
    <w:rsid w:val="00BB49B9"/>
    <w:rsid w:val="00BB4C0A"/>
    <w:rsid w:val="00BB50A5"/>
    <w:rsid w:val="00BB50B9"/>
    <w:rsid w:val="00BB52E7"/>
    <w:rsid w:val="00BB5B75"/>
    <w:rsid w:val="00BB6086"/>
    <w:rsid w:val="00BB68BC"/>
    <w:rsid w:val="00BB6D60"/>
    <w:rsid w:val="00BB7535"/>
    <w:rsid w:val="00BB7A42"/>
    <w:rsid w:val="00BC074E"/>
    <w:rsid w:val="00BC0DA0"/>
    <w:rsid w:val="00BC144F"/>
    <w:rsid w:val="00BC1B3E"/>
    <w:rsid w:val="00BC1BF7"/>
    <w:rsid w:val="00BC1FE8"/>
    <w:rsid w:val="00BC3511"/>
    <w:rsid w:val="00BC368E"/>
    <w:rsid w:val="00BC37E6"/>
    <w:rsid w:val="00BC38DC"/>
    <w:rsid w:val="00BC38FD"/>
    <w:rsid w:val="00BC3A26"/>
    <w:rsid w:val="00BC48BB"/>
    <w:rsid w:val="00BC4A77"/>
    <w:rsid w:val="00BC4BF6"/>
    <w:rsid w:val="00BC4F3C"/>
    <w:rsid w:val="00BC574C"/>
    <w:rsid w:val="00BC623C"/>
    <w:rsid w:val="00BC6363"/>
    <w:rsid w:val="00BC67B6"/>
    <w:rsid w:val="00BC6970"/>
    <w:rsid w:val="00BC7591"/>
    <w:rsid w:val="00BC7D9B"/>
    <w:rsid w:val="00BD16E8"/>
    <w:rsid w:val="00BD1C99"/>
    <w:rsid w:val="00BD1D2A"/>
    <w:rsid w:val="00BD1F09"/>
    <w:rsid w:val="00BD21FA"/>
    <w:rsid w:val="00BD24D1"/>
    <w:rsid w:val="00BD2834"/>
    <w:rsid w:val="00BD2964"/>
    <w:rsid w:val="00BD2B27"/>
    <w:rsid w:val="00BD2B6F"/>
    <w:rsid w:val="00BD300D"/>
    <w:rsid w:val="00BD303C"/>
    <w:rsid w:val="00BD4671"/>
    <w:rsid w:val="00BD53A7"/>
    <w:rsid w:val="00BD5A9A"/>
    <w:rsid w:val="00BD5B32"/>
    <w:rsid w:val="00BD6080"/>
    <w:rsid w:val="00BD6653"/>
    <w:rsid w:val="00BD6BA8"/>
    <w:rsid w:val="00BD7665"/>
    <w:rsid w:val="00BD7955"/>
    <w:rsid w:val="00BD7EF0"/>
    <w:rsid w:val="00BE0633"/>
    <w:rsid w:val="00BE1C00"/>
    <w:rsid w:val="00BE1C9C"/>
    <w:rsid w:val="00BE1EED"/>
    <w:rsid w:val="00BE225B"/>
    <w:rsid w:val="00BE2481"/>
    <w:rsid w:val="00BE2827"/>
    <w:rsid w:val="00BE2BA1"/>
    <w:rsid w:val="00BE3D05"/>
    <w:rsid w:val="00BE419D"/>
    <w:rsid w:val="00BE43C8"/>
    <w:rsid w:val="00BE466D"/>
    <w:rsid w:val="00BE489E"/>
    <w:rsid w:val="00BE4B31"/>
    <w:rsid w:val="00BE4CE8"/>
    <w:rsid w:val="00BE4E2D"/>
    <w:rsid w:val="00BE516F"/>
    <w:rsid w:val="00BE51B1"/>
    <w:rsid w:val="00BE5DDF"/>
    <w:rsid w:val="00BE5FE4"/>
    <w:rsid w:val="00BE631D"/>
    <w:rsid w:val="00BE6BC8"/>
    <w:rsid w:val="00BE6D89"/>
    <w:rsid w:val="00BE6EC9"/>
    <w:rsid w:val="00BE6F13"/>
    <w:rsid w:val="00BE7BDD"/>
    <w:rsid w:val="00BF12D6"/>
    <w:rsid w:val="00BF189B"/>
    <w:rsid w:val="00BF1A2A"/>
    <w:rsid w:val="00BF1B50"/>
    <w:rsid w:val="00BF1DBB"/>
    <w:rsid w:val="00BF2463"/>
    <w:rsid w:val="00BF24E2"/>
    <w:rsid w:val="00BF2F63"/>
    <w:rsid w:val="00BF30D0"/>
    <w:rsid w:val="00BF33A4"/>
    <w:rsid w:val="00BF33A9"/>
    <w:rsid w:val="00BF4835"/>
    <w:rsid w:val="00BF508B"/>
    <w:rsid w:val="00BF56EF"/>
    <w:rsid w:val="00BF5869"/>
    <w:rsid w:val="00BF6743"/>
    <w:rsid w:val="00BF6FF1"/>
    <w:rsid w:val="00BF7AF7"/>
    <w:rsid w:val="00BF7CA3"/>
    <w:rsid w:val="00BF7E4B"/>
    <w:rsid w:val="00C002C1"/>
    <w:rsid w:val="00C00601"/>
    <w:rsid w:val="00C00684"/>
    <w:rsid w:val="00C00D6C"/>
    <w:rsid w:val="00C018BC"/>
    <w:rsid w:val="00C01903"/>
    <w:rsid w:val="00C01C71"/>
    <w:rsid w:val="00C01E81"/>
    <w:rsid w:val="00C0221C"/>
    <w:rsid w:val="00C02647"/>
    <w:rsid w:val="00C026F8"/>
    <w:rsid w:val="00C027B9"/>
    <w:rsid w:val="00C02F3E"/>
    <w:rsid w:val="00C02FDB"/>
    <w:rsid w:val="00C032C6"/>
    <w:rsid w:val="00C03656"/>
    <w:rsid w:val="00C0434A"/>
    <w:rsid w:val="00C04572"/>
    <w:rsid w:val="00C045A6"/>
    <w:rsid w:val="00C054BC"/>
    <w:rsid w:val="00C055AD"/>
    <w:rsid w:val="00C057A0"/>
    <w:rsid w:val="00C05A40"/>
    <w:rsid w:val="00C07561"/>
    <w:rsid w:val="00C077DA"/>
    <w:rsid w:val="00C07DD9"/>
    <w:rsid w:val="00C10464"/>
    <w:rsid w:val="00C1084C"/>
    <w:rsid w:val="00C109A0"/>
    <w:rsid w:val="00C10AC0"/>
    <w:rsid w:val="00C10F34"/>
    <w:rsid w:val="00C117D8"/>
    <w:rsid w:val="00C11D76"/>
    <w:rsid w:val="00C11EB4"/>
    <w:rsid w:val="00C12349"/>
    <w:rsid w:val="00C127D7"/>
    <w:rsid w:val="00C12951"/>
    <w:rsid w:val="00C12A77"/>
    <w:rsid w:val="00C12CC3"/>
    <w:rsid w:val="00C13252"/>
    <w:rsid w:val="00C139C0"/>
    <w:rsid w:val="00C14812"/>
    <w:rsid w:val="00C150FC"/>
    <w:rsid w:val="00C1564C"/>
    <w:rsid w:val="00C1599E"/>
    <w:rsid w:val="00C15BC1"/>
    <w:rsid w:val="00C15D21"/>
    <w:rsid w:val="00C161E2"/>
    <w:rsid w:val="00C16273"/>
    <w:rsid w:val="00C1632A"/>
    <w:rsid w:val="00C167A0"/>
    <w:rsid w:val="00C16E5E"/>
    <w:rsid w:val="00C17897"/>
    <w:rsid w:val="00C178A7"/>
    <w:rsid w:val="00C17EE3"/>
    <w:rsid w:val="00C204BF"/>
    <w:rsid w:val="00C2103E"/>
    <w:rsid w:val="00C21532"/>
    <w:rsid w:val="00C21A1E"/>
    <w:rsid w:val="00C21AD5"/>
    <w:rsid w:val="00C21B16"/>
    <w:rsid w:val="00C21B89"/>
    <w:rsid w:val="00C21C6D"/>
    <w:rsid w:val="00C2251E"/>
    <w:rsid w:val="00C22D12"/>
    <w:rsid w:val="00C23157"/>
    <w:rsid w:val="00C232A3"/>
    <w:rsid w:val="00C237E8"/>
    <w:rsid w:val="00C240A1"/>
    <w:rsid w:val="00C25D7C"/>
    <w:rsid w:val="00C262F6"/>
    <w:rsid w:val="00C265F3"/>
    <w:rsid w:val="00C26E6D"/>
    <w:rsid w:val="00C270CD"/>
    <w:rsid w:val="00C27215"/>
    <w:rsid w:val="00C273BA"/>
    <w:rsid w:val="00C27493"/>
    <w:rsid w:val="00C27727"/>
    <w:rsid w:val="00C30034"/>
    <w:rsid w:val="00C3015A"/>
    <w:rsid w:val="00C30F58"/>
    <w:rsid w:val="00C31165"/>
    <w:rsid w:val="00C31898"/>
    <w:rsid w:val="00C31FF3"/>
    <w:rsid w:val="00C32636"/>
    <w:rsid w:val="00C327A1"/>
    <w:rsid w:val="00C327F9"/>
    <w:rsid w:val="00C3287F"/>
    <w:rsid w:val="00C32CB6"/>
    <w:rsid w:val="00C32EDD"/>
    <w:rsid w:val="00C32FBD"/>
    <w:rsid w:val="00C32FD2"/>
    <w:rsid w:val="00C33780"/>
    <w:rsid w:val="00C33896"/>
    <w:rsid w:val="00C338A1"/>
    <w:rsid w:val="00C33C8F"/>
    <w:rsid w:val="00C33CA3"/>
    <w:rsid w:val="00C33F5F"/>
    <w:rsid w:val="00C34317"/>
    <w:rsid w:val="00C3457E"/>
    <w:rsid w:val="00C34A4F"/>
    <w:rsid w:val="00C355AB"/>
    <w:rsid w:val="00C35BDD"/>
    <w:rsid w:val="00C361D5"/>
    <w:rsid w:val="00C36312"/>
    <w:rsid w:val="00C369F9"/>
    <w:rsid w:val="00C36C70"/>
    <w:rsid w:val="00C37356"/>
    <w:rsid w:val="00C4064D"/>
    <w:rsid w:val="00C4072D"/>
    <w:rsid w:val="00C409D5"/>
    <w:rsid w:val="00C40A47"/>
    <w:rsid w:val="00C40CC2"/>
    <w:rsid w:val="00C419FE"/>
    <w:rsid w:val="00C41A4B"/>
    <w:rsid w:val="00C4202D"/>
    <w:rsid w:val="00C4284C"/>
    <w:rsid w:val="00C42E4D"/>
    <w:rsid w:val="00C43318"/>
    <w:rsid w:val="00C4349B"/>
    <w:rsid w:val="00C435EA"/>
    <w:rsid w:val="00C43B3A"/>
    <w:rsid w:val="00C43F7A"/>
    <w:rsid w:val="00C44A50"/>
    <w:rsid w:val="00C44CA5"/>
    <w:rsid w:val="00C45329"/>
    <w:rsid w:val="00C455F0"/>
    <w:rsid w:val="00C46298"/>
    <w:rsid w:val="00C466C1"/>
    <w:rsid w:val="00C4671E"/>
    <w:rsid w:val="00C46C77"/>
    <w:rsid w:val="00C4718C"/>
    <w:rsid w:val="00C474E4"/>
    <w:rsid w:val="00C47658"/>
    <w:rsid w:val="00C47762"/>
    <w:rsid w:val="00C50039"/>
    <w:rsid w:val="00C50388"/>
    <w:rsid w:val="00C503BD"/>
    <w:rsid w:val="00C511FC"/>
    <w:rsid w:val="00C51832"/>
    <w:rsid w:val="00C51F62"/>
    <w:rsid w:val="00C52178"/>
    <w:rsid w:val="00C52C13"/>
    <w:rsid w:val="00C52FEF"/>
    <w:rsid w:val="00C53344"/>
    <w:rsid w:val="00C534BE"/>
    <w:rsid w:val="00C53B57"/>
    <w:rsid w:val="00C54721"/>
    <w:rsid w:val="00C54862"/>
    <w:rsid w:val="00C54F5A"/>
    <w:rsid w:val="00C55494"/>
    <w:rsid w:val="00C5573A"/>
    <w:rsid w:val="00C56A4C"/>
    <w:rsid w:val="00C56C8F"/>
    <w:rsid w:val="00C570E4"/>
    <w:rsid w:val="00C57A69"/>
    <w:rsid w:val="00C6049E"/>
    <w:rsid w:val="00C612BB"/>
    <w:rsid w:val="00C61418"/>
    <w:rsid w:val="00C618CB"/>
    <w:rsid w:val="00C61E3B"/>
    <w:rsid w:val="00C62083"/>
    <w:rsid w:val="00C62322"/>
    <w:rsid w:val="00C6234B"/>
    <w:rsid w:val="00C62AE3"/>
    <w:rsid w:val="00C62BFE"/>
    <w:rsid w:val="00C631D7"/>
    <w:rsid w:val="00C637BC"/>
    <w:rsid w:val="00C63E62"/>
    <w:rsid w:val="00C63EAE"/>
    <w:rsid w:val="00C64024"/>
    <w:rsid w:val="00C64263"/>
    <w:rsid w:val="00C64733"/>
    <w:rsid w:val="00C64A7E"/>
    <w:rsid w:val="00C64EA7"/>
    <w:rsid w:val="00C65124"/>
    <w:rsid w:val="00C656E5"/>
    <w:rsid w:val="00C65995"/>
    <w:rsid w:val="00C6600E"/>
    <w:rsid w:val="00C66504"/>
    <w:rsid w:val="00C66947"/>
    <w:rsid w:val="00C66B4B"/>
    <w:rsid w:val="00C6729E"/>
    <w:rsid w:val="00C67E29"/>
    <w:rsid w:val="00C70C6A"/>
    <w:rsid w:val="00C71241"/>
    <w:rsid w:val="00C71290"/>
    <w:rsid w:val="00C71379"/>
    <w:rsid w:val="00C71DFC"/>
    <w:rsid w:val="00C725FD"/>
    <w:rsid w:val="00C7274D"/>
    <w:rsid w:val="00C72B04"/>
    <w:rsid w:val="00C72F28"/>
    <w:rsid w:val="00C73527"/>
    <w:rsid w:val="00C73820"/>
    <w:rsid w:val="00C73A14"/>
    <w:rsid w:val="00C74313"/>
    <w:rsid w:val="00C74749"/>
    <w:rsid w:val="00C747E2"/>
    <w:rsid w:val="00C74970"/>
    <w:rsid w:val="00C74E84"/>
    <w:rsid w:val="00C755D3"/>
    <w:rsid w:val="00C758AD"/>
    <w:rsid w:val="00C75E84"/>
    <w:rsid w:val="00C76004"/>
    <w:rsid w:val="00C7629F"/>
    <w:rsid w:val="00C76CD4"/>
    <w:rsid w:val="00C7791F"/>
    <w:rsid w:val="00C77B87"/>
    <w:rsid w:val="00C77D37"/>
    <w:rsid w:val="00C803DD"/>
    <w:rsid w:val="00C805D3"/>
    <w:rsid w:val="00C80795"/>
    <w:rsid w:val="00C80B9D"/>
    <w:rsid w:val="00C80E74"/>
    <w:rsid w:val="00C81009"/>
    <w:rsid w:val="00C81620"/>
    <w:rsid w:val="00C816F5"/>
    <w:rsid w:val="00C8181C"/>
    <w:rsid w:val="00C81AAC"/>
    <w:rsid w:val="00C81D5E"/>
    <w:rsid w:val="00C81EDF"/>
    <w:rsid w:val="00C82D75"/>
    <w:rsid w:val="00C82DA0"/>
    <w:rsid w:val="00C836BE"/>
    <w:rsid w:val="00C83720"/>
    <w:rsid w:val="00C83821"/>
    <w:rsid w:val="00C8389C"/>
    <w:rsid w:val="00C8395B"/>
    <w:rsid w:val="00C83C7A"/>
    <w:rsid w:val="00C85066"/>
    <w:rsid w:val="00C8593C"/>
    <w:rsid w:val="00C85995"/>
    <w:rsid w:val="00C85EDB"/>
    <w:rsid w:val="00C85FC2"/>
    <w:rsid w:val="00C8614B"/>
    <w:rsid w:val="00C862E4"/>
    <w:rsid w:val="00C8661B"/>
    <w:rsid w:val="00C86BF1"/>
    <w:rsid w:val="00C86E5D"/>
    <w:rsid w:val="00C872C3"/>
    <w:rsid w:val="00C873D6"/>
    <w:rsid w:val="00C8771C"/>
    <w:rsid w:val="00C87781"/>
    <w:rsid w:val="00C87E51"/>
    <w:rsid w:val="00C87F68"/>
    <w:rsid w:val="00C90484"/>
    <w:rsid w:val="00C92105"/>
    <w:rsid w:val="00C92525"/>
    <w:rsid w:val="00C9268B"/>
    <w:rsid w:val="00C926AA"/>
    <w:rsid w:val="00C92739"/>
    <w:rsid w:val="00C92E53"/>
    <w:rsid w:val="00C93A4F"/>
    <w:rsid w:val="00C93D0A"/>
    <w:rsid w:val="00C94C63"/>
    <w:rsid w:val="00C94F1A"/>
    <w:rsid w:val="00C95747"/>
    <w:rsid w:val="00C9579F"/>
    <w:rsid w:val="00C958E7"/>
    <w:rsid w:val="00C95FAC"/>
    <w:rsid w:val="00C9628B"/>
    <w:rsid w:val="00C96F7E"/>
    <w:rsid w:val="00CA0112"/>
    <w:rsid w:val="00CA0209"/>
    <w:rsid w:val="00CA0562"/>
    <w:rsid w:val="00CA0814"/>
    <w:rsid w:val="00CA0A2D"/>
    <w:rsid w:val="00CA146B"/>
    <w:rsid w:val="00CA18F6"/>
    <w:rsid w:val="00CA1EA2"/>
    <w:rsid w:val="00CA1ED3"/>
    <w:rsid w:val="00CA1FF0"/>
    <w:rsid w:val="00CA21BD"/>
    <w:rsid w:val="00CA26E4"/>
    <w:rsid w:val="00CA29ED"/>
    <w:rsid w:val="00CA2D5E"/>
    <w:rsid w:val="00CA2EE5"/>
    <w:rsid w:val="00CA3835"/>
    <w:rsid w:val="00CA3D94"/>
    <w:rsid w:val="00CA3F20"/>
    <w:rsid w:val="00CA3F37"/>
    <w:rsid w:val="00CA403D"/>
    <w:rsid w:val="00CA4B7E"/>
    <w:rsid w:val="00CA5ED8"/>
    <w:rsid w:val="00CA6311"/>
    <w:rsid w:val="00CA64D6"/>
    <w:rsid w:val="00CA68C1"/>
    <w:rsid w:val="00CA762C"/>
    <w:rsid w:val="00CA77FB"/>
    <w:rsid w:val="00CA7A3B"/>
    <w:rsid w:val="00CA7CE5"/>
    <w:rsid w:val="00CA7EB0"/>
    <w:rsid w:val="00CB0526"/>
    <w:rsid w:val="00CB101C"/>
    <w:rsid w:val="00CB108A"/>
    <w:rsid w:val="00CB195A"/>
    <w:rsid w:val="00CB19AC"/>
    <w:rsid w:val="00CB1CC6"/>
    <w:rsid w:val="00CB23A9"/>
    <w:rsid w:val="00CB2819"/>
    <w:rsid w:val="00CB2835"/>
    <w:rsid w:val="00CB2DEE"/>
    <w:rsid w:val="00CB3143"/>
    <w:rsid w:val="00CB31EB"/>
    <w:rsid w:val="00CB337D"/>
    <w:rsid w:val="00CB36F2"/>
    <w:rsid w:val="00CB379B"/>
    <w:rsid w:val="00CB397C"/>
    <w:rsid w:val="00CB4B24"/>
    <w:rsid w:val="00CB5032"/>
    <w:rsid w:val="00CB56C4"/>
    <w:rsid w:val="00CB56FE"/>
    <w:rsid w:val="00CB5751"/>
    <w:rsid w:val="00CB5B20"/>
    <w:rsid w:val="00CB5BBC"/>
    <w:rsid w:val="00CB5CD7"/>
    <w:rsid w:val="00CB5DD0"/>
    <w:rsid w:val="00CB6514"/>
    <w:rsid w:val="00CB7197"/>
    <w:rsid w:val="00CC028F"/>
    <w:rsid w:val="00CC03B7"/>
    <w:rsid w:val="00CC1017"/>
    <w:rsid w:val="00CC10A4"/>
    <w:rsid w:val="00CC1670"/>
    <w:rsid w:val="00CC1784"/>
    <w:rsid w:val="00CC1F69"/>
    <w:rsid w:val="00CC26BC"/>
    <w:rsid w:val="00CC2A6F"/>
    <w:rsid w:val="00CC2C6C"/>
    <w:rsid w:val="00CC394E"/>
    <w:rsid w:val="00CC40D8"/>
    <w:rsid w:val="00CC4616"/>
    <w:rsid w:val="00CC49BD"/>
    <w:rsid w:val="00CC4B91"/>
    <w:rsid w:val="00CC5010"/>
    <w:rsid w:val="00CC50BC"/>
    <w:rsid w:val="00CC517A"/>
    <w:rsid w:val="00CC51D4"/>
    <w:rsid w:val="00CC5B37"/>
    <w:rsid w:val="00CC640D"/>
    <w:rsid w:val="00CC6434"/>
    <w:rsid w:val="00CC65DA"/>
    <w:rsid w:val="00CC6866"/>
    <w:rsid w:val="00CC6B0B"/>
    <w:rsid w:val="00CC70E0"/>
    <w:rsid w:val="00CC7B5C"/>
    <w:rsid w:val="00CD0B63"/>
    <w:rsid w:val="00CD0BF8"/>
    <w:rsid w:val="00CD0DF9"/>
    <w:rsid w:val="00CD122E"/>
    <w:rsid w:val="00CD18AE"/>
    <w:rsid w:val="00CD18CC"/>
    <w:rsid w:val="00CD195F"/>
    <w:rsid w:val="00CD1A4A"/>
    <w:rsid w:val="00CD209C"/>
    <w:rsid w:val="00CD24C4"/>
    <w:rsid w:val="00CD2E90"/>
    <w:rsid w:val="00CD383D"/>
    <w:rsid w:val="00CD4264"/>
    <w:rsid w:val="00CD45E1"/>
    <w:rsid w:val="00CD48D9"/>
    <w:rsid w:val="00CD4B83"/>
    <w:rsid w:val="00CD4D89"/>
    <w:rsid w:val="00CD5296"/>
    <w:rsid w:val="00CD5760"/>
    <w:rsid w:val="00CD5970"/>
    <w:rsid w:val="00CD600C"/>
    <w:rsid w:val="00CD73E8"/>
    <w:rsid w:val="00CE09DF"/>
    <w:rsid w:val="00CE0E05"/>
    <w:rsid w:val="00CE0E95"/>
    <w:rsid w:val="00CE13EF"/>
    <w:rsid w:val="00CE1CA3"/>
    <w:rsid w:val="00CE1EEA"/>
    <w:rsid w:val="00CE1F5D"/>
    <w:rsid w:val="00CE2E92"/>
    <w:rsid w:val="00CE3C5C"/>
    <w:rsid w:val="00CE4345"/>
    <w:rsid w:val="00CE4BDE"/>
    <w:rsid w:val="00CE572B"/>
    <w:rsid w:val="00CE5C6A"/>
    <w:rsid w:val="00CE7073"/>
    <w:rsid w:val="00CE7F72"/>
    <w:rsid w:val="00CF0AAA"/>
    <w:rsid w:val="00CF12D7"/>
    <w:rsid w:val="00CF180B"/>
    <w:rsid w:val="00CF18E9"/>
    <w:rsid w:val="00CF20F4"/>
    <w:rsid w:val="00CF21B9"/>
    <w:rsid w:val="00CF2E36"/>
    <w:rsid w:val="00CF32EC"/>
    <w:rsid w:val="00CF403A"/>
    <w:rsid w:val="00CF42F7"/>
    <w:rsid w:val="00CF495A"/>
    <w:rsid w:val="00CF4DDD"/>
    <w:rsid w:val="00CF5181"/>
    <w:rsid w:val="00CF5BA6"/>
    <w:rsid w:val="00CF5FD2"/>
    <w:rsid w:val="00CF661B"/>
    <w:rsid w:val="00CF6A10"/>
    <w:rsid w:val="00CF6BF9"/>
    <w:rsid w:val="00CF6D2D"/>
    <w:rsid w:val="00CF6DC7"/>
    <w:rsid w:val="00CF718A"/>
    <w:rsid w:val="00CF746F"/>
    <w:rsid w:val="00CF7F23"/>
    <w:rsid w:val="00D0114A"/>
    <w:rsid w:val="00D015E7"/>
    <w:rsid w:val="00D015FB"/>
    <w:rsid w:val="00D01891"/>
    <w:rsid w:val="00D024C6"/>
    <w:rsid w:val="00D02A10"/>
    <w:rsid w:val="00D032B5"/>
    <w:rsid w:val="00D034E1"/>
    <w:rsid w:val="00D03800"/>
    <w:rsid w:val="00D03A1E"/>
    <w:rsid w:val="00D03C0E"/>
    <w:rsid w:val="00D04520"/>
    <w:rsid w:val="00D045C7"/>
    <w:rsid w:val="00D04CC2"/>
    <w:rsid w:val="00D050A7"/>
    <w:rsid w:val="00D05CDC"/>
    <w:rsid w:val="00D05CFA"/>
    <w:rsid w:val="00D05D42"/>
    <w:rsid w:val="00D065D3"/>
    <w:rsid w:val="00D06CF6"/>
    <w:rsid w:val="00D06E77"/>
    <w:rsid w:val="00D0765E"/>
    <w:rsid w:val="00D103F8"/>
    <w:rsid w:val="00D1050F"/>
    <w:rsid w:val="00D10572"/>
    <w:rsid w:val="00D10B21"/>
    <w:rsid w:val="00D10B59"/>
    <w:rsid w:val="00D11680"/>
    <w:rsid w:val="00D11B4E"/>
    <w:rsid w:val="00D122D1"/>
    <w:rsid w:val="00D127D0"/>
    <w:rsid w:val="00D12998"/>
    <w:rsid w:val="00D12A00"/>
    <w:rsid w:val="00D12BE9"/>
    <w:rsid w:val="00D13297"/>
    <w:rsid w:val="00D134F3"/>
    <w:rsid w:val="00D1457A"/>
    <w:rsid w:val="00D14DD7"/>
    <w:rsid w:val="00D14E5F"/>
    <w:rsid w:val="00D14EC0"/>
    <w:rsid w:val="00D163E0"/>
    <w:rsid w:val="00D1667E"/>
    <w:rsid w:val="00D167F2"/>
    <w:rsid w:val="00D16D26"/>
    <w:rsid w:val="00D17093"/>
    <w:rsid w:val="00D173A0"/>
    <w:rsid w:val="00D1752C"/>
    <w:rsid w:val="00D17645"/>
    <w:rsid w:val="00D17765"/>
    <w:rsid w:val="00D179B3"/>
    <w:rsid w:val="00D17DDB"/>
    <w:rsid w:val="00D20E2C"/>
    <w:rsid w:val="00D20F5B"/>
    <w:rsid w:val="00D2116A"/>
    <w:rsid w:val="00D21361"/>
    <w:rsid w:val="00D2141E"/>
    <w:rsid w:val="00D21586"/>
    <w:rsid w:val="00D21A2C"/>
    <w:rsid w:val="00D21EAF"/>
    <w:rsid w:val="00D22FBD"/>
    <w:rsid w:val="00D23527"/>
    <w:rsid w:val="00D238AA"/>
    <w:rsid w:val="00D238B3"/>
    <w:rsid w:val="00D24407"/>
    <w:rsid w:val="00D24427"/>
    <w:rsid w:val="00D253EB"/>
    <w:rsid w:val="00D259B3"/>
    <w:rsid w:val="00D262AB"/>
    <w:rsid w:val="00D26683"/>
    <w:rsid w:val="00D26AFB"/>
    <w:rsid w:val="00D26B33"/>
    <w:rsid w:val="00D26BBC"/>
    <w:rsid w:val="00D2750D"/>
    <w:rsid w:val="00D27922"/>
    <w:rsid w:val="00D27C84"/>
    <w:rsid w:val="00D309D0"/>
    <w:rsid w:val="00D3168F"/>
    <w:rsid w:val="00D316D9"/>
    <w:rsid w:val="00D318C9"/>
    <w:rsid w:val="00D31961"/>
    <w:rsid w:val="00D319D4"/>
    <w:rsid w:val="00D31D74"/>
    <w:rsid w:val="00D326F8"/>
    <w:rsid w:val="00D328C3"/>
    <w:rsid w:val="00D33162"/>
    <w:rsid w:val="00D33291"/>
    <w:rsid w:val="00D3373E"/>
    <w:rsid w:val="00D338E1"/>
    <w:rsid w:val="00D33D24"/>
    <w:rsid w:val="00D3436A"/>
    <w:rsid w:val="00D35140"/>
    <w:rsid w:val="00D354E8"/>
    <w:rsid w:val="00D35822"/>
    <w:rsid w:val="00D35B55"/>
    <w:rsid w:val="00D35F4F"/>
    <w:rsid w:val="00D36033"/>
    <w:rsid w:val="00D362FD"/>
    <w:rsid w:val="00D36691"/>
    <w:rsid w:val="00D3693C"/>
    <w:rsid w:val="00D371FE"/>
    <w:rsid w:val="00D3773D"/>
    <w:rsid w:val="00D377ED"/>
    <w:rsid w:val="00D37EC8"/>
    <w:rsid w:val="00D40096"/>
    <w:rsid w:val="00D4012E"/>
    <w:rsid w:val="00D410A6"/>
    <w:rsid w:val="00D414CC"/>
    <w:rsid w:val="00D417FA"/>
    <w:rsid w:val="00D419F2"/>
    <w:rsid w:val="00D41C61"/>
    <w:rsid w:val="00D41C8E"/>
    <w:rsid w:val="00D41FAF"/>
    <w:rsid w:val="00D43774"/>
    <w:rsid w:val="00D4410B"/>
    <w:rsid w:val="00D443A7"/>
    <w:rsid w:val="00D44ABD"/>
    <w:rsid w:val="00D451C0"/>
    <w:rsid w:val="00D451C1"/>
    <w:rsid w:val="00D45909"/>
    <w:rsid w:val="00D4593C"/>
    <w:rsid w:val="00D45A1D"/>
    <w:rsid w:val="00D463B1"/>
    <w:rsid w:val="00D4643D"/>
    <w:rsid w:val="00D464BF"/>
    <w:rsid w:val="00D46DBC"/>
    <w:rsid w:val="00D4748C"/>
    <w:rsid w:val="00D477F4"/>
    <w:rsid w:val="00D47D96"/>
    <w:rsid w:val="00D50707"/>
    <w:rsid w:val="00D50E9E"/>
    <w:rsid w:val="00D51638"/>
    <w:rsid w:val="00D51AF8"/>
    <w:rsid w:val="00D51DEF"/>
    <w:rsid w:val="00D52485"/>
    <w:rsid w:val="00D5277E"/>
    <w:rsid w:val="00D527AD"/>
    <w:rsid w:val="00D52AED"/>
    <w:rsid w:val="00D52B00"/>
    <w:rsid w:val="00D52DFD"/>
    <w:rsid w:val="00D52EAA"/>
    <w:rsid w:val="00D52FBD"/>
    <w:rsid w:val="00D53061"/>
    <w:rsid w:val="00D534DD"/>
    <w:rsid w:val="00D53BB8"/>
    <w:rsid w:val="00D53DE6"/>
    <w:rsid w:val="00D53E26"/>
    <w:rsid w:val="00D5420C"/>
    <w:rsid w:val="00D55583"/>
    <w:rsid w:val="00D555AB"/>
    <w:rsid w:val="00D55F07"/>
    <w:rsid w:val="00D56AFF"/>
    <w:rsid w:val="00D56C96"/>
    <w:rsid w:val="00D5723A"/>
    <w:rsid w:val="00D572AF"/>
    <w:rsid w:val="00D574DA"/>
    <w:rsid w:val="00D57A09"/>
    <w:rsid w:val="00D57F29"/>
    <w:rsid w:val="00D57F49"/>
    <w:rsid w:val="00D60231"/>
    <w:rsid w:val="00D6035A"/>
    <w:rsid w:val="00D603E3"/>
    <w:rsid w:val="00D60C8F"/>
    <w:rsid w:val="00D60DC5"/>
    <w:rsid w:val="00D6123D"/>
    <w:rsid w:val="00D61A8A"/>
    <w:rsid w:val="00D621AB"/>
    <w:rsid w:val="00D621AD"/>
    <w:rsid w:val="00D623B9"/>
    <w:rsid w:val="00D62609"/>
    <w:rsid w:val="00D62D92"/>
    <w:rsid w:val="00D6301A"/>
    <w:rsid w:val="00D6312C"/>
    <w:rsid w:val="00D6349B"/>
    <w:rsid w:val="00D64497"/>
    <w:rsid w:val="00D65CCB"/>
    <w:rsid w:val="00D6617D"/>
    <w:rsid w:val="00D66221"/>
    <w:rsid w:val="00D66571"/>
    <w:rsid w:val="00D66E80"/>
    <w:rsid w:val="00D67370"/>
    <w:rsid w:val="00D67AC8"/>
    <w:rsid w:val="00D67D21"/>
    <w:rsid w:val="00D70B4B"/>
    <w:rsid w:val="00D70B59"/>
    <w:rsid w:val="00D70F34"/>
    <w:rsid w:val="00D7107D"/>
    <w:rsid w:val="00D716C0"/>
    <w:rsid w:val="00D71D6E"/>
    <w:rsid w:val="00D72208"/>
    <w:rsid w:val="00D726F0"/>
    <w:rsid w:val="00D728D6"/>
    <w:rsid w:val="00D72B1C"/>
    <w:rsid w:val="00D72DD4"/>
    <w:rsid w:val="00D73287"/>
    <w:rsid w:val="00D73F54"/>
    <w:rsid w:val="00D73F8C"/>
    <w:rsid w:val="00D746D4"/>
    <w:rsid w:val="00D74A86"/>
    <w:rsid w:val="00D74AE1"/>
    <w:rsid w:val="00D74E27"/>
    <w:rsid w:val="00D75078"/>
    <w:rsid w:val="00D752D1"/>
    <w:rsid w:val="00D7537D"/>
    <w:rsid w:val="00D75397"/>
    <w:rsid w:val="00D757D3"/>
    <w:rsid w:val="00D75ECD"/>
    <w:rsid w:val="00D7621B"/>
    <w:rsid w:val="00D76C0E"/>
    <w:rsid w:val="00D771DA"/>
    <w:rsid w:val="00D7748E"/>
    <w:rsid w:val="00D77978"/>
    <w:rsid w:val="00D77988"/>
    <w:rsid w:val="00D77EA4"/>
    <w:rsid w:val="00D80554"/>
    <w:rsid w:val="00D80699"/>
    <w:rsid w:val="00D8070A"/>
    <w:rsid w:val="00D80AC5"/>
    <w:rsid w:val="00D80C54"/>
    <w:rsid w:val="00D80C69"/>
    <w:rsid w:val="00D81701"/>
    <w:rsid w:val="00D81EC5"/>
    <w:rsid w:val="00D82251"/>
    <w:rsid w:val="00D82A48"/>
    <w:rsid w:val="00D82F8B"/>
    <w:rsid w:val="00D830E3"/>
    <w:rsid w:val="00D83464"/>
    <w:rsid w:val="00D8384D"/>
    <w:rsid w:val="00D83874"/>
    <w:rsid w:val="00D8394C"/>
    <w:rsid w:val="00D83B56"/>
    <w:rsid w:val="00D83C2F"/>
    <w:rsid w:val="00D83DB8"/>
    <w:rsid w:val="00D83F0C"/>
    <w:rsid w:val="00D84806"/>
    <w:rsid w:val="00D84855"/>
    <w:rsid w:val="00D84FF3"/>
    <w:rsid w:val="00D85330"/>
    <w:rsid w:val="00D862A4"/>
    <w:rsid w:val="00D863B7"/>
    <w:rsid w:val="00D86412"/>
    <w:rsid w:val="00D868F8"/>
    <w:rsid w:val="00D871EE"/>
    <w:rsid w:val="00D873A5"/>
    <w:rsid w:val="00D87511"/>
    <w:rsid w:val="00D9085E"/>
    <w:rsid w:val="00D90EFD"/>
    <w:rsid w:val="00D91258"/>
    <w:rsid w:val="00D913D4"/>
    <w:rsid w:val="00D9164B"/>
    <w:rsid w:val="00D916D3"/>
    <w:rsid w:val="00D9178A"/>
    <w:rsid w:val="00D9232D"/>
    <w:rsid w:val="00D926DC"/>
    <w:rsid w:val="00D9286D"/>
    <w:rsid w:val="00D9296A"/>
    <w:rsid w:val="00D93573"/>
    <w:rsid w:val="00D93758"/>
    <w:rsid w:val="00D937DA"/>
    <w:rsid w:val="00D93972"/>
    <w:rsid w:val="00D939C4"/>
    <w:rsid w:val="00D94763"/>
    <w:rsid w:val="00D94920"/>
    <w:rsid w:val="00D952F1"/>
    <w:rsid w:val="00D95469"/>
    <w:rsid w:val="00D95610"/>
    <w:rsid w:val="00D965B9"/>
    <w:rsid w:val="00D965D1"/>
    <w:rsid w:val="00D9661B"/>
    <w:rsid w:val="00D96A68"/>
    <w:rsid w:val="00D96FD7"/>
    <w:rsid w:val="00D970EE"/>
    <w:rsid w:val="00D972E8"/>
    <w:rsid w:val="00D975A4"/>
    <w:rsid w:val="00D97607"/>
    <w:rsid w:val="00D976FA"/>
    <w:rsid w:val="00D9795B"/>
    <w:rsid w:val="00D97FD2"/>
    <w:rsid w:val="00DA0774"/>
    <w:rsid w:val="00DA0B6E"/>
    <w:rsid w:val="00DA0BFB"/>
    <w:rsid w:val="00DA1407"/>
    <w:rsid w:val="00DA141D"/>
    <w:rsid w:val="00DA1C76"/>
    <w:rsid w:val="00DA2849"/>
    <w:rsid w:val="00DA2F1E"/>
    <w:rsid w:val="00DA364F"/>
    <w:rsid w:val="00DA3B1F"/>
    <w:rsid w:val="00DA459F"/>
    <w:rsid w:val="00DA494F"/>
    <w:rsid w:val="00DA4D97"/>
    <w:rsid w:val="00DA5665"/>
    <w:rsid w:val="00DA57E6"/>
    <w:rsid w:val="00DA5A0E"/>
    <w:rsid w:val="00DA5E31"/>
    <w:rsid w:val="00DA79F7"/>
    <w:rsid w:val="00DB005A"/>
    <w:rsid w:val="00DB03E6"/>
    <w:rsid w:val="00DB0425"/>
    <w:rsid w:val="00DB107F"/>
    <w:rsid w:val="00DB1A45"/>
    <w:rsid w:val="00DB2629"/>
    <w:rsid w:val="00DB2831"/>
    <w:rsid w:val="00DB292A"/>
    <w:rsid w:val="00DB2B4E"/>
    <w:rsid w:val="00DB30F4"/>
    <w:rsid w:val="00DB32D7"/>
    <w:rsid w:val="00DB3349"/>
    <w:rsid w:val="00DB3805"/>
    <w:rsid w:val="00DB3952"/>
    <w:rsid w:val="00DB3BC3"/>
    <w:rsid w:val="00DB3C52"/>
    <w:rsid w:val="00DB436B"/>
    <w:rsid w:val="00DB48F7"/>
    <w:rsid w:val="00DB4DE5"/>
    <w:rsid w:val="00DB5492"/>
    <w:rsid w:val="00DB54EC"/>
    <w:rsid w:val="00DB559B"/>
    <w:rsid w:val="00DB5981"/>
    <w:rsid w:val="00DB5D51"/>
    <w:rsid w:val="00DB64FE"/>
    <w:rsid w:val="00DB68ED"/>
    <w:rsid w:val="00DB6A0B"/>
    <w:rsid w:val="00DB6CC1"/>
    <w:rsid w:val="00DB6D76"/>
    <w:rsid w:val="00DB73DD"/>
    <w:rsid w:val="00DB7581"/>
    <w:rsid w:val="00DB7CC5"/>
    <w:rsid w:val="00DB7DC3"/>
    <w:rsid w:val="00DB7EAA"/>
    <w:rsid w:val="00DC0317"/>
    <w:rsid w:val="00DC0756"/>
    <w:rsid w:val="00DC0975"/>
    <w:rsid w:val="00DC171E"/>
    <w:rsid w:val="00DC1A20"/>
    <w:rsid w:val="00DC1D75"/>
    <w:rsid w:val="00DC27B1"/>
    <w:rsid w:val="00DC2AE1"/>
    <w:rsid w:val="00DC2CC4"/>
    <w:rsid w:val="00DC3709"/>
    <w:rsid w:val="00DC3F7E"/>
    <w:rsid w:val="00DC4017"/>
    <w:rsid w:val="00DC49A6"/>
    <w:rsid w:val="00DC5E37"/>
    <w:rsid w:val="00DC67E2"/>
    <w:rsid w:val="00DC7233"/>
    <w:rsid w:val="00DD0652"/>
    <w:rsid w:val="00DD112F"/>
    <w:rsid w:val="00DD1B44"/>
    <w:rsid w:val="00DD1CF9"/>
    <w:rsid w:val="00DD260A"/>
    <w:rsid w:val="00DD2732"/>
    <w:rsid w:val="00DD2CBE"/>
    <w:rsid w:val="00DD31B9"/>
    <w:rsid w:val="00DD33F5"/>
    <w:rsid w:val="00DD38E6"/>
    <w:rsid w:val="00DD3BD7"/>
    <w:rsid w:val="00DD3C33"/>
    <w:rsid w:val="00DD4491"/>
    <w:rsid w:val="00DD44F0"/>
    <w:rsid w:val="00DD4CD7"/>
    <w:rsid w:val="00DD4F0E"/>
    <w:rsid w:val="00DD57D9"/>
    <w:rsid w:val="00DD5F62"/>
    <w:rsid w:val="00DD625A"/>
    <w:rsid w:val="00DD62B1"/>
    <w:rsid w:val="00DD69E6"/>
    <w:rsid w:val="00DD6CAD"/>
    <w:rsid w:val="00DD6F15"/>
    <w:rsid w:val="00DD73E0"/>
    <w:rsid w:val="00DD74BD"/>
    <w:rsid w:val="00DD7CEC"/>
    <w:rsid w:val="00DE02BC"/>
    <w:rsid w:val="00DE032D"/>
    <w:rsid w:val="00DE03E5"/>
    <w:rsid w:val="00DE054F"/>
    <w:rsid w:val="00DE056C"/>
    <w:rsid w:val="00DE0A8B"/>
    <w:rsid w:val="00DE0EA3"/>
    <w:rsid w:val="00DE1342"/>
    <w:rsid w:val="00DE13F5"/>
    <w:rsid w:val="00DE15B4"/>
    <w:rsid w:val="00DE16C6"/>
    <w:rsid w:val="00DE17C6"/>
    <w:rsid w:val="00DE1854"/>
    <w:rsid w:val="00DE232D"/>
    <w:rsid w:val="00DE2BAD"/>
    <w:rsid w:val="00DE36C9"/>
    <w:rsid w:val="00DE3993"/>
    <w:rsid w:val="00DE3E92"/>
    <w:rsid w:val="00DE3F90"/>
    <w:rsid w:val="00DE3FBF"/>
    <w:rsid w:val="00DE464E"/>
    <w:rsid w:val="00DE4B9A"/>
    <w:rsid w:val="00DE4BF8"/>
    <w:rsid w:val="00DE5C2B"/>
    <w:rsid w:val="00DE5E8F"/>
    <w:rsid w:val="00DE609B"/>
    <w:rsid w:val="00DE6AB5"/>
    <w:rsid w:val="00DE6B11"/>
    <w:rsid w:val="00DE756B"/>
    <w:rsid w:val="00DE7C4D"/>
    <w:rsid w:val="00DF06C5"/>
    <w:rsid w:val="00DF13D8"/>
    <w:rsid w:val="00DF1BCB"/>
    <w:rsid w:val="00DF21C8"/>
    <w:rsid w:val="00DF372A"/>
    <w:rsid w:val="00DF3B5C"/>
    <w:rsid w:val="00DF4180"/>
    <w:rsid w:val="00DF471A"/>
    <w:rsid w:val="00DF4C98"/>
    <w:rsid w:val="00DF5013"/>
    <w:rsid w:val="00DF516C"/>
    <w:rsid w:val="00DF538F"/>
    <w:rsid w:val="00DF55E0"/>
    <w:rsid w:val="00DF5733"/>
    <w:rsid w:val="00DF5D96"/>
    <w:rsid w:val="00DF6079"/>
    <w:rsid w:val="00DF64AC"/>
    <w:rsid w:val="00DF694F"/>
    <w:rsid w:val="00DF6BB4"/>
    <w:rsid w:val="00DF6BEF"/>
    <w:rsid w:val="00DF71B3"/>
    <w:rsid w:val="00DF7282"/>
    <w:rsid w:val="00DF763D"/>
    <w:rsid w:val="00DF77B5"/>
    <w:rsid w:val="00E0010F"/>
    <w:rsid w:val="00E0170E"/>
    <w:rsid w:val="00E01E3E"/>
    <w:rsid w:val="00E03093"/>
    <w:rsid w:val="00E03196"/>
    <w:rsid w:val="00E03809"/>
    <w:rsid w:val="00E0443A"/>
    <w:rsid w:val="00E04755"/>
    <w:rsid w:val="00E047CC"/>
    <w:rsid w:val="00E049B3"/>
    <w:rsid w:val="00E04BF9"/>
    <w:rsid w:val="00E04C05"/>
    <w:rsid w:val="00E058CB"/>
    <w:rsid w:val="00E06026"/>
    <w:rsid w:val="00E0605D"/>
    <w:rsid w:val="00E061A8"/>
    <w:rsid w:val="00E077B9"/>
    <w:rsid w:val="00E10328"/>
    <w:rsid w:val="00E10CD6"/>
    <w:rsid w:val="00E10D19"/>
    <w:rsid w:val="00E11573"/>
    <w:rsid w:val="00E118E8"/>
    <w:rsid w:val="00E11BE3"/>
    <w:rsid w:val="00E11F0B"/>
    <w:rsid w:val="00E11F4F"/>
    <w:rsid w:val="00E11FAE"/>
    <w:rsid w:val="00E1243F"/>
    <w:rsid w:val="00E124C4"/>
    <w:rsid w:val="00E12509"/>
    <w:rsid w:val="00E12570"/>
    <w:rsid w:val="00E126AE"/>
    <w:rsid w:val="00E12715"/>
    <w:rsid w:val="00E12B8E"/>
    <w:rsid w:val="00E12D8A"/>
    <w:rsid w:val="00E13886"/>
    <w:rsid w:val="00E13A2C"/>
    <w:rsid w:val="00E13D54"/>
    <w:rsid w:val="00E1481E"/>
    <w:rsid w:val="00E1510C"/>
    <w:rsid w:val="00E15736"/>
    <w:rsid w:val="00E15B45"/>
    <w:rsid w:val="00E15FBD"/>
    <w:rsid w:val="00E177DE"/>
    <w:rsid w:val="00E17F9E"/>
    <w:rsid w:val="00E203A2"/>
    <w:rsid w:val="00E205EC"/>
    <w:rsid w:val="00E2077E"/>
    <w:rsid w:val="00E20E12"/>
    <w:rsid w:val="00E211D9"/>
    <w:rsid w:val="00E213BD"/>
    <w:rsid w:val="00E213EE"/>
    <w:rsid w:val="00E21647"/>
    <w:rsid w:val="00E217E3"/>
    <w:rsid w:val="00E21E20"/>
    <w:rsid w:val="00E21F0C"/>
    <w:rsid w:val="00E2226F"/>
    <w:rsid w:val="00E227D2"/>
    <w:rsid w:val="00E22C9F"/>
    <w:rsid w:val="00E22DCF"/>
    <w:rsid w:val="00E23051"/>
    <w:rsid w:val="00E23912"/>
    <w:rsid w:val="00E23B37"/>
    <w:rsid w:val="00E24229"/>
    <w:rsid w:val="00E24258"/>
    <w:rsid w:val="00E24761"/>
    <w:rsid w:val="00E24B7E"/>
    <w:rsid w:val="00E2605A"/>
    <w:rsid w:val="00E26D62"/>
    <w:rsid w:val="00E273FF"/>
    <w:rsid w:val="00E27DE7"/>
    <w:rsid w:val="00E30181"/>
    <w:rsid w:val="00E30296"/>
    <w:rsid w:val="00E31211"/>
    <w:rsid w:val="00E31597"/>
    <w:rsid w:val="00E321D3"/>
    <w:rsid w:val="00E3258F"/>
    <w:rsid w:val="00E32D04"/>
    <w:rsid w:val="00E32DD9"/>
    <w:rsid w:val="00E3338F"/>
    <w:rsid w:val="00E333A9"/>
    <w:rsid w:val="00E33431"/>
    <w:rsid w:val="00E34245"/>
    <w:rsid w:val="00E342FF"/>
    <w:rsid w:val="00E34571"/>
    <w:rsid w:val="00E34DD4"/>
    <w:rsid w:val="00E352DD"/>
    <w:rsid w:val="00E35581"/>
    <w:rsid w:val="00E358A9"/>
    <w:rsid w:val="00E35B3C"/>
    <w:rsid w:val="00E35DA6"/>
    <w:rsid w:val="00E367F0"/>
    <w:rsid w:val="00E36AB0"/>
    <w:rsid w:val="00E373D1"/>
    <w:rsid w:val="00E41179"/>
    <w:rsid w:val="00E417D3"/>
    <w:rsid w:val="00E4181B"/>
    <w:rsid w:val="00E41921"/>
    <w:rsid w:val="00E4233D"/>
    <w:rsid w:val="00E424B0"/>
    <w:rsid w:val="00E42592"/>
    <w:rsid w:val="00E43A00"/>
    <w:rsid w:val="00E43D0E"/>
    <w:rsid w:val="00E43D52"/>
    <w:rsid w:val="00E4413E"/>
    <w:rsid w:val="00E44655"/>
    <w:rsid w:val="00E448B8"/>
    <w:rsid w:val="00E44B45"/>
    <w:rsid w:val="00E44C56"/>
    <w:rsid w:val="00E44D4E"/>
    <w:rsid w:val="00E44E52"/>
    <w:rsid w:val="00E454D8"/>
    <w:rsid w:val="00E4563C"/>
    <w:rsid w:val="00E45681"/>
    <w:rsid w:val="00E466E1"/>
    <w:rsid w:val="00E4705E"/>
    <w:rsid w:val="00E4727A"/>
    <w:rsid w:val="00E47C5A"/>
    <w:rsid w:val="00E5002E"/>
    <w:rsid w:val="00E50669"/>
    <w:rsid w:val="00E50A51"/>
    <w:rsid w:val="00E50E6D"/>
    <w:rsid w:val="00E517F1"/>
    <w:rsid w:val="00E51EC1"/>
    <w:rsid w:val="00E5272E"/>
    <w:rsid w:val="00E52792"/>
    <w:rsid w:val="00E534CF"/>
    <w:rsid w:val="00E5396C"/>
    <w:rsid w:val="00E53B4B"/>
    <w:rsid w:val="00E54461"/>
    <w:rsid w:val="00E54BB6"/>
    <w:rsid w:val="00E54ED8"/>
    <w:rsid w:val="00E55209"/>
    <w:rsid w:val="00E5549B"/>
    <w:rsid w:val="00E55785"/>
    <w:rsid w:val="00E5587A"/>
    <w:rsid w:val="00E567C1"/>
    <w:rsid w:val="00E56BCA"/>
    <w:rsid w:val="00E56D24"/>
    <w:rsid w:val="00E57F55"/>
    <w:rsid w:val="00E6002A"/>
    <w:rsid w:val="00E60D28"/>
    <w:rsid w:val="00E60ED8"/>
    <w:rsid w:val="00E611D7"/>
    <w:rsid w:val="00E6156C"/>
    <w:rsid w:val="00E61B54"/>
    <w:rsid w:val="00E61D76"/>
    <w:rsid w:val="00E61F95"/>
    <w:rsid w:val="00E623EB"/>
    <w:rsid w:val="00E62441"/>
    <w:rsid w:val="00E62B70"/>
    <w:rsid w:val="00E6301B"/>
    <w:rsid w:val="00E63745"/>
    <w:rsid w:val="00E63BE9"/>
    <w:rsid w:val="00E63E5A"/>
    <w:rsid w:val="00E651DF"/>
    <w:rsid w:val="00E65221"/>
    <w:rsid w:val="00E65B15"/>
    <w:rsid w:val="00E65F8C"/>
    <w:rsid w:val="00E6626C"/>
    <w:rsid w:val="00E66343"/>
    <w:rsid w:val="00E66ACD"/>
    <w:rsid w:val="00E673D3"/>
    <w:rsid w:val="00E67800"/>
    <w:rsid w:val="00E67CDD"/>
    <w:rsid w:val="00E709AA"/>
    <w:rsid w:val="00E70D97"/>
    <w:rsid w:val="00E71166"/>
    <w:rsid w:val="00E7173E"/>
    <w:rsid w:val="00E71B22"/>
    <w:rsid w:val="00E71D32"/>
    <w:rsid w:val="00E71D97"/>
    <w:rsid w:val="00E723A0"/>
    <w:rsid w:val="00E724B3"/>
    <w:rsid w:val="00E726B1"/>
    <w:rsid w:val="00E72941"/>
    <w:rsid w:val="00E729E6"/>
    <w:rsid w:val="00E72B4D"/>
    <w:rsid w:val="00E7324F"/>
    <w:rsid w:val="00E749DA"/>
    <w:rsid w:val="00E74F8E"/>
    <w:rsid w:val="00E75527"/>
    <w:rsid w:val="00E758D0"/>
    <w:rsid w:val="00E7675A"/>
    <w:rsid w:val="00E7679B"/>
    <w:rsid w:val="00E7777C"/>
    <w:rsid w:val="00E80779"/>
    <w:rsid w:val="00E80DC1"/>
    <w:rsid w:val="00E80E84"/>
    <w:rsid w:val="00E80EA8"/>
    <w:rsid w:val="00E815A3"/>
    <w:rsid w:val="00E815D7"/>
    <w:rsid w:val="00E8171F"/>
    <w:rsid w:val="00E82887"/>
    <w:rsid w:val="00E829C5"/>
    <w:rsid w:val="00E82D0B"/>
    <w:rsid w:val="00E83415"/>
    <w:rsid w:val="00E834FA"/>
    <w:rsid w:val="00E83B2B"/>
    <w:rsid w:val="00E83D58"/>
    <w:rsid w:val="00E843C6"/>
    <w:rsid w:val="00E8456C"/>
    <w:rsid w:val="00E84578"/>
    <w:rsid w:val="00E84642"/>
    <w:rsid w:val="00E84990"/>
    <w:rsid w:val="00E84E17"/>
    <w:rsid w:val="00E8523A"/>
    <w:rsid w:val="00E86530"/>
    <w:rsid w:val="00E865FF"/>
    <w:rsid w:val="00E8705D"/>
    <w:rsid w:val="00E87470"/>
    <w:rsid w:val="00E904F1"/>
    <w:rsid w:val="00E90BA6"/>
    <w:rsid w:val="00E929F5"/>
    <w:rsid w:val="00E932B1"/>
    <w:rsid w:val="00E9338C"/>
    <w:rsid w:val="00E93439"/>
    <w:rsid w:val="00E94ABB"/>
    <w:rsid w:val="00E951E0"/>
    <w:rsid w:val="00E954D5"/>
    <w:rsid w:val="00E95F27"/>
    <w:rsid w:val="00E963A5"/>
    <w:rsid w:val="00E965F9"/>
    <w:rsid w:val="00E97117"/>
    <w:rsid w:val="00E97883"/>
    <w:rsid w:val="00EA0423"/>
    <w:rsid w:val="00EA0CD6"/>
    <w:rsid w:val="00EA10FF"/>
    <w:rsid w:val="00EA175B"/>
    <w:rsid w:val="00EA1765"/>
    <w:rsid w:val="00EA1B76"/>
    <w:rsid w:val="00EA1C40"/>
    <w:rsid w:val="00EA213C"/>
    <w:rsid w:val="00EA2370"/>
    <w:rsid w:val="00EA253F"/>
    <w:rsid w:val="00EA25DB"/>
    <w:rsid w:val="00EA32C5"/>
    <w:rsid w:val="00EA369C"/>
    <w:rsid w:val="00EA38E9"/>
    <w:rsid w:val="00EA47F8"/>
    <w:rsid w:val="00EA5AC2"/>
    <w:rsid w:val="00EA63A6"/>
    <w:rsid w:val="00EA67A0"/>
    <w:rsid w:val="00EA67C5"/>
    <w:rsid w:val="00EA6AFB"/>
    <w:rsid w:val="00EA71E8"/>
    <w:rsid w:val="00EA76FD"/>
    <w:rsid w:val="00EAE86E"/>
    <w:rsid w:val="00EB036E"/>
    <w:rsid w:val="00EB0C5B"/>
    <w:rsid w:val="00EB0F22"/>
    <w:rsid w:val="00EB122C"/>
    <w:rsid w:val="00EB137F"/>
    <w:rsid w:val="00EB1660"/>
    <w:rsid w:val="00EB26ED"/>
    <w:rsid w:val="00EB2D40"/>
    <w:rsid w:val="00EB2E47"/>
    <w:rsid w:val="00EB2FAC"/>
    <w:rsid w:val="00EB328B"/>
    <w:rsid w:val="00EB35B1"/>
    <w:rsid w:val="00EB373C"/>
    <w:rsid w:val="00EB426D"/>
    <w:rsid w:val="00EB4ABA"/>
    <w:rsid w:val="00EB4BBF"/>
    <w:rsid w:val="00EB5607"/>
    <w:rsid w:val="00EB5623"/>
    <w:rsid w:val="00EB56F9"/>
    <w:rsid w:val="00EB59FB"/>
    <w:rsid w:val="00EB6476"/>
    <w:rsid w:val="00EB7002"/>
    <w:rsid w:val="00EB7106"/>
    <w:rsid w:val="00EB7938"/>
    <w:rsid w:val="00EB7BCC"/>
    <w:rsid w:val="00EC002D"/>
    <w:rsid w:val="00EC0727"/>
    <w:rsid w:val="00EC0928"/>
    <w:rsid w:val="00EC0AC5"/>
    <w:rsid w:val="00EC0C5C"/>
    <w:rsid w:val="00EC1791"/>
    <w:rsid w:val="00EC19D4"/>
    <w:rsid w:val="00EC1A84"/>
    <w:rsid w:val="00EC1AD4"/>
    <w:rsid w:val="00EC1CD6"/>
    <w:rsid w:val="00EC2438"/>
    <w:rsid w:val="00EC2496"/>
    <w:rsid w:val="00EC2917"/>
    <w:rsid w:val="00EC3468"/>
    <w:rsid w:val="00EC348B"/>
    <w:rsid w:val="00EC3751"/>
    <w:rsid w:val="00EC3853"/>
    <w:rsid w:val="00EC4044"/>
    <w:rsid w:val="00EC4539"/>
    <w:rsid w:val="00EC4BC7"/>
    <w:rsid w:val="00EC4D6D"/>
    <w:rsid w:val="00EC539B"/>
    <w:rsid w:val="00EC56DD"/>
    <w:rsid w:val="00EC6313"/>
    <w:rsid w:val="00EC71D5"/>
    <w:rsid w:val="00EC7B9B"/>
    <w:rsid w:val="00ED00DC"/>
    <w:rsid w:val="00ED0160"/>
    <w:rsid w:val="00ED04E3"/>
    <w:rsid w:val="00ED1185"/>
    <w:rsid w:val="00ED12BE"/>
    <w:rsid w:val="00ED1991"/>
    <w:rsid w:val="00ED28D7"/>
    <w:rsid w:val="00ED2AF3"/>
    <w:rsid w:val="00ED2B8C"/>
    <w:rsid w:val="00ED3576"/>
    <w:rsid w:val="00ED3DF8"/>
    <w:rsid w:val="00ED48D4"/>
    <w:rsid w:val="00ED514A"/>
    <w:rsid w:val="00ED5688"/>
    <w:rsid w:val="00ED5D31"/>
    <w:rsid w:val="00ED6349"/>
    <w:rsid w:val="00ED667B"/>
    <w:rsid w:val="00ED6FBF"/>
    <w:rsid w:val="00ED7C21"/>
    <w:rsid w:val="00ED7F05"/>
    <w:rsid w:val="00EE0523"/>
    <w:rsid w:val="00EE0B79"/>
    <w:rsid w:val="00EE0E6A"/>
    <w:rsid w:val="00EE1930"/>
    <w:rsid w:val="00EE1B5D"/>
    <w:rsid w:val="00EE1CE0"/>
    <w:rsid w:val="00EE21FC"/>
    <w:rsid w:val="00EE2E6E"/>
    <w:rsid w:val="00EE2EFB"/>
    <w:rsid w:val="00EE309A"/>
    <w:rsid w:val="00EE3196"/>
    <w:rsid w:val="00EE327C"/>
    <w:rsid w:val="00EE3304"/>
    <w:rsid w:val="00EE3319"/>
    <w:rsid w:val="00EE3C0D"/>
    <w:rsid w:val="00EE3D90"/>
    <w:rsid w:val="00EE3EA3"/>
    <w:rsid w:val="00EE4050"/>
    <w:rsid w:val="00EE4152"/>
    <w:rsid w:val="00EE41FE"/>
    <w:rsid w:val="00EE48C6"/>
    <w:rsid w:val="00EE495F"/>
    <w:rsid w:val="00EE4A9A"/>
    <w:rsid w:val="00EE4F0F"/>
    <w:rsid w:val="00EE51AA"/>
    <w:rsid w:val="00EE5B63"/>
    <w:rsid w:val="00EE5F0E"/>
    <w:rsid w:val="00EE6526"/>
    <w:rsid w:val="00EE6A6E"/>
    <w:rsid w:val="00EE6A91"/>
    <w:rsid w:val="00EE6B00"/>
    <w:rsid w:val="00EE77CE"/>
    <w:rsid w:val="00EE7B01"/>
    <w:rsid w:val="00EF006E"/>
    <w:rsid w:val="00EF0495"/>
    <w:rsid w:val="00EF0635"/>
    <w:rsid w:val="00EF0CF1"/>
    <w:rsid w:val="00EF0D13"/>
    <w:rsid w:val="00EF0EF6"/>
    <w:rsid w:val="00EF0FD0"/>
    <w:rsid w:val="00EF1284"/>
    <w:rsid w:val="00EF1525"/>
    <w:rsid w:val="00EF25BC"/>
    <w:rsid w:val="00EF28FC"/>
    <w:rsid w:val="00EF3119"/>
    <w:rsid w:val="00EF38F6"/>
    <w:rsid w:val="00EF3A97"/>
    <w:rsid w:val="00EF3DFD"/>
    <w:rsid w:val="00EF4229"/>
    <w:rsid w:val="00EF488B"/>
    <w:rsid w:val="00EF491F"/>
    <w:rsid w:val="00EF4DCA"/>
    <w:rsid w:val="00EF54AC"/>
    <w:rsid w:val="00EF5524"/>
    <w:rsid w:val="00EF57C0"/>
    <w:rsid w:val="00EF5CDB"/>
    <w:rsid w:val="00EF64D8"/>
    <w:rsid w:val="00EF69E6"/>
    <w:rsid w:val="00EF6A25"/>
    <w:rsid w:val="00EF6CAB"/>
    <w:rsid w:val="00EF6D3B"/>
    <w:rsid w:val="00EF71E5"/>
    <w:rsid w:val="00EF743C"/>
    <w:rsid w:val="00EF751F"/>
    <w:rsid w:val="00EF79B9"/>
    <w:rsid w:val="00EF7A09"/>
    <w:rsid w:val="00EF7B5B"/>
    <w:rsid w:val="00EF7CFD"/>
    <w:rsid w:val="00F00438"/>
    <w:rsid w:val="00F010E4"/>
    <w:rsid w:val="00F0120D"/>
    <w:rsid w:val="00F0158C"/>
    <w:rsid w:val="00F0199F"/>
    <w:rsid w:val="00F01A99"/>
    <w:rsid w:val="00F01DDF"/>
    <w:rsid w:val="00F021BF"/>
    <w:rsid w:val="00F02C2E"/>
    <w:rsid w:val="00F02D15"/>
    <w:rsid w:val="00F031E1"/>
    <w:rsid w:val="00F037CC"/>
    <w:rsid w:val="00F0393C"/>
    <w:rsid w:val="00F0423F"/>
    <w:rsid w:val="00F04873"/>
    <w:rsid w:val="00F04930"/>
    <w:rsid w:val="00F04BB2"/>
    <w:rsid w:val="00F05788"/>
    <w:rsid w:val="00F057C7"/>
    <w:rsid w:val="00F05E75"/>
    <w:rsid w:val="00F05F78"/>
    <w:rsid w:val="00F0656E"/>
    <w:rsid w:val="00F065D9"/>
    <w:rsid w:val="00F06FF1"/>
    <w:rsid w:val="00F070D0"/>
    <w:rsid w:val="00F0759E"/>
    <w:rsid w:val="00F077F6"/>
    <w:rsid w:val="00F1039C"/>
    <w:rsid w:val="00F11150"/>
    <w:rsid w:val="00F1147F"/>
    <w:rsid w:val="00F11824"/>
    <w:rsid w:val="00F11D3E"/>
    <w:rsid w:val="00F12591"/>
    <w:rsid w:val="00F12ACA"/>
    <w:rsid w:val="00F12C80"/>
    <w:rsid w:val="00F13B8D"/>
    <w:rsid w:val="00F141FD"/>
    <w:rsid w:val="00F1431E"/>
    <w:rsid w:val="00F146CA"/>
    <w:rsid w:val="00F14AAB"/>
    <w:rsid w:val="00F14CDA"/>
    <w:rsid w:val="00F14D03"/>
    <w:rsid w:val="00F14E36"/>
    <w:rsid w:val="00F157D9"/>
    <w:rsid w:val="00F17090"/>
    <w:rsid w:val="00F17F37"/>
    <w:rsid w:val="00F20106"/>
    <w:rsid w:val="00F203AE"/>
    <w:rsid w:val="00F203B4"/>
    <w:rsid w:val="00F20DB7"/>
    <w:rsid w:val="00F212B8"/>
    <w:rsid w:val="00F21C20"/>
    <w:rsid w:val="00F21CDF"/>
    <w:rsid w:val="00F21E36"/>
    <w:rsid w:val="00F22672"/>
    <w:rsid w:val="00F22F10"/>
    <w:rsid w:val="00F23042"/>
    <w:rsid w:val="00F2322B"/>
    <w:rsid w:val="00F235C5"/>
    <w:rsid w:val="00F23825"/>
    <w:rsid w:val="00F24452"/>
    <w:rsid w:val="00F2456F"/>
    <w:rsid w:val="00F249E2"/>
    <w:rsid w:val="00F2531E"/>
    <w:rsid w:val="00F25507"/>
    <w:rsid w:val="00F25710"/>
    <w:rsid w:val="00F25F20"/>
    <w:rsid w:val="00F26AB3"/>
    <w:rsid w:val="00F26D4D"/>
    <w:rsid w:val="00F2704C"/>
    <w:rsid w:val="00F27977"/>
    <w:rsid w:val="00F27B79"/>
    <w:rsid w:val="00F27CA2"/>
    <w:rsid w:val="00F30850"/>
    <w:rsid w:val="00F30A6A"/>
    <w:rsid w:val="00F31491"/>
    <w:rsid w:val="00F31707"/>
    <w:rsid w:val="00F319BB"/>
    <w:rsid w:val="00F32012"/>
    <w:rsid w:val="00F3216E"/>
    <w:rsid w:val="00F3234B"/>
    <w:rsid w:val="00F33547"/>
    <w:rsid w:val="00F33574"/>
    <w:rsid w:val="00F337DE"/>
    <w:rsid w:val="00F33C14"/>
    <w:rsid w:val="00F33CB9"/>
    <w:rsid w:val="00F33E94"/>
    <w:rsid w:val="00F34157"/>
    <w:rsid w:val="00F3432E"/>
    <w:rsid w:val="00F3433E"/>
    <w:rsid w:val="00F34C95"/>
    <w:rsid w:val="00F34CC9"/>
    <w:rsid w:val="00F35364"/>
    <w:rsid w:val="00F359E3"/>
    <w:rsid w:val="00F35CD5"/>
    <w:rsid w:val="00F35ED1"/>
    <w:rsid w:val="00F36614"/>
    <w:rsid w:val="00F37336"/>
    <w:rsid w:val="00F378EC"/>
    <w:rsid w:val="00F3799B"/>
    <w:rsid w:val="00F4078C"/>
    <w:rsid w:val="00F40B10"/>
    <w:rsid w:val="00F416B5"/>
    <w:rsid w:val="00F417EC"/>
    <w:rsid w:val="00F41AE7"/>
    <w:rsid w:val="00F41F84"/>
    <w:rsid w:val="00F4266B"/>
    <w:rsid w:val="00F42B06"/>
    <w:rsid w:val="00F43627"/>
    <w:rsid w:val="00F4366C"/>
    <w:rsid w:val="00F43C7F"/>
    <w:rsid w:val="00F43D2B"/>
    <w:rsid w:val="00F442DD"/>
    <w:rsid w:val="00F442F8"/>
    <w:rsid w:val="00F444F9"/>
    <w:rsid w:val="00F44B03"/>
    <w:rsid w:val="00F44EF4"/>
    <w:rsid w:val="00F45AF6"/>
    <w:rsid w:val="00F45C86"/>
    <w:rsid w:val="00F45E67"/>
    <w:rsid w:val="00F45ED4"/>
    <w:rsid w:val="00F46769"/>
    <w:rsid w:val="00F46E55"/>
    <w:rsid w:val="00F46EB9"/>
    <w:rsid w:val="00F46FD1"/>
    <w:rsid w:val="00F47951"/>
    <w:rsid w:val="00F47BF4"/>
    <w:rsid w:val="00F50D89"/>
    <w:rsid w:val="00F5103E"/>
    <w:rsid w:val="00F519A5"/>
    <w:rsid w:val="00F519AA"/>
    <w:rsid w:val="00F51CF6"/>
    <w:rsid w:val="00F51DC8"/>
    <w:rsid w:val="00F51E3D"/>
    <w:rsid w:val="00F52557"/>
    <w:rsid w:val="00F52E33"/>
    <w:rsid w:val="00F53D63"/>
    <w:rsid w:val="00F54267"/>
    <w:rsid w:val="00F5454B"/>
    <w:rsid w:val="00F54644"/>
    <w:rsid w:val="00F54C4A"/>
    <w:rsid w:val="00F54DF1"/>
    <w:rsid w:val="00F5510F"/>
    <w:rsid w:val="00F5511E"/>
    <w:rsid w:val="00F55512"/>
    <w:rsid w:val="00F56331"/>
    <w:rsid w:val="00F5695C"/>
    <w:rsid w:val="00F56CC8"/>
    <w:rsid w:val="00F57877"/>
    <w:rsid w:val="00F57E6A"/>
    <w:rsid w:val="00F60807"/>
    <w:rsid w:val="00F61786"/>
    <w:rsid w:val="00F61A01"/>
    <w:rsid w:val="00F6252F"/>
    <w:rsid w:val="00F627FD"/>
    <w:rsid w:val="00F628C6"/>
    <w:rsid w:val="00F62F6C"/>
    <w:rsid w:val="00F634BA"/>
    <w:rsid w:val="00F63729"/>
    <w:rsid w:val="00F63BB6"/>
    <w:rsid w:val="00F64352"/>
    <w:rsid w:val="00F64D47"/>
    <w:rsid w:val="00F64F01"/>
    <w:rsid w:val="00F64FF4"/>
    <w:rsid w:val="00F651A5"/>
    <w:rsid w:val="00F65D02"/>
    <w:rsid w:val="00F65D71"/>
    <w:rsid w:val="00F66CBF"/>
    <w:rsid w:val="00F66E4C"/>
    <w:rsid w:val="00F67DC2"/>
    <w:rsid w:val="00F702AA"/>
    <w:rsid w:val="00F702CF"/>
    <w:rsid w:val="00F71000"/>
    <w:rsid w:val="00F7129D"/>
    <w:rsid w:val="00F71475"/>
    <w:rsid w:val="00F71842"/>
    <w:rsid w:val="00F71AE2"/>
    <w:rsid w:val="00F71BE7"/>
    <w:rsid w:val="00F72467"/>
    <w:rsid w:val="00F72C39"/>
    <w:rsid w:val="00F72CB1"/>
    <w:rsid w:val="00F73051"/>
    <w:rsid w:val="00F73531"/>
    <w:rsid w:val="00F735B9"/>
    <w:rsid w:val="00F736FB"/>
    <w:rsid w:val="00F73865"/>
    <w:rsid w:val="00F738B8"/>
    <w:rsid w:val="00F74864"/>
    <w:rsid w:val="00F74FAC"/>
    <w:rsid w:val="00F7557D"/>
    <w:rsid w:val="00F75889"/>
    <w:rsid w:val="00F760A0"/>
    <w:rsid w:val="00F765ED"/>
    <w:rsid w:val="00F768E7"/>
    <w:rsid w:val="00F8014D"/>
    <w:rsid w:val="00F809F7"/>
    <w:rsid w:val="00F814EB"/>
    <w:rsid w:val="00F81841"/>
    <w:rsid w:val="00F81A64"/>
    <w:rsid w:val="00F81C23"/>
    <w:rsid w:val="00F81D18"/>
    <w:rsid w:val="00F81D22"/>
    <w:rsid w:val="00F82339"/>
    <w:rsid w:val="00F82432"/>
    <w:rsid w:val="00F82CE0"/>
    <w:rsid w:val="00F837A7"/>
    <w:rsid w:val="00F83827"/>
    <w:rsid w:val="00F83880"/>
    <w:rsid w:val="00F838CF"/>
    <w:rsid w:val="00F839B8"/>
    <w:rsid w:val="00F839CE"/>
    <w:rsid w:val="00F83A74"/>
    <w:rsid w:val="00F8435E"/>
    <w:rsid w:val="00F84530"/>
    <w:rsid w:val="00F85F1F"/>
    <w:rsid w:val="00F85F4D"/>
    <w:rsid w:val="00F86A21"/>
    <w:rsid w:val="00F86CC5"/>
    <w:rsid w:val="00F86F63"/>
    <w:rsid w:val="00F86FB0"/>
    <w:rsid w:val="00F870A3"/>
    <w:rsid w:val="00F870ED"/>
    <w:rsid w:val="00F8732A"/>
    <w:rsid w:val="00F873CA"/>
    <w:rsid w:val="00F87E54"/>
    <w:rsid w:val="00F87EE7"/>
    <w:rsid w:val="00F90360"/>
    <w:rsid w:val="00F90C68"/>
    <w:rsid w:val="00F90FD0"/>
    <w:rsid w:val="00F91A57"/>
    <w:rsid w:val="00F92043"/>
    <w:rsid w:val="00F9293E"/>
    <w:rsid w:val="00F92AAF"/>
    <w:rsid w:val="00F93341"/>
    <w:rsid w:val="00F935A6"/>
    <w:rsid w:val="00F9365D"/>
    <w:rsid w:val="00F936D4"/>
    <w:rsid w:val="00F946DE"/>
    <w:rsid w:val="00F94DB6"/>
    <w:rsid w:val="00F95AA0"/>
    <w:rsid w:val="00F96AF0"/>
    <w:rsid w:val="00F96B77"/>
    <w:rsid w:val="00F96F2D"/>
    <w:rsid w:val="00F973DC"/>
    <w:rsid w:val="00F97521"/>
    <w:rsid w:val="00F979EC"/>
    <w:rsid w:val="00F97EBC"/>
    <w:rsid w:val="00FA09EC"/>
    <w:rsid w:val="00FA0D66"/>
    <w:rsid w:val="00FA0F30"/>
    <w:rsid w:val="00FA1533"/>
    <w:rsid w:val="00FA18A3"/>
    <w:rsid w:val="00FA198A"/>
    <w:rsid w:val="00FA1C58"/>
    <w:rsid w:val="00FA229B"/>
    <w:rsid w:val="00FA23C9"/>
    <w:rsid w:val="00FA247D"/>
    <w:rsid w:val="00FA2493"/>
    <w:rsid w:val="00FA2779"/>
    <w:rsid w:val="00FA28B5"/>
    <w:rsid w:val="00FA2BB4"/>
    <w:rsid w:val="00FA2DFD"/>
    <w:rsid w:val="00FA2E6C"/>
    <w:rsid w:val="00FA2F8A"/>
    <w:rsid w:val="00FA3038"/>
    <w:rsid w:val="00FA31EA"/>
    <w:rsid w:val="00FA3223"/>
    <w:rsid w:val="00FA35C4"/>
    <w:rsid w:val="00FA3B54"/>
    <w:rsid w:val="00FA3F09"/>
    <w:rsid w:val="00FA4C2C"/>
    <w:rsid w:val="00FA4EA5"/>
    <w:rsid w:val="00FA5329"/>
    <w:rsid w:val="00FA5A3C"/>
    <w:rsid w:val="00FA5B4C"/>
    <w:rsid w:val="00FA5CE6"/>
    <w:rsid w:val="00FA6758"/>
    <w:rsid w:val="00FA74FE"/>
    <w:rsid w:val="00FA7AB1"/>
    <w:rsid w:val="00FB0118"/>
    <w:rsid w:val="00FB03C6"/>
    <w:rsid w:val="00FB043D"/>
    <w:rsid w:val="00FB1ECE"/>
    <w:rsid w:val="00FB2742"/>
    <w:rsid w:val="00FB2A8F"/>
    <w:rsid w:val="00FB2EAA"/>
    <w:rsid w:val="00FB2F46"/>
    <w:rsid w:val="00FB2F65"/>
    <w:rsid w:val="00FB39DC"/>
    <w:rsid w:val="00FB3BDB"/>
    <w:rsid w:val="00FB44F1"/>
    <w:rsid w:val="00FB4660"/>
    <w:rsid w:val="00FB483F"/>
    <w:rsid w:val="00FB4F78"/>
    <w:rsid w:val="00FB4FD0"/>
    <w:rsid w:val="00FB5427"/>
    <w:rsid w:val="00FB543D"/>
    <w:rsid w:val="00FB559C"/>
    <w:rsid w:val="00FB562A"/>
    <w:rsid w:val="00FB5E7D"/>
    <w:rsid w:val="00FB65FA"/>
    <w:rsid w:val="00FB675A"/>
    <w:rsid w:val="00FB6CF8"/>
    <w:rsid w:val="00FB75BA"/>
    <w:rsid w:val="00FB7E94"/>
    <w:rsid w:val="00FB7F30"/>
    <w:rsid w:val="00FC0359"/>
    <w:rsid w:val="00FC0DB2"/>
    <w:rsid w:val="00FC0DD5"/>
    <w:rsid w:val="00FC0DDC"/>
    <w:rsid w:val="00FC1425"/>
    <w:rsid w:val="00FC2006"/>
    <w:rsid w:val="00FC26C4"/>
    <w:rsid w:val="00FC2B1F"/>
    <w:rsid w:val="00FC31CD"/>
    <w:rsid w:val="00FC3530"/>
    <w:rsid w:val="00FC3C92"/>
    <w:rsid w:val="00FC41A2"/>
    <w:rsid w:val="00FC427F"/>
    <w:rsid w:val="00FC4761"/>
    <w:rsid w:val="00FC49D7"/>
    <w:rsid w:val="00FC5242"/>
    <w:rsid w:val="00FC58EF"/>
    <w:rsid w:val="00FC5B05"/>
    <w:rsid w:val="00FC618B"/>
    <w:rsid w:val="00FC64C9"/>
    <w:rsid w:val="00FC65C8"/>
    <w:rsid w:val="00FC6957"/>
    <w:rsid w:val="00FC77E6"/>
    <w:rsid w:val="00FC7FCE"/>
    <w:rsid w:val="00FD01A2"/>
    <w:rsid w:val="00FD0570"/>
    <w:rsid w:val="00FD0857"/>
    <w:rsid w:val="00FD0D77"/>
    <w:rsid w:val="00FD0EE8"/>
    <w:rsid w:val="00FD1664"/>
    <w:rsid w:val="00FD18AB"/>
    <w:rsid w:val="00FD2445"/>
    <w:rsid w:val="00FD28B4"/>
    <w:rsid w:val="00FD3099"/>
    <w:rsid w:val="00FD380C"/>
    <w:rsid w:val="00FD3AF8"/>
    <w:rsid w:val="00FD3F8F"/>
    <w:rsid w:val="00FD44F4"/>
    <w:rsid w:val="00FD46AA"/>
    <w:rsid w:val="00FD491C"/>
    <w:rsid w:val="00FD5051"/>
    <w:rsid w:val="00FD51AE"/>
    <w:rsid w:val="00FD52E8"/>
    <w:rsid w:val="00FD60B2"/>
    <w:rsid w:val="00FD6565"/>
    <w:rsid w:val="00FD66F5"/>
    <w:rsid w:val="00FD6A80"/>
    <w:rsid w:val="00FD6E99"/>
    <w:rsid w:val="00FD720A"/>
    <w:rsid w:val="00FD726C"/>
    <w:rsid w:val="00FD7591"/>
    <w:rsid w:val="00FD76CC"/>
    <w:rsid w:val="00FD7D0E"/>
    <w:rsid w:val="00FE027C"/>
    <w:rsid w:val="00FE0B04"/>
    <w:rsid w:val="00FE0FDD"/>
    <w:rsid w:val="00FE1824"/>
    <w:rsid w:val="00FE18A4"/>
    <w:rsid w:val="00FE1A0C"/>
    <w:rsid w:val="00FE1A23"/>
    <w:rsid w:val="00FE1AEB"/>
    <w:rsid w:val="00FE1F3E"/>
    <w:rsid w:val="00FE2025"/>
    <w:rsid w:val="00FE248B"/>
    <w:rsid w:val="00FE2887"/>
    <w:rsid w:val="00FE2E6E"/>
    <w:rsid w:val="00FE2EB4"/>
    <w:rsid w:val="00FE31E9"/>
    <w:rsid w:val="00FE3575"/>
    <w:rsid w:val="00FE35EE"/>
    <w:rsid w:val="00FE3667"/>
    <w:rsid w:val="00FE3ED5"/>
    <w:rsid w:val="00FE4E18"/>
    <w:rsid w:val="00FE553A"/>
    <w:rsid w:val="00FE58E6"/>
    <w:rsid w:val="00FE5CBD"/>
    <w:rsid w:val="00FE67FD"/>
    <w:rsid w:val="00FE6858"/>
    <w:rsid w:val="00FE6F14"/>
    <w:rsid w:val="00FF0206"/>
    <w:rsid w:val="00FF029C"/>
    <w:rsid w:val="00FF04C6"/>
    <w:rsid w:val="00FF07FD"/>
    <w:rsid w:val="00FF1104"/>
    <w:rsid w:val="00FF12AC"/>
    <w:rsid w:val="00FF134D"/>
    <w:rsid w:val="00FF1436"/>
    <w:rsid w:val="00FF157A"/>
    <w:rsid w:val="00FF1A70"/>
    <w:rsid w:val="00FF1EA3"/>
    <w:rsid w:val="00FF2508"/>
    <w:rsid w:val="00FF2F5D"/>
    <w:rsid w:val="00FF39C7"/>
    <w:rsid w:val="00FF4A6D"/>
    <w:rsid w:val="00FF54B4"/>
    <w:rsid w:val="00FF584D"/>
    <w:rsid w:val="00FF5888"/>
    <w:rsid w:val="00FF5B2B"/>
    <w:rsid w:val="00FF6E05"/>
    <w:rsid w:val="00FF7392"/>
    <w:rsid w:val="00FF7595"/>
    <w:rsid w:val="00FF7838"/>
    <w:rsid w:val="00FF7C09"/>
    <w:rsid w:val="0105E6E3"/>
    <w:rsid w:val="0108B402"/>
    <w:rsid w:val="012834F4"/>
    <w:rsid w:val="01329921"/>
    <w:rsid w:val="014F5B6E"/>
    <w:rsid w:val="0150CA7C"/>
    <w:rsid w:val="015A10B8"/>
    <w:rsid w:val="017798A6"/>
    <w:rsid w:val="01877518"/>
    <w:rsid w:val="01879B1A"/>
    <w:rsid w:val="018B539C"/>
    <w:rsid w:val="018C4E69"/>
    <w:rsid w:val="018EE1C8"/>
    <w:rsid w:val="01A3A47A"/>
    <w:rsid w:val="01A488D6"/>
    <w:rsid w:val="01A8C009"/>
    <w:rsid w:val="01C194D2"/>
    <w:rsid w:val="01C3BEFF"/>
    <w:rsid w:val="01DC10E6"/>
    <w:rsid w:val="01E75271"/>
    <w:rsid w:val="01EA4CF2"/>
    <w:rsid w:val="01F1DF44"/>
    <w:rsid w:val="02024D3A"/>
    <w:rsid w:val="0209A60A"/>
    <w:rsid w:val="020D9BE1"/>
    <w:rsid w:val="021839A0"/>
    <w:rsid w:val="02187F40"/>
    <w:rsid w:val="0230AB7E"/>
    <w:rsid w:val="0235FE98"/>
    <w:rsid w:val="02388C09"/>
    <w:rsid w:val="023D3B54"/>
    <w:rsid w:val="024324F0"/>
    <w:rsid w:val="02454284"/>
    <w:rsid w:val="025102E9"/>
    <w:rsid w:val="02770846"/>
    <w:rsid w:val="027FDAE4"/>
    <w:rsid w:val="028B4201"/>
    <w:rsid w:val="029321C5"/>
    <w:rsid w:val="02949576"/>
    <w:rsid w:val="02A5B069"/>
    <w:rsid w:val="02A8CAA4"/>
    <w:rsid w:val="02BA7B4E"/>
    <w:rsid w:val="02BD917A"/>
    <w:rsid w:val="02CD10CC"/>
    <w:rsid w:val="02DBC20C"/>
    <w:rsid w:val="02EA4FF0"/>
    <w:rsid w:val="02EF1EC2"/>
    <w:rsid w:val="02EF5554"/>
    <w:rsid w:val="02FFC6DD"/>
    <w:rsid w:val="0304827F"/>
    <w:rsid w:val="03048C3A"/>
    <w:rsid w:val="030981CA"/>
    <w:rsid w:val="03234579"/>
    <w:rsid w:val="03244771"/>
    <w:rsid w:val="032ACB26"/>
    <w:rsid w:val="033968CB"/>
    <w:rsid w:val="033CA908"/>
    <w:rsid w:val="03427617"/>
    <w:rsid w:val="0344906A"/>
    <w:rsid w:val="036F984F"/>
    <w:rsid w:val="03882029"/>
    <w:rsid w:val="039326EF"/>
    <w:rsid w:val="039AA253"/>
    <w:rsid w:val="03A03E79"/>
    <w:rsid w:val="03BB37D6"/>
    <w:rsid w:val="03CADE8D"/>
    <w:rsid w:val="03D7AE9F"/>
    <w:rsid w:val="03EAEC4C"/>
    <w:rsid w:val="03F2BF87"/>
    <w:rsid w:val="03F6E2D4"/>
    <w:rsid w:val="04075A39"/>
    <w:rsid w:val="041F53A6"/>
    <w:rsid w:val="04203BFB"/>
    <w:rsid w:val="0423920F"/>
    <w:rsid w:val="044CAD98"/>
    <w:rsid w:val="0454AF26"/>
    <w:rsid w:val="04590DB3"/>
    <w:rsid w:val="045B3697"/>
    <w:rsid w:val="04647434"/>
    <w:rsid w:val="0464CA66"/>
    <w:rsid w:val="04679B62"/>
    <w:rsid w:val="0468E12D"/>
    <w:rsid w:val="0469AB01"/>
    <w:rsid w:val="047C6DA1"/>
    <w:rsid w:val="047DB41C"/>
    <w:rsid w:val="048F8E7B"/>
    <w:rsid w:val="04962346"/>
    <w:rsid w:val="04C148DD"/>
    <w:rsid w:val="04DB2A52"/>
    <w:rsid w:val="04E05CAE"/>
    <w:rsid w:val="04E3F19F"/>
    <w:rsid w:val="04F1B8AC"/>
    <w:rsid w:val="04FE946B"/>
    <w:rsid w:val="0507A1D6"/>
    <w:rsid w:val="050AC46C"/>
    <w:rsid w:val="051B2CC3"/>
    <w:rsid w:val="0522BDD9"/>
    <w:rsid w:val="05307072"/>
    <w:rsid w:val="05389808"/>
    <w:rsid w:val="053AE0E5"/>
    <w:rsid w:val="053E01EE"/>
    <w:rsid w:val="053EEB39"/>
    <w:rsid w:val="0540AF54"/>
    <w:rsid w:val="0541ACC5"/>
    <w:rsid w:val="05580456"/>
    <w:rsid w:val="055CA420"/>
    <w:rsid w:val="056B49B9"/>
    <w:rsid w:val="05797DE5"/>
    <w:rsid w:val="057FD6D9"/>
    <w:rsid w:val="0590D542"/>
    <w:rsid w:val="0598E4EB"/>
    <w:rsid w:val="059BB375"/>
    <w:rsid w:val="05A44DA3"/>
    <w:rsid w:val="05BE2180"/>
    <w:rsid w:val="05C776C8"/>
    <w:rsid w:val="05D9FCE8"/>
    <w:rsid w:val="05DE67BF"/>
    <w:rsid w:val="05E1311D"/>
    <w:rsid w:val="05F2582A"/>
    <w:rsid w:val="05F92A8A"/>
    <w:rsid w:val="06168463"/>
    <w:rsid w:val="061B7E0D"/>
    <w:rsid w:val="063017AE"/>
    <w:rsid w:val="06386725"/>
    <w:rsid w:val="06515666"/>
    <w:rsid w:val="065869FA"/>
    <w:rsid w:val="065AF007"/>
    <w:rsid w:val="065B7B52"/>
    <w:rsid w:val="065BA0D1"/>
    <w:rsid w:val="066EED65"/>
    <w:rsid w:val="0676FAB3"/>
    <w:rsid w:val="067BC716"/>
    <w:rsid w:val="06830F36"/>
    <w:rsid w:val="06B43A9D"/>
    <w:rsid w:val="06C1933D"/>
    <w:rsid w:val="06CA3039"/>
    <w:rsid w:val="06D0899F"/>
    <w:rsid w:val="06E20A41"/>
    <w:rsid w:val="06F6AE9F"/>
    <w:rsid w:val="0701CCDB"/>
    <w:rsid w:val="07092493"/>
    <w:rsid w:val="07161806"/>
    <w:rsid w:val="0729A203"/>
    <w:rsid w:val="07390053"/>
    <w:rsid w:val="073BB6BA"/>
    <w:rsid w:val="0748A5B7"/>
    <w:rsid w:val="0754369D"/>
    <w:rsid w:val="0761624C"/>
    <w:rsid w:val="076182D8"/>
    <w:rsid w:val="076CCF92"/>
    <w:rsid w:val="078160B8"/>
    <w:rsid w:val="078D268A"/>
    <w:rsid w:val="078DEC71"/>
    <w:rsid w:val="07AC86F2"/>
    <w:rsid w:val="07CC3F8A"/>
    <w:rsid w:val="07D52250"/>
    <w:rsid w:val="07E93378"/>
    <w:rsid w:val="07FC440B"/>
    <w:rsid w:val="07FC6C9B"/>
    <w:rsid w:val="0801A103"/>
    <w:rsid w:val="0805520A"/>
    <w:rsid w:val="08085CEE"/>
    <w:rsid w:val="0813732F"/>
    <w:rsid w:val="08273399"/>
    <w:rsid w:val="0834BAE8"/>
    <w:rsid w:val="08353091"/>
    <w:rsid w:val="08391106"/>
    <w:rsid w:val="0846DB03"/>
    <w:rsid w:val="085693F5"/>
    <w:rsid w:val="0858DDA6"/>
    <w:rsid w:val="0869CA4A"/>
    <w:rsid w:val="0876A97E"/>
    <w:rsid w:val="0877467B"/>
    <w:rsid w:val="0877ABAB"/>
    <w:rsid w:val="087AAFB9"/>
    <w:rsid w:val="087F0EAC"/>
    <w:rsid w:val="08A57723"/>
    <w:rsid w:val="08B94AF6"/>
    <w:rsid w:val="08BCA29A"/>
    <w:rsid w:val="08D08583"/>
    <w:rsid w:val="08E07FA5"/>
    <w:rsid w:val="09011714"/>
    <w:rsid w:val="090774DD"/>
    <w:rsid w:val="09239FF8"/>
    <w:rsid w:val="092E2403"/>
    <w:rsid w:val="094A824B"/>
    <w:rsid w:val="095B77BA"/>
    <w:rsid w:val="09613D26"/>
    <w:rsid w:val="096816FA"/>
    <w:rsid w:val="096918A1"/>
    <w:rsid w:val="098638D7"/>
    <w:rsid w:val="099F91B8"/>
    <w:rsid w:val="09A9E0B0"/>
    <w:rsid w:val="09BF8A58"/>
    <w:rsid w:val="09C3D33D"/>
    <w:rsid w:val="09C7D4BB"/>
    <w:rsid w:val="09DB1C69"/>
    <w:rsid w:val="09E2AB64"/>
    <w:rsid w:val="09F70516"/>
    <w:rsid w:val="0A024DFE"/>
    <w:rsid w:val="0A053E57"/>
    <w:rsid w:val="0A1BDBDF"/>
    <w:rsid w:val="0A1FD103"/>
    <w:rsid w:val="0A28F2B6"/>
    <w:rsid w:val="0A36A727"/>
    <w:rsid w:val="0A397F44"/>
    <w:rsid w:val="0A458E92"/>
    <w:rsid w:val="0A48EE7B"/>
    <w:rsid w:val="0A4B8E42"/>
    <w:rsid w:val="0A5B79A6"/>
    <w:rsid w:val="0A5D9F4C"/>
    <w:rsid w:val="0A5EE1ED"/>
    <w:rsid w:val="0A73A089"/>
    <w:rsid w:val="0A7A93B7"/>
    <w:rsid w:val="0A7ADF60"/>
    <w:rsid w:val="0A815E6F"/>
    <w:rsid w:val="0A828913"/>
    <w:rsid w:val="0A8524CC"/>
    <w:rsid w:val="0A8A0ABF"/>
    <w:rsid w:val="0A912473"/>
    <w:rsid w:val="0A923029"/>
    <w:rsid w:val="0AA5BC17"/>
    <w:rsid w:val="0AAA1E1F"/>
    <w:rsid w:val="0AAB99D3"/>
    <w:rsid w:val="0AADCFE0"/>
    <w:rsid w:val="0AB6CC00"/>
    <w:rsid w:val="0AC1E4BB"/>
    <w:rsid w:val="0ACA6B9F"/>
    <w:rsid w:val="0ACD3B46"/>
    <w:rsid w:val="0AE25546"/>
    <w:rsid w:val="0AE360A5"/>
    <w:rsid w:val="0AE89CFA"/>
    <w:rsid w:val="0AEA4E89"/>
    <w:rsid w:val="0AEE4D20"/>
    <w:rsid w:val="0B13F89D"/>
    <w:rsid w:val="0B153B02"/>
    <w:rsid w:val="0B1E2622"/>
    <w:rsid w:val="0B2461E7"/>
    <w:rsid w:val="0B26689C"/>
    <w:rsid w:val="0B28684F"/>
    <w:rsid w:val="0B332769"/>
    <w:rsid w:val="0B5D008B"/>
    <w:rsid w:val="0B805EE4"/>
    <w:rsid w:val="0B90C73B"/>
    <w:rsid w:val="0B9C8AF2"/>
    <w:rsid w:val="0BA33EF0"/>
    <w:rsid w:val="0BA40DF3"/>
    <w:rsid w:val="0BA75506"/>
    <w:rsid w:val="0BADEE02"/>
    <w:rsid w:val="0BB0848F"/>
    <w:rsid w:val="0BBBCBF6"/>
    <w:rsid w:val="0BC15878"/>
    <w:rsid w:val="0BD0DBFA"/>
    <w:rsid w:val="0BD9E112"/>
    <w:rsid w:val="0BF58B42"/>
    <w:rsid w:val="0BFBA65D"/>
    <w:rsid w:val="0C0273AB"/>
    <w:rsid w:val="0C0B3517"/>
    <w:rsid w:val="0C3523F1"/>
    <w:rsid w:val="0C45CF60"/>
    <w:rsid w:val="0C5ACAB5"/>
    <w:rsid w:val="0C614E2A"/>
    <w:rsid w:val="0C6D6232"/>
    <w:rsid w:val="0C76037D"/>
    <w:rsid w:val="0C8909FC"/>
    <w:rsid w:val="0C94316E"/>
    <w:rsid w:val="0CA52593"/>
    <w:rsid w:val="0CA8C601"/>
    <w:rsid w:val="0CB4C4DC"/>
    <w:rsid w:val="0CB613DA"/>
    <w:rsid w:val="0CBDB5F8"/>
    <w:rsid w:val="0CC60211"/>
    <w:rsid w:val="0CE430B2"/>
    <w:rsid w:val="0CEA7D0C"/>
    <w:rsid w:val="0D09C300"/>
    <w:rsid w:val="0D11D7A9"/>
    <w:rsid w:val="0D21794B"/>
    <w:rsid w:val="0D2C8C96"/>
    <w:rsid w:val="0D30F34D"/>
    <w:rsid w:val="0D356669"/>
    <w:rsid w:val="0D781A50"/>
    <w:rsid w:val="0D7FD8B2"/>
    <w:rsid w:val="0D95A2DA"/>
    <w:rsid w:val="0DA3B967"/>
    <w:rsid w:val="0DA6EB2D"/>
    <w:rsid w:val="0DADDC94"/>
    <w:rsid w:val="0DAF9CD8"/>
    <w:rsid w:val="0DBB58C5"/>
    <w:rsid w:val="0DBF8422"/>
    <w:rsid w:val="0DC69F95"/>
    <w:rsid w:val="0DCD0053"/>
    <w:rsid w:val="0DD02A01"/>
    <w:rsid w:val="0DE0F498"/>
    <w:rsid w:val="0DE7395A"/>
    <w:rsid w:val="0DE9A53B"/>
    <w:rsid w:val="0DF196A5"/>
    <w:rsid w:val="0E066B3F"/>
    <w:rsid w:val="0E174BDD"/>
    <w:rsid w:val="0E18EBA1"/>
    <w:rsid w:val="0E23DB69"/>
    <w:rsid w:val="0E2CDCFC"/>
    <w:rsid w:val="0E317893"/>
    <w:rsid w:val="0E489BE6"/>
    <w:rsid w:val="0E541099"/>
    <w:rsid w:val="0E5E4DB8"/>
    <w:rsid w:val="0E62F7D1"/>
    <w:rsid w:val="0E6A2AAA"/>
    <w:rsid w:val="0E759968"/>
    <w:rsid w:val="0E8E8539"/>
    <w:rsid w:val="0E9409D5"/>
    <w:rsid w:val="0E98E8B3"/>
    <w:rsid w:val="0EA1E2BC"/>
    <w:rsid w:val="0EA27300"/>
    <w:rsid w:val="0EA5E7B7"/>
    <w:rsid w:val="0EA95A93"/>
    <w:rsid w:val="0EB61C87"/>
    <w:rsid w:val="0EB76149"/>
    <w:rsid w:val="0ECC7FE6"/>
    <w:rsid w:val="0ED08F3C"/>
    <w:rsid w:val="0EDE1988"/>
    <w:rsid w:val="0EECEE45"/>
    <w:rsid w:val="0EF40621"/>
    <w:rsid w:val="0F06EBAD"/>
    <w:rsid w:val="0F10FD0F"/>
    <w:rsid w:val="0F1FDEB1"/>
    <w:rsid w:val="0F39C568"/>
    <w:rsid w:val="0F607772"/>
    <w:rsid w:val="0F610A2E"/>
    <w:rsid w:val="0F617391"/>
    <w:rsid w:val="0F6B1853"/>
    <w:rsid w:val="0F75D596"/>
    <w:rsid w:val="0F839080"/>
    <w:rsid w:val="0F87E209"/>
    <w:rsid w:val="0F8AFECA"/>
    <w:rsid w:val="0F98931B"/>
    <w:rsid w:val="0FA55FEA"/>
    <w:rsid w:val="0FB0B4EB"/>
    <w:rsid w:val="0FC06815"/>
    <w:rsid w:val="0FD19702"/>
    <w:rsid w:val="0FD6B413"/>
    <w:rsid w:val="0FD933A9"/>
    <w:rsid w:val="0FF2D652"/>
    <w:rsid w:val="0FFB682D"/>
    <w:rsid w:val="100032B3"/>
    <w:rsid w:val="1008B7B1"/>
    <w:rsid w:val="10138BA6"/>
    <w:rsid w:val="1013BD2F"/>
    <w:rsid w:val="102559D5"/>
    <w:rsid w:val="102E355F"/>
    <w:rsid w:val="10315DF0"/>
    <w:rsid w:val="103E76DC"/>
    <w:rsid w:val="1041CA7A"/>
    <w:rsid w:val="104358A2"/>
    <w:rsid w:val="10595E31"/>
    <w:rsid w:val="107646B0"/>
    <w:rsid w:val="10819B69"/>
    <w:rsid w:val="1086D645"/>
    <w:rsid w:val="108E42D5"/>
    <w:rsid w:val="109EF1AB"/>
    <w:rsid w:val="10A4E209"/>
    <w:rsid w:val="10A9A1E2"/>
    <w:rsid w:val="10B4E8B2"/>
    <w:rsid w:val="10C34DD9"/>
    <w:rsid w:val="10C9C2BB"/>
    <w:rsid w:val="10D27C17"/>
    <w:rsid w:val="10E73D9A"/>
    <w:rsid w:val="10EE263C"/>
    <w:rsid w:val="10F5BC0E"/>
    <w:rsid w:val="10F66483"/>
    <w:rsid w:val="10FA0E93"/>
    <w:rsid w:val="1100BBEE"/>
    <w:rsid w:val="11177D53"/>
    <w:rsid w:val="11238AEE"/>
    <w:rsid w:val="1138AC48"/>
    <w:rsid w:val="11465883"/>
    <w:rsid w:val="114B20ED"/>
    <w:rsid w:val="115044CF"/>
    <w:rsid w:val="1150B307"/>
    <w:rsid w:val="115CCE9C"/>
    <w:rsid w:val="115D8EA4"/>
    <w:rsid w:val="115EBC42"/>
    <w:rsid w:val="116CA289"/>
    <w:rsid w:val="11714AEC"/>
    <w:rsid w:val="1179BF12"/>
    <w:rsid w:val="117C6657"/>
    <w:rsid w:val="11800250"/>
    <w:rsid w:val="11847085"/>
    <w:rsid w:val="118B34F4"/>
    <w:rsid w:val="118BC050"/>
    <w:rsid w:val="119D0743"/>
    <w:rsid w:val="11A5B759"/>
    <w:rsid w:val="11A8D405"/>
    <w:rsid w:val="11AD8B07"/>
    <w:rsid w:val="11BE903F"/>
    <w:rsid w:val="11BFAD0D"/>
    <w:rsid w:val="11C27CE1"/>
    <w:rsid w:val="11C4DEB4"/>
    <w:rsid w:val="11D7E698"/>
    <w:rsid w:val="1206FC81"/>
    <w:rsid w:val="120DF785"/>
    <w:rsid w:val="1211F394"/>
    <w:rsid w:val="121C952A"/>
    <w:rsid w:val="121CDD87"/>
    <w:rsid w:val="122A3994"/>
    <w:rsid w:val="1236222E"/>
    <w:rsid w:val="12397123"/>
    <w:rsid w:val="123C167B"/>
    <w:rsid w:val="123C889E"/>
    <w:rsid w:val="12421A4F"/>
    <w:rsid w:val="12424DBE"/>
    <w:rsid w:val="1248322C"/>
    <w:rsid w:val="125D4377"/>
    <w:rsid w:val="1262D488"/>
    <w:rsid w:val="1265205A"/>
    <w:rsid w:val="12688A01"/>
    <w:rsid w:val="1278FB8A"/>
    <w:rsid w:val="1295DEF4"/>
    <w:rsid w:val="12987CDB"/>
    <w:rsid w:val="129A99FC"/>
    <w:rsid w:val="12A371D9"/>
    <w:rsid w:val="12A562FF"/>
    <w:rsid w:val="12C133F2"/>
    <w:rsid w:val="12D4AF7A"/>
    <w:rsid w:val="12E56865"/>
    <w:rsid w:val="12F52D73"/>
    <w:rsid w:val="12FD7E1C"/>
    <w:rsid w:val="1307DEF8"/>
    <w:rsid w:val="131EF960"/>
    <w:rsid w:val="132047BA"/>
    <w:rsid w:val="1337CDAE"/>
    <w:rsid w:val="1339F191"/>
    <w:rsid w:val="134B708C"/>
    <w:rsid w:val="13516B11"/>
    <w:rsid w:val="136A41A3"/>
    <w:rsid w:val="137E8350"/>
    <w:rsid w:val="1392095A"/>
    <w:rsid w:val="139F7D7B"/>
    <w:rsid w:val="13A06F02"/>
    <w:rsid w:val="13A9FC09"/>
    <w:rsid w:val="13B28D1C"/>
    <w:rsid w:val="13D27E31"/>
    <w:rsid w:val="13D3CE83"/>
    <w:rsid w:val="13DD5B9B"/>
    <w:rsid w:val="13EF1A36"/>
    <w:rsid w:val="140C14ED"/>
    <w:rsid w:val="1415ED5F"/>
    <w:rsid w:val="141BEF28"/>
    <w:rsid w:val="14259551"/>
    <w:rsid w:val="142D85E6"/>
    <w:rsid w:val="142DFF50"/>
    <w:rsid w:val="143D5BC4"/>
    <w:rsid w:val="144A44B0"/>
    <w:rsid w:val="144AE4E8"/>
    <w:rsid w:val="146246B3"/>
    <w:rsid w:val="146BD16D"/>
    <w:rsid w:val="1471EA5C"/>
    <w:rsid w:val="147C26EE"/>
    <w:rsid w:val="1481C804"/>
    <w:rsid w:val="1489FEB5"/>
    <w:rsid w:val="149635FA"/>
    <w:rsid w:val="14AC9009"/>
    <w:rsid w:val="14BF3F49"/>
    <w:rsid w:val="14C9B096"/>
    <w:rsid w:val="14C9F8F3"/>
    <w:rsid w:val="14D460A3"/>
    <w:rsid w:val="14DE2479"/>
    <w:rsid w:val="14DF0D1E"/>
    <w:rsid w:val="14E875EB"/>
    <w:rsid w:val="14F276D4"/>
    <w:rsid w:val="14F941AD"/>
    <w:rsid w:val="150034C3"/>
    <w:rsid w:val="150E5469"/>
    <w:rsid w:val="151E41E8"/>
    <w:rsid w:val="15225EBA"/>
    <w:rsid w:val="152E28D6"/>
    <w:rsid w:val="15300752"/>
    <w:rsid w:val="154BB4CD"/>
    <w:rsid w:val="15529060"/>
    <w:rsid w:val="1565A850"/>
    <w:rsid w:val="15680F96"/>
    <w:rsid w:val="156BE03E"/>
    <w:rsid w:val="157CAE5E"/>
    <w:rsid w:val="157D7FBC"/>
    <w:rsid w:val="15814754"/>
    <w:rsid w:val="158A1D13"/>
    <w:rsid w:val="158AC207"/>
    <w:rsid w:val="158B6F75"/>
    <w:rsid w:val="1594DFC5"/>
    <w:rsid w:val="1595C8CD"/>
    <w:rsid w:val="15A77FAC"/>
    <w:rsid w:val="15B37340"/>
    <w:rsid w:val="15B4C616"/>
    <w:rsid w:val="15BAFF98"/>
    <w:rsid w:val="15BF9E98"/>
    <w:rsid w:val="15C7767C"/>
    <w:rsid w:val="15CD7FB6"/>
    <w:rsid w:val="15DC7D30"/>
    <w:rsid w:val="15DF1FE9"/>
    <w:rsid w:val="15E6109B"/>
    <w:rsid w:val="15E6C64B"/>
    <w:rsid w:val="15EBFA35"/>
    <w:rsid w:val="15FEA13A"/>
    <w:rsid w:val="1607A06B"/>
    <w:rsid w:val="1617FF24"/>
    <w:rsid w:val="161E4986"/>
    <w:rsid w:val="16330479"/>
    <w:rsid w:val="163D1BCC"/>
    <w:rsid w:val="163EE59F"/>
    <w:rsid w:val="163FB404"/>
    <w:rsid w:val="16662448"/>
    <w:rsid w:val="166F17A0"/>
    <w:rsid w:val="1678B590"/>
    <w:rsid w:val="16915F52"/>
    <w:rsid w:val="1697D0FC"/>
    <w:rsid w:val="16993300"/>
    <w:rsid w:val="16A8060F"/>
    <w:rsid w:val="16AEA9AA"/>
    <w:rsid w:val="16B58C9A"/>
    <w:rsid w:val="16C308CB"/>
    <w:rsid w:val="16CA5DDE"/>
    <w:rsid w:val="16CA956B"/>
    <w:rsid w:val="16D258E0"/>
    <w:rsid w:val="16D8B1D4"/>
    <w:rsid w:val="16DAE4F3"/>
    <w:rsid w:val="16DDAAFE"/>
    <w:rsid w:val="16E28A1C"/>
    <w:rsid w:val="16E63697"/>
    <w:rsid w:val="16EC47ED"/>
    <w:rsid w:val="16EF7F40"/>
    <w:rsid w:val="17041B95"/>
    <w:rsid w:val="1707E275"/>
    <w:rsid w:val="1725F058"/>
    <w:rsid w:val="172DB5A5"/>
    <w:rsid w:val="1737F199"/>
    <w:rsid w:val="17380820"/>
    <w:rsid w:val="173C570B"/>
    <w:rsid w:val="173F5D33"/>
    <w:rsid w:val="174CF6A9"/>
    <w:rsid w:val="174F33DA"/>
    <w:rsid w:val="174F831F"/>
    <w:rsid w:val="175FABC5"/>
    <w:rsid w:val="176464B2"/>
    <w:rsid w:val="1790FA39"/>
    <w:rsid w:val="1793812F"/>
    <w:rsid w:val="179C4D8F"/>
    <w:rsid w:val="17A258A1"/>
    <w:rsid w:val="17A8EA74"/>
    <w:rsid w:val="17A95D09"/>
    <w:rsid w:val="17B11ED3"/>
    <w:rsid w:val="17B26A96"/>
    <w:rsid w:val="17B6A63F"/>
    <w:rsid w:val="17DA1500"/>
    <w:rsid w:val="17DD463B"/>
    <w:rsid w:val="17DE4946"/>
    <w:rsid w:val="17E205BC"/>
    <w:rsid w:val="1802024F"/>
    <w:rsid w:val="180A43BD"/>
    <w:rsid w:val="180CA7AB"/>
    <w:rsid w:val="18178C9C"/>
    <w:rsid w:val="1837D9F5"/>
    <w:rsid w:val="183FBC82"/>
    <w:rsid w:val="18504397"/>
    <w:rsid w:val="185288AB"/>
    <w:rsid w:val="1869473E"/>
    <w:rsid w:val="186F9217"/>
    <w:rsid w:val="1883850A"/>
    <w:rsid w:val="18910F29"/>
    <w:rsid w:val="18A5BA81"/>
    <w:rsid w:val="18B2888E"/>
    <w:rsid w:val="18BB3981"/>
    <w:rsid w:val="18BF7581"/>
    <w:rsid w:val="18C09C61"/>
    <w:rsid w:val="18D72EFD"/>
    <w:rsid w:val="18F96F25"/>
    <w:rsid w:val="191666E2"/>
    <w:rsid w:val="19193417"/>
    <w:rsid w:val="192FBE11"/>
    <w:rsid w:val="193F4290"/>
    <w:rsid w:val="194F782C"/>
    <w:rsid w:val="19572DCE"/>
    <w:rsid w:val="19607AB2"/>
    <w:rsid w:val="196DFC0C"/>
    <w:rsid w:val="197EF034"/>
    <w:rsid w:val="197F492B"/>
    <w:rsid w:val="198256A3"/>
    <w:rsid w:val="198F8009"/>
    <w:rsid w:val="19A9D4E2"/>
    <w:rsid w:val="19B556AD"/>
    <w:rsid w:val="19B7F339"/>
    <w:rsid w:val="19BD7037"/>
    <w:rsid w:val="19D9C21A"/>
    <w:rsid w:val="19E15CAC"/>
    <w:rsid w:val="19F22FB5"/>
    <w:rsid w:val="19F63DCD"/>
    <w:rsid w:val="19FA1215"/>
    <w:rsid w:val="19FC7D71"/>
    <w:rsid w:val="1A0D6DEC"/>
    <w:rsid w:val="1A0F1E69"/>
    <w:rsid w:val="1A17454F"/>
    <w:rsid w:val="1A25BDE5"/>
    <w:rsid w:val="1A726DF1"/>
    <w:rsid w:val="1A85938A"/>
    <w:rsid w:val="1A86B770"/>
    <w:rsid w:val="1A8A8633"/>
    <w:rsid w:val="1A8E92BB"/>
    <w:rsid w:val="1A974C87"/>
    <w:rsid w:val="1AAA0469"/>
    <w:rsid w:val="1AAC0CB8"/>
    <w:rsid w:val="1AB88232"/>
    <w:rsid w:val="1ABA9581"/>
    <w:rsid w:val="1ABB79B6"/>
    <w:rsid w:val="1ACA24F0"/>
    <w:rsid w:val="1ACC6044"/>
    <w:rsid w:val="1ACFF4CA"/>
    <w:rsid w:val="1AD80B66"/>
    <w:rsid w:val="1AE19EB6"/>
    <w:rsid w:val="1B11C461"/>
    <w:rsid w:val="1B1EA2A0"/>
    <w:rsid w:val="1B2695A5"/>
    <w:rsid w:val="1B276587"/>
    <w:rsid w:val="1B3E44E0"/>
    <w:rsid w:val="1B41E93B"/>
    <w:rsid w:val="1B559C3D"/>
    <w:rsid w:val="1B79D0B0"/>
    <w:rsid w:val="1B90F403"/>
    <w:rsid w:val="1B9C7BB7"/>
    <w:rsid w:val="1BAB4FEE"/>
    <w:rsid w:val="1BB15DA9"/>
    <w:rsid w:val="1BBDF185"/>
    <w:rsid w:val="1BBEA709"/>
    <w:rsid w:val="1BBEFA70"/>
    <w:rsid w:val="1BCA1087"/>
    <w:rsid w:val="1BCB1C83"/>
    <w:rsid w:val="1BDE9894"/>
    <w:rsid w:val="1BE4B67B"/>
    <w:rsid w:val="1BEBC521"/>
    <w:rsid w:val="1BF97423"/>
    <w:rsid w:val="1C08404A"/>
    <w:rsid w:val="1C20424D"/>
    <w:rsid w:val="1C2671A5"/>
    <w:rsid w:val="1C29F041"/>
    <w:rsid w:val="1C38562F"/>
    <w:rsid w:val="1C3DC0F2"/>
    <w:rsid w:val="1C48C7B8"/>
    <w:rsid w:val="1C6A8BA3"/>
    <w:rsid w:val="1C8262A1"/>
    <w:rsid w:val="1C828F7E"/>
    <w:rsid w:val="1C858500"/>
    <w:rsid w:val="1C9CCE6F"/>
    <w:rsid w:val="1CA93436"/>
    <w:rsid w:val="1CAE8514"/>
    <w:rsid w:val="1CC71474"/>
    <w:rsid w:val="1CD20D16"/>
    <w:rsid w:val="1CD9722D"/>
    <w:rsid w:val="1CE4678F"/>
    <w:rsid w:val="1CF0DFBE"/>
    <w:rsid w:val="1D044D87"/>
    <w:rsid w:val="1D0EB0A5"/>
    <w:rsid w:val="1D322FB3"/>
    <w:rsid w:val="1D3A69F1"/>
    <w:rsid w:val="1D3E2897"/>
    <w:rsid w:val="1D44D45E"/>
    <w:rsid w:val="1D521BF4"/>
    <w:rsid w:val="1D64804C"/>
    <w:rsid w:val="1D6CE447"/>
    <w:rsid w:val="1D7C1417"/>
    <w:rsid w:val="1D7C237A"/>
    <w:rsid w:val="1D7F2DC9"/>
    <w:rsid w:val="1D84FC97"/>
    <w:rsid w:val="1D96982A"/>
    <w:rsid w:val="1D98BACD"/>
    <w:rsid w:val="1DB2C5DE"/>
    <w:rsid w:val="1DC04093"/>
    <w:rsid w:val="1DC170A8"/>
    <w:rsid w:val="1DC5C0A2"/>
    <w:rsid w:val="1DDDB1BC"/>
    <w:rsid w:val="1DE2172E"/>
    <w:rsid w:val="1DF3982E"/>
    <w:rsid w:val="1DF3D1E2"/>
    <w:rsid w:val="1E004079"/>
    <w:rsid w:val="1E121AD8"/>
    <w:rsid w:val="1E1D2681"/>
    <w:rsid w:val="1E26EC1C"/>
    <w:rsid w:val="1E2861FF"/>
    <w:rsid w:val="1E3C0D76"/>
    <w:rsid w:val="1E4AB413"/>
    <w:rsid w:val="1E4C61BA"/>
    <w:rsid w:val="1E4E44B2"/>
    <w:rsid w:val="1E4FBE41"/>
    <w:rsid w:val="1E5F0649"/>
    <w:rsid w:val="1E6BE30B"/>
    <w:rsid w:val="1E782EA6"/>
    <w:rsid w:val="1E83CBA8"/>
    <w:rsid w:val="1E9BD5E5"/>
    <w:rsid w:val="1EA085B6"/>
    <w:rsid w:val="1EACB9C7"/>
    <w:rsid w:val="1EB91629"/>
    <w:rsid w:val="1EC566C0"/>
    <w:rsid w:val="1ED9AC1F"/>
    <w:rsid w:val="1EDD93DB"/>
    <w:rsid w:val="1F05C3C5"/>
    <w:rsid w:val="1F2A7B05"/>
    <w:rsid w:val="1F2EAEF5"/>
    <w:rsid w:val="1F3F522A"/>
    <w:rsid w:val="1F44D762"/>
    <w:rsid w:val="1F4A289A"/>
    <w:rsid w:val="1F4AA8F2"/>
    <w:rsid w:val="1F52F07A"/>
    <w:rsid w:val="1F538CF1"/>
    <w:rsid w:val="1F642387"/>
    <w:rsid w:val="1F77648A"/>
    <w:rsid w:val="1F809A50"/>
    <w:rsid w:val="1F90342A"/>
    <w:rsid w:val="1F9883E0"/>
    <w:rsid w:val="1FA194ED"/>
    <w:rsid w:val="1FA6330C"/>
    <w:rsid w:val="1FA6DA37"/>
    <w:rsid w:val="1FAB2CA5"/>
    <w:rsid w:val="1FB07CC7"/>
    <w:rsid w:val="1FB36E13"/>
    <w:rsid w:val="1FF569CE"/>
    <w:rsid w:val="1FFA2C8D"/>
    <w:rsid w:val="2008F3CB"/>
    <w:rsid w:val="200FF00D"/>
    <w:rsid w:val="201481D9"/>
    <w:rsid w:val="201F867A"/>
    <w:rsid w:val="202262DA"/>
    <w:rsid w:val="202DC082"/>
    <w:rsid w:val="2041E8A1"/>
    <w:rsid w:val="2042BC5D"/>
    <w:rsid w:val="2054E6FC"/>
    <w:rsid w:val="2059ECA6"/>
    <w:rsid w:val="206A8312"/>
    <w:rsid w:val="206ECD9D"/>
    <w:rsid w:val="20948077"/>
    <w:rsid w:val="209BEE13"/>
    <w:rsid w:val="20A65498"/>
    <w:rsid w:val="20AF4730"/>
    <w:rsid w:val="20B8EEBF"/>
    <w:rsid w:val="20C3681C"/>
    <w:rsid w:val="20CBA98A"/>
    <w:rsid w:val="20D008C4"/>
    <w:rsid w:val="20D42989"/>
    <w:rsid w:val="20ED47A5"/>
    <w:rsid w:val="20ED9878"/>
    <w:rsid w:val="20EEC0DB"/>
    <w:rsid w:val="20F905D7"/>
    <w:rsid w:val="20FFB110"/>
    <w:rsid w:val="21135A40"/>
    <w:rsid w:val="2119290E"/>
    <w:rsid w:val="21241E79"/>
    <w:rsid w:val="213DFA6B"/>
    <w:rsid w:val="215600CB"/>
    <w:rsid w:val="216EE964"/>
    <w:rsid w:val="216F00EF"/>
    <w:rsid w:val="217AA360"/>
    <w:rsid w:val="2183BB1A"/>
    <w:rsid w:val="2184CB5D"/>
    <w:rsid w:val="218E375B"/>
    <w:rsid w:val="219273B7"/>
    <w:rsid w:val="2195825F"/>
    <w:rsid w:val="219F5846"/>
    <w:rsid w:val="21A31F26"/>
    <w:rsid w:val="21A648DC"/>
    <w:rsid w:val="21AE353D"/>
    <w:rsid w:val="21AFD4A1"/>
    <w:rsid w:val="21BBC246"/>
    <w:rsid w:val="21CF13BD"/>
    <w:rsid w:val="21D1CCCF"/>
    <w:rsid w:val="21DD98D9"/>
    <w:rsid w:val="21EA2858"/>
    <w:rsid w:val="21F0C77A"/>
    <w:rsid w:val="21F8EECD"/>
    <w:rsid w:val="21FFEEEC"/>
    <w:rsid w:val="221C9341"/>
    <w:rsid w:val="221CB8C0"/>
    <w:rsid w:val="222F54E6"/>
    <w:rsid w:val="224E2170"/>
    <w:rsid w:val="2256FFA2"/>
    <w:rsid w:val="2269A9B6"/>
    <w:rsid w:val="227C068A"/>
    <w:rsid w:val="2281308E"/>
    <w:rsid w:val="229A234C"/>
    <w:rsid w:val="229D3F00"/>
    <w:rsid w:val="22A27847"/>
    <w:rsid w:val="22A3274A"/>
    <w:rsid w:val="22A5806E"/>
    <w:rsid w:val="22AE93B2"/>
    <w:rsid w:val="22BD79DB"/>
    <w:rsid w:val="22BEDAA1"/>
    <w:rsid w:val="22C95943"/>
    <w:rsid w:val="22D27530"/>
    <w:rsid w:val="22EB8048"/>
    <w:rsid w:val="22F062EA"/>
    <w:rsid w:val="22F50444"/>
    <w:rsid w:val="22F78D6B"/>
    <w:rsid w:val="2315BB43"/>
    <w:rsid w:val="2317D14F"/>
    <w:rsid w:val="231FD2DD"/>
    <w:rsid w:val="23419178"/>
    <w:rsid w:val="23531CB8"/>
    <w:rsid w:val="235A69D5"/>
    <w:rsid w:val="2365FA0F"/>
    <w:rsid w:val="2367BF24"/>
    <w:rsid w:val="23745C09"/>
    <w:rsid w:val="237871F0"/>
    <w:rsid w:val="238144F5"/>
    <w:rsid w:val="2390214B"/>
    <w:rsid w:val="23B0A917"/>
    <w:rsid w:val="23B1489F"/>
    <w:rsid w:val="23BE2795"/>
    <w:rsid w:val="23C441CE"/>
    <w:rsid w:val="23C9420C"/>
    <w:rsid w:val="23CF3874"/>
    <w:rsid w:val="23D215B3"/>
    <w:rsid w:val="23EAB0A7"/>
    <w:rsid w:val="23F801B7"/>
    <w:rsid w:val="24089E61"/>
    <w:rsid w:val="24108DD0"/>
    <w:rsid w:val="242109C7"/>
    <w:rsid w:val="24231790"/>
    <w:rsid w:val="2433C0D4"/>
    <w:rsid w:val="2435F3AD"/>
    <w:rsid w:val="243C1119"/>
    <w:rsid w:val="2441BE0C"/>
    <w:rsid w:val="245FFFA0"/>
    <w:rsid w:val="2471C89B"/>
    <w:rsid w:val="24894B6F"/>
    <w:rsid w:val="248DEEF5"/>
    <w:rsid w:val="24B18F27"/>
    <w:rsid w:val="24BC327C"/>
    <w:rsid w:val="24C44E41"/>
    <w:rsid w:val="24C4F18A"/>
    <w:rsid w:val="24E40624"/>
    <w:rsid w:val="24F11DAE"/>
    <w:rsid w:val="2504B802"/>
    <w:rsid w:val="2511C001"/>
    <w:rsid w:val="2512282D"/>
    <w:rsid w:val="2520ABF5"/>
    <w:rsid w:val="252E4C6C"/>
    <w:rsid w:val="25348916"/>
    <w:rsid w:val="25379AF0"/>
    <w:rsid w:val="25474C84"/>
    <w:rsid w:val="2547B87B"/>
    <w:rsid w:val="256A9547"/>
    <w:rsid w:val="256AC818"/>
    <w:rsid w:val="256C20A7"/>
    <w:rsid w:val="258F515B"/>
    <w:rsid w:val="25900509"/>
    <w:rsid w:val="25A64AB6"/>
    <w:rsid w:val="25AB3905"/>
    <w:rsid w:val="25B30FD4"/>
    <w:rsid w:val="25BF97B0"/>
    <w:rsid w:val="25D01672"/>
    <w:rsid w:val="25EBE738"/>
    <w:rsid w:val="25F7496D"/>
    <w:rsid w:val="26120FCF"/>
    <w:rsid w:val="261A2262"/>
    <w:rsid w:val="26211245"/>
    <w:rsid w:val="2621B77F"/>
    <w:rsid w:val="2628E38B"/>
    <w:rsid w:val="2644C9BA"/>
    <w:rsid w:val="264CC48D"/>
    <w:rsid w:val="264D53F5"/>
    <w:rsid w:val="2667755F"/>
    <w:rsid w:val="267F7235"/>
    <w:rsid w:val="268B7ED2"/>
    <w:rsid w:val="268E6920"/>
    <w:rsid w:val="2694B0D4"/>
    <w:rsid w:val="269DB220"/>
    <w:rsid w:val="26A4F879"/>
    <w:rsid w:val="26AE876E"/>
    <w:rsid w:val="26B35FCC"/>
    <w:rsid w:val="26C1DD8B"/>
    <w:rsid w:val="26C48DB0"/>
    <w:rsid w:val="26D895A6"/>
    <w:rsid w:val="26E154B1"/>
    <w:rsid w:val="26EE70F7"/>
    <w:rsid w:val="26EF086F"/>
    <w:rsid w:val="26F5C857"/>
    <w:rsid w:val="270B71F5"/>
    <w:rsid w:val="271B7689"/>
    <w:rsid w:val="2728B64C"/>
    <w:rsid w:val="27399DBC"/>
    <w:rsid w:val="2739A7CB"/>
    <w:rsid w:val="27455E8F"/>
    <w:rsid w:val="274A5B8C"/>
    <w:rsid w:val="274CFD54"/>
    <w:rsid w:val="275211FB"/>
    <w:rsid w:val="2753F735"/>
    <w:rsid w:val="275A465A"/>
    <w:rsid w:val="275B6811"/>
    <w:rsid w:val="27730200"/>
    <w:rsid w:val="2776C183"/>
    <w:rsid w:val="2779C7AB"/>
    <w:rsid w:val="278536EE"/>
    <w:rsid w:val="2785CA63"/>
    <w:rsid w:val="279F3010"/>
    <w:rsid w:val="27A6EFC4"/>
    <w:rsid w:val="27AE6A56"/>
    <w:rsid w:val="27B36568"/>
    <w:rsid w:val="27B75300"/>
    <w:rsid w:val="27B95D2C"/>
    <w:rsid w:val="27BAC089"/>
    <w:rsid w:val="27C3D40D"/>
    <w:rsid w:val="27C837A7"/>
    <w:rsid w:val="27D3E4B0"/>
    <w:rsid w:val="27E36DE2"/>
    <w:rsid w:val="27E87553"/>
    <w:rsid w:val="27F8C0FE"/>
    <w:rsid w:val="27FEA858"/>
    <w:rsid w:val="280EBED7"/>
    <w:rsid w:val="2810853F"/>
    <w:rsid w:val="281F658C"/>
    <w:rsid w:val="2832BAB6"/>
    <w:rsid w:val="2837C578"/>
    <w:rsid w:val="2840C8DA"/>
    <w:rsid w:val="2841F040"/>
    <w:rsid w:val="2845D465"/>
    <w:rsid w:val="2848C8C2"/>
    <w:rsid w:val="28492DAF"/>
    <w:rsid w:val="284F2B04"/>
    <w:rsid w:val="284FC6ED"/>
    <w:rsid w:val="2855568F"/>
    <w:rsid w:val="2857B890"/>
    <w:rsid w:val="285D393E"/>
    <w:rsid w:val="286642AB"/>
    <w:rsid w:val="286CF6A9"/>
    <w:rsid w:val="28757729"/>
    <w:rsid w:val="287A2BB6"/>
    <w:rsid w:val="2894F39D"/>
    <w:rsid w:val="28AA0AAA"/>
    <w:rsid w:val="28C1E52C"/>
    <w:rsid w:val="28C228CD"/>
    <w:rsid w:val="28C3CBD1"/>
    <w:rsid w:val="28C8154F"/>
    <w:rsid w:val="28D3430E"/>
    <w:rsid w:val="28E49387"/>
    <w:rsid w:val="28EF264F"/>
    <w:rsid w:val="28F6CB78"/>
    <w:rsid w:val="291D04DF"/>
    <w:rsid w:val="292BE8DF"/>
    <w:rsid w:val="29310389"/>
    <w:rsid w:val="29337DB6"/>
    <w:rsid w:val="293C8208"/>
    <w:rsid w:val="297DD64F"/>
    <w:rsid w:val="29809C11"/>
    <w:rsid w:val="2980AE4C"/>
    <w:rsid w:val="299916B5"/>
    <w:rsid w:val="29AA0F96"/>
    <w:rsid w:val="29ABF7E1"/>
    <w:rsid w:val="29B0EFE2"/>
    <w:rsid w:val="29B349B9"/>
    <w:rsid w:val="29B56E97"/>
    <w:rsid w:val="29C116DD"/>
    <w:rsid w:val="29C5726A"/>
    <w:rsid w:val="29C5C859"/>
    <w:rsid w:val="29D336E0"/>
    <w:rsid w:val="29DC993B"/>
    <w:rsid w:val="29E0B623"/>
    <w:rsid w:val="29E9D863"/>
    <w:rsid w:val="29EAFB65"/>
    <w:rsid w:val="29EF859E"/>
    <w:rsid w:val="29FD9CAD"/>
    <w:rsid w:val="2A052E7D"/>
    <w:rsid w:val="2A0A1BD0"/>
    <w:rsid w:val="2A25DFE3"/>
    <w:rsid w:val="2A402847"/>
    <w:rsid w:val="2A54029A"/>
    <w:rsid w:val="2A5C272B"/>
    <w:rsid w:val="2A5C2AB6"/>
    <w:rsid w:val="2A5EA258"/>
    <w:rsid w:val="2A61DFB1"/>
    <w:rsid w:val="2A67C38B"/>
    <w:rsid w:val="2A6CCF10"/>
    <w:rsid w:val="2A6E3A44"/>
    <w:rsid w:val="2A9308D3"/>
    <w:rsid w:val="2AA114B2"/>
    <w:rsid w:val="2ABEE599"/>
    <w:rsid w:val="2AC2A19E"/>
    <w:rsid w:val="2AC408C9"/>
    <w:rsid w:val="2AC8FD33"/>
    <w:rsid w:val="2AECFB84"/>
    <w:rsid w:val="2AF4F1CA"/>
    <w:rsid w:val="2B08C113"/>
    <w:rsid w:val="2B09FBED"/>
    <w:rsid w:val="2B2A6F4B"/>
    <w:rsid w:val="2B2B0F83"/>
    <w:rsid w:val="2B341278"/>
    <w:rsid w:val="2B3B497F"/>
    <w:rsid w:val="2B61C458"/>
    <w:rsid w:val="2B688004"/>
    <w:rsid w:val="2B6B4575"/>
    <w:rsid w:val="2B6C9EF7"/>
    <w:rsid w:val="2B6F4439"/>
    <w:rsid w:val="2B6F663A"/>
    <w:rsid w:val="2B7320AD"/>
    <w:rsid w:val="2B800566"/>
    <w:rsid w:val="2B87D7A6"/>
    <w:rsid w:val="2B8CC68E"/>
    <w:rsid w:val="2BAFD7EA"/>
    <w:rsid w:val="2BB1C8B7"/>
    <w:rsid w:val="2BB43B28"/>
    <w:rsid w:val="2BBE3D92"/>
    <w:rsid w:val="2BC73457"/>
    <w:rsid w:val="2BC9397A"/>
    <w:rsid w:val="2BCDC47C"/>
    <w:rsid w:val="2BD41E43"/>
    <w:rsid w:val="2BE60576"/>
    <w:rsid w:val="2BE7968C"/>
    <w:rsid w:val="2BE7A7A1"/>
    <w:rsid w:val="2BE8DDD3"/>
    <w:rsid w:val="2BF52F4A"/>
    <w:rsid w:val="2C15B5D6"/>
    <w:rsid w:val="2C2D5CD7"/>
    <w:rsid w:val="2C2ED934"/>
    <w:rsid w:val="2C381FB6"/>
    <w:rsid w:val="2C42AAC2"/>
    <w:rsid w:val="2C532D1B"/>
    <w:rsid w:val="2C58500D"/>
    <w:rsid w:val="2C59D909"/>
    <w:rsid w:val="2C5E71FF"/>
    <w:rsid w:val="2C6BB5F0"/>
    <w:rsid w:val="2C6F3F75"/>
    <w:rsid w:val="2C708829"/>
    <w:rsid w:val="2C72AE6C"/>
    <w:rsid w:val="2C72C0A7"/>
    <w:rsid w:val="2C971FDB"/>
    <w:rsid w:val="2C9F1869"/>
    <w:rsid w:val="2CA52A3E"/>
    <w:rsid w:val="2CA5BD80"/>
    <w:rsid w:val="2CC7F64E"/>
    <w:rsid w:val="2CDE5C24"/>
    <w:rsid w:val="2CE14738"/>
    <w:rsid w:val="2CED391B"/>
    <w:rsid w:val="2CF467EB"/>
    <w:rsid w:val="2CF93A3B"/>
    <w:rsid w:val="2CFBFCC2"/>
    <w:rsid w:val="2CFE653A"/>
    <w:rsid w:val="2D0DD97F"/>
    <w:rsid w:val="2D1F76D1"/>
    <w:rsid w:val="2D22618C"/>
    <w:rsid w:val="2D23DB48"/>
    <w:rsid w:val="2D2677BF"/>
    <w:rsid w:val="2D4E75B8"/>
    <w:rsid w:val="2D6DCA65"/>
    <w:rsid w:val="2D881DA9"/>
    <w:rsid w:val="2D8FA82B"/>
    <w:rsid w:val="2D9F4F41"/>
    <w:rsid w:val="2DA33366"/>
    <w:rsid w:val="2DACFD34"/>
    <w:rsid w:val="2DE5CC75"/>
    <w:rsid w:val="2DE958CC"/>
    <w:rsid w:val="2DF4639B"/>
    <w:rsid w:val="2DF6EEF5"/>
    <w:rsid w:val="2DFA4260"/>
    <w:rsid w:val="2E055B18"/>
    <w:rsid w:val="2E0FCA90"/>
    <w:rsid w:val="2E1DD3A1"/>
    <w:rsid w:val="2E1E1CAA"/>
    <w:rsid w:val="2E2D76C1"/>
    <w:rsid w:val="2E34A928"/>
    <w:rsid w:val="2E37B6EB"/>
    <w:rsid w:val="2E3A9D75"/>
    <w:rsid w:val="2E40F844"/>
    <w:rsid w:val="2E45CDD8"/>
    <w:rsid w:val="2E63B6D2"/>
    <w:rsid w:val="2E647EBD"/>
    <w:rsid w:val="2E75513D"/>
    <w:rsid w:val="2E8043D8"/>
    <w:rsid w:val="2E85D4E8"/>
    <w:rsid w:val="2E949A13"/>
    <w:rsid w:val="2EA609E2"/>
    <w:rsid w:val="2EB70EB0"/>
    <w:rsid w:val="2EBA4E64"/>
    <w:rsid w:val="2EBFABA9"/>
    <w:rsid w:val="2EC5F96B"/>
    <w:rsid w:val="2EC70FFF"/>
    <w:rsid w:val="2EE9D22C"/>
    <w:rsid w:val="2EEE88E5"/>
    <w:rsid w:val="2EF634E0"/>
    <w:rsid w:val="2EFE3DA1"/>
    <w:rsid w:val="2F029A96"/>
    <w:rsid w:val="2F050097"/>
    <w:rsid w:val="2F219A28"/>
    <w:rsid w:val="2F22BB80"/>
    <w:rsid w:val="2F248820"/>
    <w:rsid w:val="2F3C9045"/>
    <w:rsid w:val="2F47A149"/>
    <w:rsid w:val="2F488C55"/>
    <w:rsid w:val="2F6F2900"/>
    <w:rsid w:val="2F725983"/>
    <w:rsid w:val="2F7D499C"/>
    <w:rsid w:val="2F993DF3"/>
    <w:rsid w:val="2FB44661"/>
    <w:rsid w:val="2FB657F1"/>
    <w:rsid w:val="2FC66947"/>
    <w:rsid w:val="2FCF7CF8"/>
    <w:rsid w:val="2FD67197"/>
    <w:rsid w:val="2FF0B91E"/>
    <w:rsid w:val="2FF1F318"/>
    <w:rsid w:val="300D0106"/>
    <w:rsid w:val="300E7502"/>
    <w:rsid w:val="301ACD4D"/>
    <w:rsid w:val="301B6886"/>
    <w:rsid w:val="301E26DA"/>
    <w:rsid w:val="302A4F35"/>
    <w:rsid w:val="302C34E4"/>
    <w:rsid w:val="30382FE6"/>
    <w:rsid w:val="30467660"/>
    <w:rsid w:val="304A5A85"/>
    <w:rsid w:val="30657B66"/>
    <w:rsid w:val="30682AFA"/>
    <w:rsid w:val="30781478"/>
    <w:rsid w:val="307F5309"/>
    <w:rsid w:val="30872AB4"/>
    <w:rsid w:val="30A4D3AF"/>
    <w:rsid w:val="30C4536B"/>
    <w:rsid w:val="30C537A0"/>
    <w:rsid w:val="30D92AEF"/>
    <w:rsid w:val="30E7B8E1"/>
    <w:rsid w:val="30EE4681"/>
    <w:rsid w:val="30F142BE"/>
    <w:rsid w:val="31030BDB"/>
    <w:rsid w:val="311421CF"/>
    <w:rsid w:val="3128F40E"/>
    <w:rsid w:val="312EC18D"/>
    <w:rsid w:val="315E4F55"/>
    <w:rsid w:val="3165FFCA"/>
    <w:rsid w:val="316961E4"/>
    <w:rsid w:val="317BDAC2"/>
    <w:rsid w:val="318908B4"/>
    <w:rsid w:val="3190937C"/>
    <w:rsid w:val="31977296"/>
    <w:rsid w:val="319AB1ED"/>
    <w:rsid w:val="319EE491"/>
    <w:rsid w:val="31B24A74"/>
    <w:rsid w:val="31BA2E5C"/>
    <w:rsid w:val="31EE1FC4"/>
    <w:rsid w:val="31F74C6B"/>
    <w:rsid w:val="320460D9"/>
    <w:rsid w:val="3211A24D"/>
    <w:rsid w:val="3211FE34"/>
    <w:rsid w:val="32151277"/>
    <w:rsid w:val="321DDA90"/>
    <w:rsid w:val="32243169"/>
    <w:rsid w:val="3226516E"/>
    <w:rsid w:val="322713AF"/>
    <w:rsid w:val="323F044C"/>
    <w:rsid w:val="32421419"/>
    <w:rsid w:val="3245C2E2"/>
    <w:rsid w:val="324EA4E7"/>
    <w:rsid w:val="32634B2A"/>
    <w:rsid w:val="32657757"/>
    <w:rsid w:val="327AA281"/>
    <w:rsid w:val="3286C5FC"/>
    <w:rsid w:val="3286F8CD"/>
    <w:rsid w:val="32877A47"/>
    <w:rsid w:val="32949A96"/>
    <w:rsid w:val="329845DF"/>
    <w:rsid w:val="329C1A27"/>
    <w:rsid w:val="32A24EC1"/>
    <w:rsid w:val="32B2ED64"/>
    <w:rsid w:val="32C6F6C5"/>
    <w:rsid w:val="32CB19A2"/>
    <w:rsid w:val="32CD5FEF"/>
    <w:rsid w:val="32D738A4"/>
    <w:rsid w:val="32D8CC3B"/>
    <w:rsid w:val="32EB710D"/>
    <w:rsid w:val="32FC0369"/>
    <w:rsid w:val="3328FC62"/>
    <w:rsid w:val="333D04E1"/>
    <w:rsid w:val="3349F788"/>
    <w:rsid w:val="334E7A4E"/>
    <w:rsid w:val="3359C322"/>
    <w:rsid w:val="335A8D6B"/>
    <w:rsid w:val="335DC675"/>
    <w:rsid w:val="3369CF92"/>
    <w:rsid w:val="336ECFA3"/>
    <w:rsid w:val="33725407"/>
    <w:rsid w:val="337BD534"/>
    <w:rsid w:val="337F0678"/>
    <w:rsid w:val="338373F7"/>
    <w:rsid w:val="33882549"/>
    <w:rsid w:val="338EE4BC"/>
    <w:rsid w:val="33951CAA"/>
    <w:rsid w:val="33961CBC"/>
    <w:rsid w:val="339D7E44"/>
    <w:rsid w:val="339DD3D9"/>
    <w:rsid w:val="339E4640"/>
    <w:rsid w:val="33A05C76"/>
    <w:rsid w:val="33A8C094"/>
    <w:rsid w:val="33B3C9FF"/>
    <w:rsid w:val="33B85F29"/>
    <w:rsid w:val="33DD08F1"/>
    <w:rsid w:val="33DF4D57"/>
    <w:rsid w:val="33E35519"/>
    <w:rsid w:val="33FC5771"/>
    <w:rsid w:val="33FEB1CE"/>
    <w:rsid w:val="340243AE"/>
    <w:rsid w:val="3403AC84"/>
    <w:rsid w:val="340A0673"/>
    <w:rsid w:val="34104BB6"/>
    <w:rsid w:val="341BD8C2"/>
    <w:rsid w:val="341DF23A"/>
    <w:rsid w:val="34252996"/>
    <w:rsid w:val="34597C2B"/>
    <w:rsid w:val="34610163"/>
    <w:rsid w:val="3461050A"/>
    <w:rsid w:val="347B3738"/>
    <w:rsid w:val="349886DD"/>
    <w:rsid w:val="34A1C85D"/>
    <w:rsid w:val="34A52718"/>
    <w:rsid w:val="34A9AC6E"/>
    <w:rsid w:val="34B4C84D"/>
    <w:rsid w:val="34B76FA2"/>
    <w:rsid w:val="34BA44AC"/>
    <w:rsid w:val="34C82BD5"/>
    <w:rsid w:val="34CBD519"/>
    <w:rsid w:val="34EC591D"/>
    <w:rsid w:val="34F2D3E0"/>
    <w:rsid w:val="34F3DB92"/>
    <w:rsid w:val="350CA304"/>
    <w:rsid w:val="351B8747"/>
    <w:rsid w:val="352AB57C"/>
    <w:rsid w:val="3535F4A6"/>
    <w:rsid w:val="3546DBA1"/>
    <w:rsid w:val="35529D0C"/>
    <w:rsid w:val="356957E5"/>
    <w:rsid w:val="3574AC4A"/>
    <w:rsid w:val="3576A454"/>
    <w:rsid w:val="358BB1E0"/>
    <w:rsid w:val="358FE512"/>
    <w:rsid w:val="35902E7B"/>
    <w:rsid w:val="35BB16C0"/>
    <w:rsid w:val="35CC3B58"/>
    <w:rsid w:val="35D32371"/>
    <w:rsid w:val="35FF5733"/>
    <w:rsid w:val="36052D02"/>
    <w:rsid w:val="360616C8"/>
    <w:rsid w:val="360EB2C2"/>
    <w:rsid w:val="3615C9D2"/>
    <w:rsid w:val="36171DCF"/>
    <w:rsid w:val="361A1327"/>
    <w:rsid w:val="361D8B2A"/>
    <w:rsid w:val="3631D980"/>
    <w:rsid w:val="36377E6C"/>
    <w:rsid w:val="363CC63E"/>
    <w:rsid w:val="363F2395"/>
    <w:rsid w:val="3649EABE"/>
    <w:rsid w:val="364C15CA"/>
    <w:rsid w:val="3651FF7F"/>
    <w:rsid w:val="3658CD1F"/>
    <w:rsid w:val="36609D24"/>
    <w:rsid w:val="3661FFA5"/>
    <w:rsid w:val="3663F74F"/>
    <w:rsid w:val="366A27FE"/>
    <w:rsid w:val="367B9F41"/>
    <w:rsid w:val="367C428A"/>
    <w:rsid w:val="369502C6"/>
    <w:rsid w:val="3696F063"/>
    <w:rsid w:val="36A073AC"/>
    <w:rsid w:val="36A83C23"/>
    <w:rsid w:val="36AD0E1F"/>
    <w:rsid w:val="36BBC3D4"/>
    <w:rsid w:val="36BE0A3B"/>
    <w:rsid w:val="36C35B6F"/>
    <w:rsid w:val="36C60C19"/>
    <w:rsid w:val="36C854A6"/>
    <w:rsid w:val="36CC25F4"/>
    <w:rsid w:val="36D10E06"/>
    <w:rsid w:val="36D7FC1E"/>
    <w:rsid w:val="36DDE2B7"/>
    <w:rsid w:val="36F511DB"/>
    <w:rsid w:val="36F7EC4C"/>
    <w:rsid w:val="371243C3"/>
    <w:rsid w:val="371329F0"/>
    <w:rsid w:val="371B8EC3"/>
    <w:rsid w:val="371D7D5A"/>
    <w:rsid w:val="37363FD2"/>
    <w:rsid w:val="37429429"/>
    <w:rsid w:val="37445FA8"/>
    <w:rsid w:val="3744C653"/>
    <w:rsid w:val="37676FAF"/>
    <w:rsid w:val="376DE187"/>
    <w:rsid w:val="3785175F"/>
    <w:rsid w:val="3797F545"/>
    <w:rsid w:val="3799E2A8"/>
    <w:rsid w:val="379C5AB7"/>
    <w:rsid w:val="37A321E3"/>
    <w:rsid w:val="37A8D8F1"/>
    <w:rsid w:val="37B59844"/>
    <w:rsid w:val="37BA6383"/>
    <w:rsid w:val="37C3CD92"/>
    <w:rsid w:val="37C5BCA3"/>
    <w:rsid w:val="37D42529"/>
    <w:rsid w:val="37D8C7CC"/>
    <w:rsid w:val="37E08611"/>
    <w:rsid w:val="38049A5D"/>
    <w:rsid w:val="3817C849"/>
    <w:rsid w:val="381AA624"/>
    <w:rsid w:val="386205FB"/>
    <w:rsid w:val="386383C8"/>
    <w:rsid w:val="38673F42"/>
    <w:rsid w:val="386EA6A3"/>
    <w:rsid w:val="3873D1B6"/>
    <w:rsid w:val="38777B2C"/>
    <w:rsid w:val="387A4A90"/>
    <w:rsid w:val="38A7E013"/>
    <w:rsid w:val="38AC1053"/>
    <w:rsid w:val="38C15931"/>
    <w:rsid w:val="38C840B0"/>
    <w:rsid w:val="38D97DE5"/>
    <w:rsid w:val="38F89481"/>
    <w:rsid w:val="39216015"/>
    <w:rsid w:val="392392DB"/>
    <w:rsid w:val="393CF507"/>
    <w:rsid w:val="3944CEA7"/>
    <w:rsid w:val="394529D2"/>
    <w:rsid w:val="395916EA"/>
    <w:rsid w:val="3962EE7D"/>
    <w:rsid w:val="396C34AE"/>
    <w:rsid w:val="39712DFD"/>
    <w:rsid w:val="397E8C88"/>
    <w:rsid w:val="39801231"/>
    <w:rsid w:val="399B8538"/>
    <w:rsid w:val="399CA2D2"/>
    <w:rsid w:val="39C310E2"/>
    <w:rsid w:val="39E5C654"/>
    <w:rsid w:val="3A00BFB1"/>
    <w:rsid w:val="3A025E50"/>
    <w:rsid w:val="3A140233"/>
    <w:rsid w:val="3A17F6E5"/>
    <w:rsid w:val="3A227071"/>
    <w:rsid w:val="3A24F96C"/>
    <w:rsid w:val="3A24FBC7"/>
    <w:rsid w:val="3A2E9E38"/>
    <w:rsid w:val="3A45B6A0"/>
    <w:rsid w:val="3A59F87C"/>
    <w:rsid w:val="3A666EC4"/>
    <w:rsid w:val="3A69F589"/>
    <w:rsid w:val="3A760FAE"/>
    <w:rsid w:val="3A799712"/>
    <w:rsid w:val="3A80F977"/>
    <w:rsid w:val="3A86841E"/>
    <w:rsid w:val="3A873253"/>
    <w:rsid w:val="3A8CFD81"/>
    <w:rsid w:val="3A8FC044"/>
    <w:rsid w:val="3A91733A"/>
    <w:rsid w:val="3A953468"/>
    <w:rsid w:val="3AA007ED"/>
    <w:rsid w:val="3AA440F3"/>
    <w:rsid w:val="3AA7CE62"/>
    <w:rsid w:val="3AB8CBD0"/>
    <w:rsid w:val="3ACBB307"/>
    <w:rsid w:val="3ACF6CF1"/>
    <w:rsid w:val="3AD375FF"/>
    <w:rsid w:val="3AD6AF89"/>
    <w:rsid w:val="3ADCCC0F"/>
    <w:rsid w:val="3AEDE8AE"/>
    <w:rsid w:val="3B0334DA"/>
    <w:rsid w:val="3B0367AB"/>
    <w:rsid w:val="3B079EDE"/>
    <w:rsid w:val="3B09793D"/>
    <w:rsid w:val="3B14A4E0"/>
    <w:rsid w:val="3B1B9671"/>
    <w:rsid w:val="3B54FB7F"/>
    <w:rsid w:val="3B55637C"/>
    <w:rsid w:val="3B5C59C4"/>
    <w:rsid w:val="3B68BCC3"/>
    <w:rsid w:val="3B740D91"/>
    <w:rsid w:val="3B83C733"/>
    <w:rsid w:val="3B84110C"/>
    <w:rsid w:val="3B9E2E41"/>
    <w:rsid w:val="3BA1ECE7"/>
    <w:rsid w:val="3BA54EFB"/>
    <w:rsid w:val="3BAA7CD4"/>
    <w:rsid w:val="3BAB3B53"/>
    <w:rsid w:val="3BBBF4BD"/>
    <w:rsid w:val="3BC1476A"/>
    <w:rsid w:val="3BC22A93"/>
    <w:rsid w:val="3BCC74FE"/>
    <w:rsid w:val="3BD6D6CA"/>
    <w:rsid w:val="3BE252DA"/>
    <w:rsid w:val="3BE647A2"/>
    <w:rsid w:val="3BEB1BF7"/>
    <w:rsid w:val="3BF7CF5B"/>
    <w:rsid w:val="3C18F27A"/>
    <w:rsid w:val="3C2AB600"/>
    <w:rsid w:val="3C2D9BA8"/>
    <w:rsid w:val="3C38E80E"/>
    <w:rsid w:val="3C4384BB"/>
    <w:rsid w:val="3C4B852C"/>
    <w:rsid w:val="3C5D0602"/>
    <w:rsid w:val="3C63C23A"/>
    <w:rsid w:val="3C7F4A04"/>
    <w:rsid w:val="3C902034"/>
    <w:rsid w:val="3C953CBC"/>
    <w:rsid w:val="3CA18BD8"/>
    <w:rsid w:val="3CA943D5"/>
    <w:rsid w:val="3CAD437B"/>
    <w:rsid w:val="3CB4BE53"/>
    <w:rsid w:val="3CC40966"/>
    <w:rsid w:val="3CDEF47E"/>
    <w:rsid w:val="3CF554CF"/>
    <w:rsid w:val="3CFBD832"/>
    <w:rsid w:val="3CFF14B5"/>
    <w:rsid w:val="3D05466E"/>
    <w:rsid w:val="3D09CF5A"/>
    <w:rsid w:val="3D0CC509"/>
    <w:rsid w:val="3D1B3846"/>
    <w:rsid w:val="3D268CFF"/>
    <w:rsid w:val="3D2ED263"/>
    <w:rsid w:val="3D4E2ED1"/>
    <w:rsid w:val="3D569A4E"/>
    <w:rsid w:val="3D632E2A"/>
    <w:rsid w:val="3D72E629"/>
    <w:rsid w:val="3D754179"/>
    <w:rsid w:val="3D82A0DF"/>
    <w:rsid w:val="3D883DA5"/>
    <w:rsid w:val="3D9AB94A"/>
    <w:rsid w:val="3D9B304D"/>
    <w:rsid w:val="3DA103FA"/>
    <w:rsid w:val="3DC04825"/>
    <w:rsid w:val="3DC1ED0F"/>
    <w:rsid w:val="3DC36F53"/>
    <w:rsid w:val="3DD80060"/>
    <w:rsid w:val="3DE7811E"/>
    <w:rsid w:val="3E0248C0"/>
    <w:rsid w:val="3E050C43"/>
    <w:rsid w:val="3E19FB28"/>
    <w:rsid w:val="3E31596D"/>
    <w:rsid w:val="3E5B6C15"/>
    <w:rsid w:val="3E622E75"/>
    <w:rsid w:val="3E6C4275"/>
    <w:rsid w:val="3E78ABAC"/>
    <w:rsid w:val="3E7B0070"/>
    <w:rsid w:val="3E83E9A0"/>
    <w:rsid w:val="3E946BF9"/>
    <w:rsid w:val="3E9C8345"/>
    <w:rsid w:val="3E9EE935"/>
    <w:rsid w:val="3ED72F9F"/>
    <w:rsid w:val="3EDBE006"/>
    <w:rsid w:val="3EE3A6DB"/>
    <w:rsid w:val="3EED3FB0"/>
    <w:rsid w:val="3EFBD991"/>
    <w:rsid w:val="3F05B3EF"/>
    <w:rsid w:val="3F0BDD68"/>
    <w:rsid w:val="3F232EA1"/>
    <w:rsid w:val="3F4AAADE"/>
    <w:rsid w:val="3F4D0835"/>
    <w:rsid w:val="3F66089F"/>
    <w:rsid w:val="3F6C8986"/>
    <w:rsid w:val="3F6E9928"/>
    <w:rsid w:val="3F7C15DF"/>
    <w:rsid w:val="3F820BC1"/>
    <w:rsid w:val="3F84B50F"/>
    <w:rsid w:val="3F8A6C36"/>
    <w:rsid w:val="3F95D331"/>
    <w:rsid w:val="3F9F7B55"/>
    <w:rsid w:val="3FA25368"/>
    <w:rsid w:val="3FA2E2D0"/>
    <w:rsid w:val="3FA7B7B0"/>
    <w:rsid w:val="3FAC73B8"/>
    <w:rsid w:val="3FBA4CD5"/>
    <w:rsid w:val="3FBD7E9B"/>
    <w:rsid w:val="3FBE55C1"/>
    <w:rsid w:val="3FCC5358"/>
    <w:rsid w:val="3FDEE327"/>
    <w:rsid w:val="3FE47244"/>
    <w:rsid w:val="3FEF9379"/>
    <w:rsid w:val="3FF71B5D"/>
    <w:rsid w:val="3FF94388"/>
    <w:rsid w:val="4003F395"/>
    <w:rsid w:val="4020919B"/>
    <w:rsid w:val="4023CBB5"/>
    <w:rsid w:val="40284303"/>
    <w:rsid w:val="40292B58"/>
    <w:rsid w:val="40294BEE"/>
    <w:rsid w:val="402C4146"/>
    <w:rsid w:val="40420013"/>
    <w:rsid w:val="4045DF8A"/>
    <w:rsid w:val="40495CA7"/>
    <w:rsid w:val="40528290"/>
    <w:rsid w:val="4077305C"/>
    <w:rsid w:val="40776232"/>
    <w:rsid w:val="40782091"/>
    <w:rsid w:val="4086CD04"/>
    <w:rsid w:val="4086D121"/>
    <w:rsid w:val="4097797F"/>
    <w:rsid w:val="40C8A383"/>
    <w:rsid w:val="40DD74C7"/>
    <w:rsid w:val="40F3CC55"/>
    <w:rsid w:val="40FB9BFA"/>
    <w:rsid w:val="40FDF9DA"/>
    <w:rsid w:val="41163ABF"/>
    <w:rsid w:val="4117B20C"/>
    <w:rsid w:val="411F195A"/>
    <w:rsid w:val="4137E7A8"/>
    <w:rsid w:val="41395FCF"/>
    <w:rsid w:val="41421EC9"/>
    <w:rsid w:val="41487092"/>
    <w:rsid w:val="414C04A1"/>
    <w:rsid w:val="4169130F"/>
    <w:rsid w:val="41790223"/>
    <w:rsid w:val="4189A67D"/>
    <w:rsid w:val="41D52121"/>
    <w:rsid w:val="41D97B9F"/>
    <w:rsid w:val="41EF3FF6"/>
    <w:rsid w:val="41F23A51"/>
    <w:rsid w:val="41F49DB6"/>
    <w:rsid w:val="41F73688"/>
    <w:rsid w:val="420322D2"/>
    <w:rsid w:val="421300BD"/>
    <w:rsid w:val="4219BE58"/>
    <w:rsid w:val="421DFB56"/>
    <w:rsid w:val="42229D65"/>
    <w:rsid w:val="42303D27"/>
    <w:rsid w:val="423A06F5"/>
    <w:rsid w:val="423F1A90"/>
    <w:rsid w:val="423F8CB3"/>
    <w:rsid w:val="4255314B"/>
    <w:rsid w:val="42554386"/>
    <w:rsid w:val="4255C8C3"/>
    <w:rsid w:val="425CE526"/>
    <w:rsid w:val="425DF98E"/>
    <w:rsid w:val="425ECB2A"/>
    <w:rsid w:val="42683A81"/>
    <w:rsid w:val="426A847B"/>
    <w:rsid w:val="427E87E7"/>
    <w:rsid w:val="4282821E"/>
    <w:rsid w:val="428C3164"/>
    <w:rsid w:val="4294452D"/>
    <w:rsid w:val="42B20068"/>
    <w:rsid w:val="42B9BACB"/>
    <w:rsid w:val="42C14E54"/>
    <w:rsid w:val="42C3BDA2"/>
    <w:rsid w:val="42C6B7E0"/>
    <w:rsid w:val="42CA5B5C"/>
    <w:rsid w:val="42D572DE"/>
    <w:rsid w:val="42DA02E3"/>
    <w:rsid w:val="42DA5521"/>
    <w:rsid w:val="42E5B196"/>
    <w:rsid w:val="42FF9DFC"/>
    <w:rsid w:val="430ADBF0"/>
    <w:rsid w:val="430E1771"/>
    <w:rsid w:val="430E72F8"/>
    <w:rsid w:val="430FB6F6"/>
    <w:rsid w:val="431B5E49"/>
    <w:rsid w:val="4325139A"/>
    <w:rsid w:val="43276B6C"/>
    <w:rsid w:val="432A5CBB"/>
    <w:rsid w:val="4351D5ED"/>
    <w:rsid w:val="43667B79"/>
    <w:rsid w:val="43776F59"/>
    <w:rsid w:val="4385E81B"/>
    <w:rsid w:val="438D447E"/>
    <w:rsid w:val="43A66991"/>
    <w:rsid w:val="43AD02B4"/>
    <w:rsid w:val="43AD47B8"/>
    <w:rsid w:val="43BE6DC6"/>
    <w:rsid w:val="43CF4704"/>
    <w:rsid w:val="43D45FB5"/>
    <w:rsid w:val="43DDB20D"/>
    <w:rsid w:val="43E1E8D9"/>
    <w:rsid w:val="43E5DEB0"/>
    <w:rsid w:val="43E98B08"/>
    <w:rsid w:val="43FD52C7"/>
    <w:rsid w:val="4405F210"/>
    <w:rsid w:val="4417C2CA"/>
    <w:rsid w:val="441DBF91"/>
    <w:rsid w:val="44251A5B"/>
    <w:rsid w:val="4435EBCF"/>
    <w:rsid w:val="44367DB8"/>
    <w:rsid w:val="4436C1E9"/>
    <w:rsid w:val="4441471C"/>
    <w:rsid w:val="4443E45D"/>
    <w:rsid w:val="4447B1ED"/>
    <w:rsid w:val="4451C717"/>
    <w:rsid w:val="4456433A"/>
    <w:rsid w:val="445F3D53"/>
    <w:rsid w:val="4466074D"/>
    <w:rsid w:val="44662BBD"/>
    <w:rsid w:val="446844AA"/>
    <w:rsid w:val="446ACD62"/>
    <w:rsid w:val="44770462"/>
    <w:rsid w:val="44781960"/>
    <w:rsid w:val="447AA6BB"/>
    <w:rsid w:val="44823C8D"/>
    <w:rsid w:val="449B3A29"/>
    <w:rsid w:val="44A6BFF4"/>
    <w:rsid w:val="44A6EEBF"/>
    <w:rsid w:val="44AEE56F"/>
    <w:rsid w:val="44BC9E72"/>
    <w:rsid w:val="44C1A159"/>
    <w:rsid w:val="44D5D121"/>
    <w:rsid w:val="44DC32D5"/>
    <w:rsid w:val="44E25D8A"/>
    <w:rsid w:val="44EAE821"/>
    <w:rsid w:val="44F3937B"/>
    <w:rsid w:val="450485E1"/>
    <w:rsid w:val="45064F6E"/>
    <w:rsid w:val="450CBBD8"/>
    <w:rsid w:val="451E6BCF"/>
    <w:rsid w:val="452FAEE0"/>
    <w:rsid w:val="45328198"/>
    <w:rsid w:val="45395602"/>
    <w:rsid w:val="4549AEA6"/>
    <w:rsid w:val="4556A2CF"/>
    <w:rsid w:val="455CDF33"/>
    <w:rsid w:val="456D84AD"/>
    <w:rsid w:val="456ECEC7"/>
    <w:rsid w:val="45718644"/>
    <w:rsid w:val="4577FB5D"/>
    <w:rsid w:val="457843DF"/>
    <w:rsid w:val="458F7E53"/>
    <w:rsid w:val="45AFE191"/>
    <w:rsid w:val="45D21292"/>
    <w:rsid w:val="45FBB102"/>
    <w:rsid w:val="460C94AE"/>
    <w:rsid w:val="460F8FE2"/>
    <w:rsid w:val="46179C70"/>
    <w:rsid w:val="4625302B"/>
    <w:rsid w:val="462AD501"/>
    <w:rsid w:val="46377C00"/>
    <w:rsid w:val="463DEE2A"/>
    <w:rsid w:val="464278F1"/>
    <w:rsid w:val="464D7328"/>
    <w:rsid w:val="465EADBF"/>
    <w:rsid w:val="466F13B5"/>
    <w:rsid w:val="4671E8E4"/>
    <w:rsid w:val="467D5167"/>
    <w:rsid w:val="46A16F07"/>
    <w:rsid w:val="46A20E8F"/>
    <w:rsid w:val="46AEAB74"/>
    <w:rsid w:val="46B2F5FF"/>
    <w:rsid w:val="46C571EB"/>
    <w:rsid w:val="46CEF5D0"/>
    <w:rsid w:val="46D6735F"/>
    <w:rsid w:val="46E61AFD"/>
    <w:rsid w:val="46E65808"/>
    <w:rsid w:val="46ED2F7B"/>
    <w:rsid w:val="46F0DC2C"/>
    <w:rsid w:val="46F176CB"/>
    <w:rsid w:val="46F3F852"/>
    <w:rsid w:val="46F60E88"/>
    <w:rsid w:val="46F8046B"/>
    <w:rsid w:val="47058D38"/>
    <w:rsid w:val="471C1A4C"/>
    <w:rsid w:val="472B3617"/>
    <w:rsid w:val="472F57F9"/>
    <w:rsid w:val="47380151"/>
    <w:rsid w:val="47819943"/>
    <w:rsid w:val="47848536"/>
    <w:rsid w:val="478DA07C"/>
    <w:rsid w:val="47A958B3"/>
    <w:rsid w:val="47BA0665"/>
    <w:rsid w:val="47BF2FD2"/>
    <w:rsid w:val="47BF4A0C"/>
    <w:rsid w:val="47D16D59"/>
    <w:rsid w:val="47D6C52F"/>
    <w:rsid w:val="47E41EC8"/>
    <w:rsid w:val="47E6D039"/>
    <w:rsid w:val="47ED0EAF"/>
    <w:rsid w:val="47EDD568"/>
    <w:rsid w:val="47FCAA81"/>
    <w:rsid w:val="47FDCDDE"/>
    <w:rsid w:val="480187F0"/>
    <w:rsid w:val="4807CDEA"/>
    <w:rsid w:val="48166448"/>
    <w:rsid w:val="481BC4B4"/>
    <w:rsid w:val="482914A8"/>
    <w:rsid w:val="48498D92"/>
    <w:rsid w:val="484BBFC8"/>
    <w:rsid w:val="485059F7"/>
    <w:rsid w:val="48662E10"/>
    <w:rsid w:val="4874D376"/>
    <w:rsid w:val="48960B52"/>
    <w:rsid w:val="489BC260"/>
    <w:rsid w:val="489D539C"/>
    <w:rsid w:val="489DA868"/>
    <w:rsid w:val="48A6517B"/>
    <w:rsid w:val="48A88F8E"/>
    <w:rsid w:val="48AE37BA"/>
    <w:rsid w:val="48B4B508"/>
    <w:rsid w:val="48BC65AE"/>
    <w:rsid w:val="48BCDE1F"/>
    <w:rsid w:val="48BF6476"/>
    <w:rsid w:val="48CBF2A3"/>
    <w:rsid w:val="48D4DB4D"/>
    <w:rsid w:val="48E04A64"/>
    <w:rsid w:val="48E28A25"/>
    <w:rsid w:val="48EAB1BB"/>
    <w:rsid w:val="48FC8169"/>
    <w:rsid w:val="490133DB"/>
    <w:rsid w:val="4901D50E"/>
    <w:rsid w:val="49126BE0"/>
    <w:rsid w:val="492DE09C"/>
    <w:rsid w:val="4931F08C"/>
    <w:rsid w:val="49378581"/>
    <w:rsid w:val="494CF6B2"/>
    <w:rsid w:val="49513EDF"/>
    <w:rsid w:val="49777C25"/>
    <w:rsid w:val="4979823B"/>
    <w:rsid w:val="499E9237"/>
    <w:rsid w:val="49A0F0A0"/>
    <w:rsid w:val="49A81C14"/>
    <w:rsid w:val="49B04C2F"/>
    <w:rsid w:val="49B364BC"/>
    <w:rsid w:val="49B53222"/>
    <w:rsid w:val="49BD6769"/>
    <w:rsid w:val="49D07DD8"/>
    <w:rsid w:val="49D91A16"/>
    <w:rsid w:val="49E87745"/>
    <w:rsid w:val="49F19BF2"/>
    <w:rsid w:val="49FAC59C"/>
    <w:rsid w:val="4A0EF760"/>
    <w:rsid w:val="4A1009A0"/>
    <w:rsid w:val="4A175290"/>
    <w:rsid w:val="4A24D03D"/>
    <w:rsid w:val="4A336AB8"/>
    <w:rsid w:val="4A36FB49"/>
    <w:rsid w:val="4A3A2E0A"/>
    <w:rsid w:val="4A41A54B"/>
    <w:rsid w:val="4A4AE26B"/>
    <w:rsid w:val="4A4BE707"/>
    <w:rsid w:val="4A5FDD8E"/>
    <w:rsid w:val="4A633A15"/>
    <w:rsid w:val="4A69B409"/>
    <w:rsid w:val="4A6C45CF"/>
    <w:rsid w:val="4A82A352"/>
    <w:rsid w:val="4A865AA4"/>
    <w:rsid w:val="4A948039"/>
    <w:rsid w:val="4AC43538"/>
    <w:rsid w:val="4AC8D78A"/>
    <w:rsid w:val="4AEF6D4D"/>
    <w:rsid w:val="4B23D868"/>
    <w:rsid w:val="4B25D07C"/>
    <w:rsid w:val="4B25F519"/>
    <w:rsid w:val="4B2B536C"/>
    <w:rsid w:val="4B4319F5"/>
    <w:rsid w:val="4B45774C"/>
    <w:rsid w:val="4B552C08"/>
    <w:rsid w:val="4B55E863"/>
    <w:rsid w:val="4B60B56A"/>
    <w:rsid w:val="4B85A185"/>
    <w:rsid w:val="4B99EC65"/>
    <w:rsid w:val="4BA1D883"/>
    <w:rsid w:val="4BA317A4"/>
    <w:rsid w:val="4BA3DA4A"/>
    <w:rsid w:val="4BAB1372"/>
    <w:rsid w:val="4BAC3285"/>
    <w:rsid w:val="4BAEF07A"/>
    <w:rsid w:val="4BBACEC4"/>
    <w:rsid w:val="4BC0A09E"/>
    <w:rsid w:val="4BD379BD"/>
    <w:rsid w:val="4BE6B2CC"/>
    <w:rsid w:val="4BF21B25"/>
    <w:rsid w:val="4C1138AC"/>
    <w:rsid w:val="4C1166C1"/>
    <w:rsid w:val="4C13453D"/>
    <w:rsid w:val="4C1386C6"/>
    <w:rsid w:val="4C23D111"/>
    <w:rsid w:val="4C29C55E"/>
    <w:rsid w:val="4C2C3AC9"/>
    <w:rsid w:val="4C31285F"/>
    <w:rsid w:val="4C350150"/>
    <w:rsid w:val="4C48E17F"/>
    <w:rsid w:val="4C50AA4D"/>
    <w:rsid w:val="4C744843"/>
    <w:rsid w:val="4C76071C"/>
    <w:rsid w:val="4C8B7872"/>
    <w:rsid w:val="4CA8096B"/>
    <w:rsid w:val="4CACCE5B"/>
    <w:rsid w:val="4CC0D7B9"/>
    <w:rsid w:val="4CC1129A"/>
    <w:rsid w:val="4CCB688A"/>
    <w:rsid w:val="4CD8AE08"/>
    <w:rsid w:val="4CEDDD4B"/>
    <w:rsid w:val="4CF4883E"/>
    <w:rsid w:val="4CF63CC6"/>
    <w:rsid w:val="4CF93B95"/>
    <w:rsid w:val="4CFC85CB"/>
    <w:rsid w:val="4D0B7856"/>
    <w:rsid w:val="4D0EF014"/>
    <w:rsid w:val="4D1A9270"/>
    <w:rsid w:val="4D1F808F"/>
    <w:rsid w:val="4D3C0C88"/>
    <w:rsid w:val="4D631EEF"/>
    <w:rsid w:val="4D650095"/>
    <w:rsid w:val="4D809E47"/>
    <w:rsid w:val="4D992FB5"/>
    <w:rsid w:val="4DA618A1"/>
    <w:rsid w:val="4DCDE781"/>
    <w:rsid w:val="4DD2EBE8"/>
    <w:rsid w:val="4DD6E0CF"/>
    <w:rsid w:val="4DFB6E5B"/>
    <w:rsid w:val="4E02E6FC"/>
    <w:rsid w:val="4E0D0E03"/>
    <w:rsid w:val="4E142431"/>
    <w:rsid w:val="4E2C619B"/>
    <w:rsid w:val="4E2CCF3F"/>
    <w:rsid w:val="4E303494"/>
    <w:rsid w:val="4E36A572"/>
    <w:rsid w:val="4E431216"/>
    <w:rsid w:val="4E533A15"/>
    <w:rsid w:val="4E5FC688"/>
    <w:rsid w:val="4E5FE993"/>
    <w:rsid w:val="4E83867A"/>
    <w:rsid w:val="4E974E66"/>
    <w:rsid w:val="4EABE974"/>
    <w:rsid w:val="4EB03F92"/>
    <w:rsid w:val="4EB4A048"/>
    <w:rsid w:val="4EC0164D"/>
    <w:rsid w:val="4ED0874D"/>
    <w:rsid w:val="4ED3D9EF"/>
    <w:rsid w:val="4ED6561B"/>
    <w:rsid w:val="4ED73961"/>
    <w:rsid w:val="4EDC3A42"/>
    <w:rsid w:val="4EE8CB9F"/>
    <w:rsid w:val="4EE95893"/>
    <w:rsid w:val="4F01248A"/>
    <w:rsid w:val="4F03791C"/>
    <w:rsid w:val="4F0D90CF"/>
    <w:rsid w:val="4F18188A"/>
    <w:rsid w:val="4F293717"/>
    <w:rsid w:val="4F2D952C"/>
    <w:rsid w:val="4F46869B"/>
    <w:rsid w:val="4F5BF3C3"/>
    <w:rsid w:val="4F66E1F9"/>
    <w:rsid w:val="4F6A37BF"/>
    <w:rsid w:val="4F7D996E"/>
    <w:rsid w:val="4F7FEAC9"/>
    <w:rsid w:val="4F7FEF85"/>
    <w:rsid w:val="4F83F9C3"/>
    <w:rsid w:val="4F87D7DD"/>
    <w:rsid w:val="4F89E08C"/>
    <w:rsid w:val="4FA46D08"/>
    <w:rsid w:val="4FA54322"/>
    <w:rsid w:val="4FAAE503"/>
    <w:rsid w:val="4FB47E34"/>
    <w:rsid w:val="4FB48D5E"/>
    <w:rsid w:val="4FCD954C"/>
    <w:rsid w:val="4FD48981"/>
    <w:rsid w:val="4FDD3611"/>
    <w:rsid w:val="4FE18AE0"/>
    <w:rsid w:val="4FE963F7"/>
    <w:rsid w:val="4FF12E70"/>
    <w:rsid w:val="4FF14808"/>
    <w:rsid w:val="4FF7D387"/>
    <w:rsid w:val="50059FD4"/>
    <w:rsid w:val="5038E776"/>
    <w:rsid w:val="503AAC3F"/>
    <w:rsid w:val="5040AA43"/>
    <w:rsid w:val="50509549"/>
    <w:rsid w:val="505689D9"/>
    <w:rsid w:val="5057CA1C"/>
    <w:rsid w:val="505B2A53"/>
    <w:rsid w:val="505BE3F9"/>
    <w:rsid w:val="5063B666"/>
    <w:rsid w:val="507B119D"/>
    <w:rsid w:val="507B75ED"/>
    <w:rsid w:val="50807A05"/>
    <w:rsid w:val="508354FC"/>
    <w:rsid w:val="50898996"/>
    <w:rsid w:val="50946A11"/>
    <w:rsid w:val="509677FC"/>
    <w:rsid w:val="509AE6D1"/>
    <w:rsid w:val="509B3124"/>
    <w:rsid w:val="50A96130"/>
    <w:rsid w:val="50B76A95"/>
    <w:rsid w:val="50B96E82"/>
    <w:rsid w:val="50BC30C6"/>
    <w:rsid w:val="50BE690B"/>
    <w:rsid w:val="50BFD0A8"/>
    <w:rsid w:val="50E459EB"/>
    <w:rsid w:val="50FEED36"/>
    <w:rsid w:val="51039D63"/>
    <w:rsid w:val="510C1473"/>
    <w:rsid w:val="511E62CA"/>
    <w:rsid w:val="5124DB61"/>
    <w:rsid w:val="512A3403"/>
    <w:rsid w:val="51365C37"/>
    <w:rsid w:val="5144AEC5"/>
    <w:rsid w:val="5147F6B6"/>
    <w:rsid w:val="5151466A"/>
    <w:rsid w:val="5151D8E3"/>
    <w:rsid w:val="516617AE"/>
    <w:rsid w:val="517E43EC"/>
    <w:rsid w:val="518CB37C"/>
    <w:rsid w:val="51903447"/>
    <w:rsid w:val="519BC631"/>
    <w:rsid w:val="519C659A"/>
    <w:rsid w:val="51A71BAA"/>
    <w:rsid w:val="51AC01FC"/>
    <w:rsid w:val="51ADB906"/>
    <w:rsid w:val="51B5CCD9"/>
    <w:rsid w:val="51B9C68A"/>
    <w:rsid w:val="51BCCC56"/>
    <w:rsid w:val="51C39A83"/>
    <w:rsid w:val="51CA94AA"/>
    <w:rsid w:val="51CCC8BA"/>
    <w:rsid w:val="51D4C3E0"/>
    <w:rsid w:val="51FF4C0B"/>
    <w:rsid w:val="5208F1A3"/>
    <w:rsid w:val="52648E45"/>
    <w:rsid w:val="526D9C6E"/>
    <w:rsid w:val="528409B5"/>
    <w:rsid w:val="528BEC70"/>
    <w:rsid w:val="5290333B"/>
    <w:rsid w:val="52954542"/>
    <w:rsid w:val="529E06F3"/>
    <w:rsid w:val="52A2225D"/>
    <w:rsid w:val="52AD1A28"/>
    <w:rsid w:val="52B6F8CF"/>
    <w:rsid w:val="52C69BDC"/>
    <w:rsid w:val="52D2595B"/>
    <w:rsid w:val="52DBD51D"/>
    <w:rsid w:val="52E1EE4D"/>
    <w:rsid w:val="52FF1230"/>
    <w:rsid w:val="530372E6"/>
    <w:rsid w:val="53138D44"/>
    <w:rsid w:val="5317504A"/>
    <w:rsid w:val="5318BABC"/>
    <w:rsid w:val="532096E0"/>
    <w:rsid w:val="5322BBE1"/>
    <w:rsid w:val="53253730"/>
    <w:rsid w:val="5327C710"/>
    <w:rsid w:val="532837BA"/>
    <w:rsid w:val="53286E61"/>
    <w:rsid w:val="53307068"/>
    <w:rsid w:val="53398C6C"/>
    <w:rsid w:val="5357E0EF"/>
    <w:rsid w:val="538309AA"/>
    <w:rsid w:val="53875F16"/>
    <w:rsid w:val="539D088D"/>
    <w:rsid w:val="53A23F5A"/>
    <w:rsid w:val="53A96297"/>
    <w:rsid w:val="53B1DA43"/>
    <w:rsid w:val="53BB87B1"/>
    <w:rsid w:val="53CF625B"/>
    <w:rsid w:val="53D4C214"/>
    <w:rsid w:val="53DA11F6"/>
    <w:rsid w:val="53DC7B90"/>
    <w:rsid w:val="53EFB5EB"/>
    <w:rsid w:val="5419F7BE"/>
    <w:rsid w:val="5423CE42"/>
    <w:rsid w:val="54390528"/>
    <w:rsid w:val="543A531C"/>
    <w:rsid w:val="54405C88"/>
    <w:rsid w:val="545210B2"/>
    <w:rsid w:val="545C5B1D"/>
    <w:rsid w:val="5460AA08"/>
    <w:rsid w:val="546BBA89"/>
    <w:rsid w:val="54712C61"/>
    <w:rsid w:val="547F2DB1"/>
    <w:rsid w:val="548EB7D9"/>
    <w:rsid w:val="54AF44C0"/>
    <w:rsid w:val="54BC573A"/>
    <w:rsid w:val="54D4D83F"/>
    <w:rsid w:val="54DD268A"/>
    <w:rsid w:val="54E78360"/>
    <w:rsid w:val="54ECC7F4"/>
    <w:rsid w:val="550D5F50"/>
    <w:rsid w:val="550F0CA9"/>
    <w:rsid w:val="5525553A"/>
    <w:rsid w:val="552C25C8"/>
    <w:rsid w:val="55397D59"/>
    <w:rsid w:val="554028EE"/>
    <w:rsid w:val="5579F2DE"/>
    <w:rsid w:val="559013C6"/>
    <w:rsid w:val="5593785D"/>
    <w:rsid w:val="55956365"/>
    <w:rsid w:val="55B56226"/>
    <w:rsid w:val="55C38FD7"/>
    <w:rsid w:val="55C40ABF"/>
    <w:rsid w:val="55DDD0F6"/>
    <w:rsid w:val="55E94D8C"/>
    <w:rsid w:val="55F2680A"/>
    <w:rsid w:val="55FD7255"/>
    <w:rsid w:val="5613A5CC"/>
    <w:rsid w:val="5613EE29"/>
    <w:rsid w:val="56164D96"/>
    <w:rsid w:val="56205ADE"/>
    <w:rsid w:val="56208D69"/>
    <w:rsid w:val="5624EE1F"/>
    <w:rsid w:val="5625AA37"/>
    <w:rsid w:val="563E2114"/>
    <w:rsid w:val="5643B71F"/>
    <w:rsid w:val="56714BDC"/>
    <w:rsid w:val="56734DA5"/>
    <w:rsid w:val="56795CF1"/>
    <w:rsid w:val="56819324"/>
    <w:rsid w:val="5681ACFC"/>
    <w:rsid w:val="5685CC13"/>
    <w:rsid w:val="56978218"/>
    <w:rsid w:val="56A9FACD"/>
    <w:rsid w:val="56DB01BA"/>
    <w:rsid w:val="56E02F9D"/>
    <w:rsid w:val="56E832C3"/>
    <w:rsid w:val="56F4D36B"/>
    <w:rsid w:val="56FD8A3F"/>
    <w:rsid w:val="5705AFA9"/>
    <w:rsid w:val="57066BA5"/>
    <w:rsid w:val="570BE2DB"/>
    <w:rsid w:val="571A75BC"/>
    <w:rsid w:val="571DD07E"/>
    <w:rsid w:val="573B890C"/>
    <w:rsid w:val="5740FCED"/>
    <w:rsid w:val="57456E47"/>
    <w:rsid w:val="574E6D78"/>
    <w:rsid w:val="5755C28B"/>
    <w:rsid w:val="5768423A"/>
    <w:rsid w:val="5771208F"/>
    <w:rsid w:val="5782EAA4"/>
    <w:rsid w:val="578E08F5"/>
    <w:rsid w:val="579714F2"/>
    <w:rsid w:val="579B95FE"/>
    <w:rsid w:val="57A74662"/>
    <w:rsid w:val="57B81CE0"/>
    <w:rsid w:val="57CCCF53"/>
    <w:rsid w:val="57DFC2A4"/>
    <w:rsid w:val="57EDB746"/>
    <w:rsid w:val="57F3F4DD"/>
    <w:rsid w:val="57F73D1F"/>
    <w:rsid w:val="57FFF33E"/>
    <w:rsid w:val="58033C43"/>
    <w:rsid w:val="581DFAFD"/>
    <w:rsid w:val="58270188"/>
    <w:rsid w:val="5846B796"/>
    <w:rsid w:val="5849458D"/>
    <w:rsid w:val="585E858B"/>
    <w:rsid w:val="5862FC57"/>
    <w:rsid w:val="587158FC"/>
    <w:rsid w:val="5899167C"/>
    <w:rsid w:val="589A525F"/>
    <w:rsid w:val="58A7F346"/>
    <w:rsid w:val="58AC0D77"/>
    <w:rsid w:val="58AFE36C"/>
    <w:rsid w:val="58FE9573"/>
    <w:rsid w:val="59081595"/>
    <w:rsid w:val="5909D1BC"/>
    <w:rsid w:val="590C12F6"/>
    <w:rsid w:val="591499DA"/>
    <w:rsid w:val="591A92B9"/>
    <w:rsid w:val="593CA8E9"/>
    <w:rsid w:val="59516D3A"/>
    <w:rsid w:val="5961ABF2"/>
    <w:rsid w:val="59643087"/>
    <w:rsid w:val="597E51C3"/>
    <w:rsid w:val="59899473"/>
    <w:rsid w:val="5991141D"/>
    <w:rsid w:val="59A1AA2A"/>
    <w:rsid w:val="59A80CD9"/>
    <w:rsid w:val="59B0BAED"/>
    <w:rsid w:val="59BE3BDA"/>
    <w:rsid w:val="59C58C31"/>
    <w:rsid w:val="59CC5843"/>
    <w:rsid w:val="59E383D8"/>
    <w:rsid w:val="59F9F768"/>
    <w:rsid w:val="59FA7FF9"/>
    <w:rsid w:val="59FE0B7A"/>
    <w:rsid w:val="5A0F9338"/>
    <w:rsid w:val="5A15FD04"/>
    <w:rsid w:val="5A1F3C0D"/>
    <w:rsid w:val="5A449F2D"/>
    <w:rsid w:val="5A477514"/>
    <w:rsid w:val="5A4E1949"/>
    <w:rsid w:val="5A681870"/>
    <w:rsid w:val="5A8464A5"/>
    <w:rsid w:val="5A8AA59B"/>
    <w:rsid w:val="5A8EA4D3"/>
    <w:rsid w:val="5AA7028C"/>
    <w:rsid w:val="5ACABD55"/>
    <w:rsid w:val="5AD1B1F4"/>
    <w:rsid w:val="5AD1F595"/>
    <w:rsid w:val="5AF1C6B4"/>
    <w:rsid w:val="5AF66704"/>
    <w:rsid w:val="5B080159"/>
    <w:rsid w:val="5B0B5D9D"/>
    <w:rsid w:val="5B119112"/>
    <w:rsid w:val="5B1E71C7"/>
    <w:rsid w:val="5B25F412"/>
    <w:rsid w:val="5B3836C5"/>
    <w:rsid w:val="5B40736F"/>
    <w:rsid w:val="5B4313EC"/>
    <w:rsid w:val="5B45E5C7"/>
    <w:rsid w:val="5B4B3709"/>
    <w:rsid w:val="5B4B3F19"/>
    <w:rsid w:val="5B550447"/>
    <w:rsid w:val="5B61F40A"/>
    <w:rsid w:val="5B648449"/>
    <w:rsid w:val="5B7D9136"/>
    <w:rsid w:val="5B8B35CA"/>
    <w:rsid w:val="5B979009"/>
    <w:rsid w:val="5B9E01DD"/>
    <w:rsid w:val="5BA0140C"/>
    <w:rsid w:val="5BA4B0DA"/>
    <w:rsid w:val="5BC9737E"/>
    <w:rsid w:val="5BCB2378"/>
    <w:rsid w:val="5BD15BA9"/>
    <w:rsid w:val="5BD254E4"/>
    <w:rsid w:val="5C01BDC2"/>
    <w:rsid w:val="5C07333B"/>
    <w:rsid w:val="5C1A56B7"/>
    <w:rsid w:val="5C2374BA"/>
    <w:rsid w:val="5C2EEF67"/>
    <w:rsid w:val="5C3ED32E"/>
    <w:rsid w:val="5C43B4C1"/>
    <w:rsid w:val="5C4BD139"/>
    <w:rsid w:val="5C4C08C5"/>
    <w:rsid w:val="5C52337B"/>
    <w:rsid w:val="5C5FA581"/>
    <w:rsid w:val="5C63A527"/>
    <w:rsid w:val="5C63CAA6"/>
    <w:rsid w:val="5C664205"/>
    <w:rsid w:val="5C8B6BDC"/>
    <w:rsid w:val="5C9B3A5A"/>
    <w:rsid w:val="5CB083BB"/>
    <w:rsid w:val="5CB544D1"/>
    <w:rsid w:val="5CBFC7A3"/>
    <w:rsid w:val="5CC55967"/>
    <w:rsid w:val="5CCA1710"/>
    <w:rsid w:val="5CCCD5FB"/>
    <w:rsid w:val="5CF66F58"/>
    <w:rsid w:val="5D018F84"/>
    <w:rsid w:val="5D026571"/>
    <w:rsid w:val="5D080F5F"/>
    <w:rsid w:val="5D102423"/>
    <w:rsid w:val="5D136E6F"/>
    <w:rsid w:val="5D180CFE"/>
    <w:rsid w:val="5D2515FD"/>
    <w:rsid w:val="5D402068"/>
    <w:rsid w:val="5D404130"/>
    <w:rsid w:val="5D471EF4"/>
    <w:rsid w:val="5D748CB0"/>
    <w:rsid w:val="5D7555D4"/>
    <w:rsid w:val="5D7E2F00"/>
    <w:rsid w:val="5D811454"/>
    <w:rsid w:val="5D821894"/>
    <w:rsid w:val="5D9F548B"/>
    <w:rsid w:val="5DA894A6"/>
    <w:rsid w:val="5DAC8FD9"/>
    <w:rsid w:val="5DB97D67"/>
    <w:rsid w:val="5DC303C1"/>
    <w:rsid w:val="5DD3022C"/>
    <w:rsid w:val="5DE368AB"/>
    <w:rsid w:val="5DEED229"/>
    <w:rsid w:val="5DF1A41C"/>
    <w:rsid w:val="5DFEB474"/>
    <w:rsid w:val="5E0FE73B"/>
    <w:rsid w:val="5E2182F8"/>
    <w:rsid w:val="5E229853"/>
    <w:rsid w:val="5E2A2848"/>
    <w:rsid w:val="5E3FA21B"/>
    <w:rsid w:val="5E473996"/>
    <w:rsid w:val="5E6E2AE1"/>
    <w:rsid w:val="5E70F27B"/>
    <w:rsid w:val="5E7D095C"/>
    <w:rsid w:val="5E89986C"/>
    <w:rsid w:val="5E924042"/>
    <w:rsid w:val="5E9AAA6A"/>
    <w:rsid w:val="5EA71186"/>
    <w:rsid w:val="5EA84033"/>
    <w:rsid w:val="5EAABD41"/>
    <w:rsid w:val="5EAD3AFF"/>
    <w:rsid w:val="5EAE6FCB"/>
    <w:rsid w:val="5EB7830F"/>
    <w:rsid w:val="5EC2FBE1"/>
    <w:rsid w:val="5EE1A511"/>
    <w:rsid w:val="5EE653EC"/>
    <w:rsid w:val="5EF46FA5"/>
    <w:rsid w:val="5EF7465C"/>
    <w:rsid w:val="5EFDA918"/>
    <w:rsid w:val="5F021EA7"/>
    <w:rsid w:val="5F0C6912"/>
    <w:rsid w:val="5F0F92C8"/>
    <w:rsid w:val="5F1213B2"/>
    <w:rsid w:val="5F48CEC6"/>
    <w:rsid w:val="5F585460"/>
    <w:rsid w:val="5F5DCDC2"/>
    <w:rsid w:val="5F60F23E"/>
    <w:rsid w:val="5F621FF0"/>
    <w:rsid w:val="5F645C1A"/>
    <w:rsid w:val="5F7368F8"/>
    <w:rsid w:val="5F752A3B"/>
    <w:rsid w:val="5F7D637F"/>
    <w:rsid w:val="5F8FC31B"/>
    <w:rsid w:val="5F95E6A0"/>
    <w:rsid w:val="5F96BE1F"/>
    <w:rsid w:val="5F99C22F"/>
    <w:rsid w:val="5F9C2687"/>
    <w:rsid w:val="5F9D08BA"/>
    <w:rsid w:val="5F9EF5C8"/>
    <w:rsid w:val="5FA08BF9"/>
    <w:rsid w:val="5FD1600B"/>
    <w:rsid w:val="5FE95810"/>
    <w:rsid w:val="5FF9E38F"/>
    <w:rsid w:val="5FFD4868"/>
    <w:rsid w:val="60050DAC"/>
    <w:rsid w:val="600A8244"/>
    <w:rsid w:val="602BB7EB"/>
    <w:rsid w:val="604AD134"/>
    <w:rsid w:val="607B867F"/>
    <w:rsid w:val="608C613C"/>
    <w:rsid w:val="608DE080"/>
    <w:rsid w:val="60A1A59E"/>
    <w:rsid w:val="60B921DE"/>
    <w:rsid w:val="60BDC430"/>
    <w:rsid w:val="60C5E04C"/>
    <w:rsid w:val="60C75780"/>
    <w:rsid w:val="60D0A5D7"/>
    <w:rsid w:val="60D26BAE"/>
    <w:rsid w:val="60E89F63"/>
    <w:rsid w:val="6102991E"/>
    <w:rsid w:val="6105B83C"/>
    <w:rsid w:val="61065A22"/>
    <w:rsid w:val="611262BC"/>
    <w:rsid w:val="6119F303"/>
    <w:rsid w:val="611E1BAB"/>
    <w:rsid w:val="611FA78C"/>
    <w:rsid w:val="6132ECEF"/>
    <w:rsid w:val="613BF6D4"/>
    <w:rsid w:val="614F3536"/>
    <w:rsid w:val="6150EF7E"/>
    <w:rsid w:val="6155A4DD"/>
    <w:rsid w:val="61620224"/>
    <w:rsid w:val="6163B277"/>
    <w:rsid w:val="61852871"/>
    <w:rsid w:val="6185CAC4"/>
    <w:rsid w:val="61AD3175"/>
    <w:rsid w:val="61AE4597"/>
    <w:rsid w:val="61AE82BD"/>
    <w:rsid w:val="61B75135"/>
    <w:rsid w:val="61B87B93"/>
    <w:rsid w:val="61C7B850"/>
    <w:rsid w:val="61D296DD"/>
    <w:rsid w:val="61E8B092"/>
    <w:rsid w:val="61FB4D6B"/>
    <w:rsid w:val="6204AF57"/>
    <w:rsid w:val="621AF696"/>
    <w:rsid w:val="621B24AB"/>
    <w:rsid w:val="621DB91D"/>
    <w:rsid w:val="62331E18"/>
    <w:rsid w:val="62387DD1"/>
    <w:rsid w:val="624AFA40"/>
    <w:rsid w:val="624CE55E"/>
    <w:rsid w:val="6250F0A8"/>
    <w:rsid w:val="62609EA7"/>
    <w:rsid w:val="62621D93"/>
    <w:rsid w:val="62770346"/>
    <w:rsid w:val="6285088E"/>
    <w:rsid w:val="6288C5E2"/>
    <w:rsid w:val="628CE64B"/>
    <w:rsid w:val="628FF12F"/>
    <w:rsid w:val="6296184D"/>
    <w:rsid w:val="62AB2BCF"/>
    <w:rsid w:val="62B2A446"/>
    <w:rsid w:val="62BBBA0E"/>
    <w:rsid w:val="62FF405E"/>
    <w:rsid w:val="6301E5A0"/>
    <w:rsid w:val="630C62DC"/>
    <w:rsid w:val="630E3A84"/>
    <w:rsid w:val="631C3FE5"/>
    <w:rsid w:val="6323EE97"/>
    <w:rsid w:val="6325E3F1"/>
    <w:rsid w:val="6326BB8C"/>
    <w:rsid w:val="63297F8F"/>
    <w:rsid w:val="6330F92E"/>
    <w:rsid w:val="63310016"/>
    <w:rsid w:val="63456542"/>
    <w:rsid w:val="6356099C"/>
    <w:rsid w:val="635C4646"/>
    <w:rsid w:val="636CDCD9"/>
    <w:rsid w:val="636EE5BD"/>
    <w:rsid w:val="6376AE07"/>
    <w:rsid w:val="63836C4E"/>
    <w:rsid w:val="638C7816"/>
    <w:rsid w:val="63A49897"/>
    <w:rsid w:val="63AFD68B"/>
    <w:rsid w:val="63B759B3"/>
    <w:rsid w:val="63C9DDDB"/>
    <w:rsid w:val="63CAD620"/>
    <w:rsid w:val="63CE3B90"/>
    <w:rsid w:val="63DCA9D2"/>
    <w:rsid w:val="64102E06"/>
    <w:rsid w:val="641951EF"/>
    <w:rsid w:val="641C69F4"/>
    <w:rsid w:val="641CB9BF"/>
    <w:rsid w:val="641DFD72"/>
    <w:rsid w:val="641EBB75"/>
    <w:rsid w:val="642CA791"/>
    <w:rsid w:val="64313EE5"/>
    <w:rsid w:val="644367C5"/>
    <w:rsid w:val="64448CF3"/>
    <w:rsid w:val="644E6C97"/>
    <w:rsid w:val="645D002D"/>
    <w:rsid w:val="645DC9D0"/>
    <w:rsid w:val="6461CFDF"/>
    <w:rsid w:val="64694AA0"/>
    <w:rsid w:val="646B8F53"/>
    <w:rsid w:val="646CB3C1"/>
    <w:rsid w:val="64749E31"/>
    <w:rsid w:val="648FA4E0"/>
    <w:rsid w:val="64A47497"/>
    <w:rsid w:val="64AE52A2"/>
    <w:rsid w:val="64B5C1A9"/>
    <w:rsid w:val="64D7BE41"/>
    <w:rsid w:val="64EF57C3"/>
    <w:rsid w:val="64FE613B"/>
    <w:rsid w:val="650FCB78"/>
    <w:rsid w:val="65127E68"/>
    <w:rsid w:val="6519C58F"/>
    <w:rsid w:val="651CC45A"/>
    <w:rsid w:val="65269FB0"/>
    <w:rsid w:val="652A4E14"/>
    <w:rsid w:val="6542546D"/>
    <w:rsid w:val="65812D70"/>
    <w:rsid w:val="65816402"/>
    <w:rsid w:val="6596ACBF"/>
    <w:rsid w:val="65A08B44"/>
    <w:rsid w:val="65A59D34"/>
    <w:rsid w:val="65AB0880"/>
    <w:rsid w:val="65AB3A2C"/>
    <w:rsid w:val="65AD4F88"/>
    <w:rsid w:val="65AE2AF2"/>
    <w:rsid w:val="65C6FA79"/>
    <w:rsid w:val="65D367E3"/>
    <w:rsid w:val="65DE476B"/>
    <w:rsid w:val="65F1BA44"/>
    <w:rsid w:val="65F5DFE8"/>
    <w:rsid w:val="65FAEC5A"/>
    <w:rsid w:val="660B1B4E"/>
    <w:rsid w:val="6611BEE0"/>
    <w:rsid w:val="66166B21"/>
    <w:rsid w:val="6618CDE7"/>
    <w:rsid w:val="66266588"/>
    <w:rsid w:val="66276E9A"/>
    <w:rsid w:val="662AAACE"/>
    <w:rsid w:val="662E5F4A"/>
    <w:rsid w:val="66367C07"/>
    <w:rsid w:val="6643CD1D"/>
    <w:rsid w:val="6651B403"/>
    <w:rsid w:val="6653F418"/>
    <w:rsid w:val="66583D6A"/>
    <w:rsid w:val="6663DECC"/>
    <w:rsid w:val="668A5DDE"/>
    <w:rsid w:val="669FB6D6"/>
    <w:rsid w:val="66A85104"/>
    <w:rsid w:val="66B5E1CE"/>
    <w:rsid w:val="66B9EAE9"/>
    <w:rsid w:val="66BC2090"/>
    <w:rsid w:val="66DE2C84"/>
    <w:rsid w:val="66E0937C"/>
    <w:rsid w:val="66F4EF4B"/>
    <w:rsid w:val="66F9783A"/>
    <w:rsid w:val="670CCBE5"/>
    <w:rsid w:val="6712DF60"/>
    <w:rsid w:val="67196B25"/>
    <w:rsid w:val="6733FEE0"/>
    <w:rsid w:val="67401A21"/>
    <w:rsid w:val="6742D816"/>
    <w:rsid w:val="67538C34"/>
    <w:rsid w:val="677563C2"/>
    <w:rsid w:val="677CEBA6"/>
    <w:rsid w:val="678575E1"/>
    <w:rsid w:val="67A3DD1E"/>
    <w:rsid w:val="67BB6441"/>
    <w:rsid w:val="67BD7A9B"/>
    <w:rsid w:val="67D45294"/>
    <w:rsid w:val="67D4C33E"/>
    <w:rsid w:val="67E1B21F"/>
    <w:rsid w:val="67ECCAF3"/>
    <w:rsid w:val="67EFD7D6"/>
    <w:rsid w:val="67FA6704"/>
    <w:rsid w:val="6821328A"/>
    <w:rsid w:val="68369FC5"/>
    <w:rsid w:val="6859AB73"/>
    <w:rsid w:val="68620712"/>
    <w:rsid w:val="68648C73"/>
    <w:rsid w:val="6866E958"/>
    <w:rsid w:val="686FEA88"/>
    <w:rsid w:val="6873DBFF"/>
    <w:rsid w:val="68770B3D"/>
    <w:rsid w:val="68888B20"/>
    <w:rsid w:val="688A0EDA"/>
    <w:rsid w:val="68939736"/>
    <w:rsid w:val="68967F55"/>
    <w:rsid w:val="689D7F58"/>
    <w:rsid w:val="68B48C83"/>
    <w:rsid w:val="68C23CC0"/>
    <w:rsid w:val="68CBEB31"/>
    <w:rsid w:val="68D01314"/>
    <w:rsid w:val="68D59093"/>
    <w:rsid w:val="68D88E25"/>
    <w:rsid w:val="68E59307"/>
    <w:rsid w:val="68E85333"/>
    <w:rsid w:val="68EC8F06"/>
    <w:rsid w:val="68F3B958"/>
    <w:rsid w:val="68F78A39"/>
    <w:rsid w:val="68FB740D"/>
    <w:rsid w:val="6901604A"/>
    <w:rsid w:val="690B54F5"/>
    <w:rsid w:val="690B8797"/>
    <w:rsid w:val="69152BD2"/>
    <w:rsid w:val="69198651"/>
    <w:rsid w:val="691DA1A4"/>
    <w:rsid w:val="6929381F"/>
    <w:rsid w:val="692B50E9"/>
    <w:rsid w:val="6931F5A4"/>
    <w:rsid w:val="69356C30"/>
    <w:rsid w:val="6938B047"/>
    <w:rsid w:val="69465739"/>
    <w:rsid w:val="694CD866"/>
    <w:rsid w:val="697D8280"/>
    <w:rsid w:val="697F98B6"/>
    <w:rsid w:val="698F8BC0"/>
    <w:rsid w:val="69900431"/>
    <w:rsid w:val="69901F18"/>
    <w:rsid w:val="69907A0E"/>
    <w:rsid w:val="69977B9D"/>
    <w:rsid w:val="69B00EB5"/>
    <w:rsid w:val="69B22C9C"/>
    <w:rsid w:val="69BF7E9A"/>
    <w:rsid w:val="69C11165"/>
    <w:rsid w:val="69C3FEEB"/>
    <w:rsid w:val="69CB19D8"/>
    <w:rsid w:val="69D350F1"/>
    <w:rsid w:val="69DF3CCB"/>
    <w:rsid w:val="69E39D81"/>
    <w:rsid w:val="69F0F433"/>
    <w:rsid w:val="69F119B2"/>
    <w:rsid w:val="69FE829F"/>
    <w:rsid w:val="6A0FA737"/>
    <w:rsid w:val="6A1535CE"/>
    <w:rsid w:val="6A257103"/>
    <w:rsid w:val="6A258F9A"/>
    <w:rsid w:val="6A45C55D"/>
    <w:rsid w:val="6A4976CD"/>
    <w:rsid w:val="6A49F43D"/>
    <w:rsid w:val="6A5F29FE"/>
    <w:rsid w:val="6A6942BD"/>
    <w:rsid w:val="6A778937"/>
    <w:rsid w:val="6AA02DF5"/>
    <w:rsid w:val="6AD438D4"/>
    <w:rsid w:val="6ADF628B"/>
    <w:rsid w:val="6AEC68BF"/>
    <w:rsid w:val="6AF1DFDC"/>
    <w:rsid w:val="6AF685DE"/>
    <w:rsid w:val="6B011149"/>
    <w:rsid w:val="6B042BAE"/>
    <w:rsid w:val="6B16EAF8"/>
    <w:rsid w:val="6B188AE5"/>
    <w:rsid w:val="6B19321E"/>
    <w:rsid w:val="6B28D67A"/>
    <w:rsid w:val="6B2E5943"/>
    <w:rsid w:val="6B389C38"/>
    <w:rsid w:val="6B3E3622"/>
    <w:rsid w:val="6B41FE0E"/>
    <w:rsid w:val="6B470C91"/>
    <w:rsid w:val="6B56DD6D"/>
    <w:rsid w:val="6B68E3B2"/>
    <w:rsid w:val="6B6DD225"/>
    <w:rsid w:val="6B6F2152"/>
    <w:rsid w:val="6B731944"/>
    <w:rsid w:val="6B84D833"/>
    <w:rsid w:val="6BC4DA81"/>
    <w:rsid w:val="6BDAD8C0"/>
    <w:rsid w:val="6BE49085"/>
    <w:rsid w:val="6BF82ED5"/>
    <w:rsid w:val="6C010653"/>
    <w:rsid w:val="6C071B0F"/>
    <w:rsid w:val="6C1FC4FC"/>
    <w:rsid w:val="6C5191F4"/>
    <w:rsid w:val="6C51B64B"/>
    <w:rsid w:val="6C5349E2"/>
    <w:rsid w:val="6C585DBC"/>
    <w:rsid w:val="6C5B8CE5"/>
    <w:rsid w:val="6C5D7257"/>
    <w:rsid w:val="6C776C36"/>
    <w:rsid w:val="6C896368"/>
    <w:rsid w:val="6C8DCBD4"/>
    <w:rsid w:val="6CA41613"/>
    <w:rsid w:val="6CA64A5A"/>
    <w:rsid w:val="6CBAE70B"/>
    <w:rsid w:val="6CCA20DF"/>
    <w:rsid w:val="6CE60420"/>
    <w:rsid w:val="6CE68695"/>
    <w:rsid w:val="6CF0F09B"/>
    <w:rsid w:val="6CF78403"/>
    <w:rsid w:val="6D074829"/>
    <w:rsid w:val="6D091CD9"/>
    <w:rsid w:val="6D0F6D93"/>
    <w:rsid w:val="6D1C99FA"/>
    <w:rsid w:val="6D206847"/>
    <w:rsid w:val="6D2430A8"/>
    <w:rsid w:val="6D2B2DE0"/>
    <w:rsid w:val="6D38DCE2"/>
    <w:rsid w:val="6D3ABA0F"/>
    <w:rsid w:val="6D42F47C"/>
    <w:rsid w:val="6D5EAF17"/>
    <w:rsid w:val="6D5EB069"/>
    <w:rsid w:val="6D6A0D3D"/>
    <w:rsid w:val="6D77CF95"/>
    <w:rsid w:val="6D8580BF"/>
    <w:rsid w:val="6D99240E"/>
    <w:rsid w:val="6DA0AD5D"/>
    <w:rsid w:val="6DB5501C"/>
    <w:rsid w:val="6DBCB2EE"/>
    <w:rsid w:val="6DC120A2"/>
    <w:rsid w:val="6DC3229B"/>
    <w:rsid w:val="6DC70BBF"/>
    <w:rsid w:val="6DC9AD11"/>
    <w:rsid w:val="6DD36004"/>
    <w:rsid w:val="6DDDB4DA"/>
    <w:rsid w:val="6DE21FA2"/>
    <w:rsid w:val="6DF370A7"/>
    <w:rsid w:val="6DF952F4"/>
    <w:rsid w:val="6DF9CFBE"/>
    <w:rsid w:val="6DFE3882"/>
    <w:rsid w:val="6E0EDBB7"/>
    <w:rsid w:val="6E10BC0B"/>
    <w:rsid w:val="6E2053F7"/>
    <w:rsid w:val="6E2B8D2F"/>
    <w:rsid w:val="6E2DF88B"/>
    <w:rsid w:val="6E40C6F9"/>
    <w:rsid w:val="6E4AF13B"/>
    <w:rsid w:val="6E511859"/>
    <w:rsid w:val="6E524B3C"/>
    <w:rsid w:val="6E529664"/>
    <w:rsid w:val="6E56B76C"/>
    <w:rsid w:val="6E6C49E1"/>
    <w:rsid w:val="6E72AFB6"/>
    <w:rsid w:val="6E794519"/>
    <w:rsid w:val="6E87E69C"/>
    <w:rsid w:val="6E8FE82A"/>
    <w:rsid w:val="6EA2D466"/>
    <w:rsid w:val="6EBB7CD6"/>
    <w:rsid w:val="6EBE9688"/>
    <w:rsid w:val="6EBF3B7C"/>
    <w:rsid w:val="6EC46556"/>
    <w:rsid w:val="6ED6C211"/>
    <w:rsid w:val="6EE40C26"/>
    <w:rsid w:val="6EEA7296"/>
    <w:rsid w:val="6F00D86C"/>
    <w:rsid w:val="6F01A2B5"/>
    <w:rsid w:val="6F0EAEAC"/>
    <w:rsid w:val="6F10B27D"/>
    <w:rsid w:val="6F1319D0"/>
    <w:rsid w:val="6F15DD7C"/>
    <w:rsid w:val="6F2156EB"/>
    <w:rsid w:val="6F28F782"/>
    <w:rsid w:val="6F29A809"/>
    <w:rsid w:val="6F30607B"/>
    <w:rsid w:val="6F33ECE8"/>
    <w:rsid w:val="6F367F46"/>
    <w:rsid w:val="6F460D34"/>
    <w:rsid w:val="6F4FAED1"/>
    <w:rsid w:val="6F51A06A"/>
    <w:rsid w:val="6F57247D"/>
    <w:rsid w:val="6F637CC8"/>
    <w:rsid w:val="6F6A906B"/>
    <w:rsid w:val="6F7626DC"/>
    <w:rsid w:val="6F769F08"/>
    <w:rsid w:val="6F7EAF3F"/>
    <w:rsid w:val="6F893AC3"/>
    <w:rsid w:val="6F8C4CEE"/>
    <w:rsid w:val="6FA09A17"/>
    <w:rsid w:val="6FB46395"/>
    <w:rsid w:val="6FBC98DC"/>
    <w:rsid w:val="6FC4D289"/>
    <w:rsid w:val="6FC7CF89"/>
    <w:rsid w:val="6FDCCB08"/>
    <w:rsid w:val="6FE7DB89"/>
    <w:rsid w:val="6FEBFC08"/>
    <w:rsid w:val="700FD645"/>
    <w:rsid w:val="7018C987"/>
    <w:rsid w:val="702D912E"/>
    <w:rsid w:val="702E8D4D"/>
    <w:rsid w:val="703BC788"/>
    <w:rsid w:val="70480006"/>
    <w:rsid w:val="705B265F"/>
    <w:rsid w:val="706E17B4"/>
    <w:rsid w:val="7082A895"/>
    <w:rsid w:val="7084F3B4"/>
    <w:rsid w:val="7089C008"/>
    <w:rsid w:val="7096290B"/>
    <w:rsid w:val="70A667C3"/>
    <w:rsid w:val="70B353E6"/>
    <w:rsid w:val="70BB2DFF"/>
    <w:rsid w:val="70C45BBE"/>
    <w:rsid w:val="70CAF754"/>
    <w:rsid w:val="70D340E9"/>
    <w:rsid w:val="70DCB1B9"/>
    <w:rsid w:val="70EB3609"/>
    <w:rsid w:val="70EB45BC"/>
    <w:rsid w:val="70F82A32"/>
    <w:rsid w:val="70FB143A"/>
    <w:rsid w:val="7107A981"/>
    <w:rsid w:val="71132F1A"/>
    <w:rsid w:val="711AF62F"/>
    <w:rsid w:val="7126BB05"/>
    <w:rsid w:val="7148BF2F"/>
    <w:rsid w:val="71499DC6"/>
    <w:rsid w:val="715B2733"/>
    <w:rsid w:val="7175652D"/>
    <w:rsid w:val="71824A9B"/>
    <w:rsid w:val="718B8C1F"/>
    <w:rsid w:val="718CBC44"/>
    <w:rsid w:val="71A774F8"/>
    <w:rsid w:val="71B081EB"/>
    <w:rsid w:val="71B65274"/>
    <w:rsid w:val="71B69D30"/>
    <w:rsid w:val="71C2A6AA"/>
    <w:rsid w:val="71CA7A94"/>
    <w:rsid w:val="71D9DDB0"/>
    <w:rsid w:val="71F61D88"/>
    <w:rsid w:val="7202D0DB"/>
    <w:rsid w:val="7208A19A"/>
    <w:rsid w:val="721FF7FC"/>
    <w:rsid w:val="722CF99B"/>
    <w:rsid w:val="722EB598"/>
    <w:rsid w:val="723359C2"/>
    <w:rsid w:val="7252DC65"/>
    <w:rsid w:val="72618C99"/>
    <w:rsid w:val="726FFFEF"/>
    <w:rsid w:val="7289D7A9"/>
    <w:rsid w:val="728D09E1"/>
    <w:rsid w:val="7295D8F2"/>
    <w:rsid w:val="7299341A"/>
    <w:rsid w:val="72996599"/>
    <w:rsid w:val="729A8612"/>
    <w:rsid w:val="729EA058"/>
    <w:rsid w:val="72A3188C"/>
    <w:rsid w:val="72A379E2"/>
    <w:rsid w:val="72A7496E"/>
    <w:rsid w:val="72A9E5DA"/>
    <w:rsid w:val="72C40AAA"/>
    <w:rsid w:val="72C5CBA3"/>
    <w:rsid w:val="72DC7D57"/>
    <w:rsid w:val="72E5B19B"/>
    <w:rsid w:val="72ED938E"/>
    <w:rsid w:val="72FA3840"/>
    <w:rsid w:val="7304F29F"/>
    <w:rsid w:val="7308965E"/>
    <w:rsid w:val="73163AF2"/>
    <w:rsid w:val="73210F9F"/>
    <w:rsid w:val="73222487"/>
    <w:rsid w:val="73269F88"/>
    <w:rsid w:val="7346DF8F"/>
    <w:rsid w:val="735E8815"/>
    <w:rsid w:val="7369F47F"/>
    <w:rsid w:val="736FF36F"/>
    <w:rsid w:val="7373C2C6"/>
    <w:rsid w:val="7373CAD6"/>
    <w:rsid w:val="73850987"/>
    <w:rsid w:val="73888B4A"/>
    <w:rsid w:val="73910B8C"/>
    <w:rsid w:val="73BBBAAF"/>
    <w:rsid w:val="73E58C76"/>
    <w:rsid w:val="73E5EF7A"/>
    <w:rsid w:val="73ED472B"/>
    <w:rsid w:val="73F89013"/>
    <w:rsid w:val="74024306"/>
    <w:rsid w:val="74144CB0"/>
    <w:rsid w:val="7439C886"/>
    <w:rsid w:val="743D8702"/>
    <w:rsid w:val="743DB4E4"/>
    <w:rsid w:val="743F1AC3"/>
    <w:rsid w:val="74416B27"/>
    <w:rsid w:val="744349A3"/>
    <w:rsid w:val="74475F74"/>
    <w:rsid w:val="74649037"/>
    <w:rsid w:val="747078D1"/>
    <w:rsid w:val="74743777"/>
    <w:rsid w:val="7476F168"/>
    <w:rsid w:val="74775153"/>
    <w:rsid w:val="747EA3D0"/>
    <w:rsid w:val="7482B033"/>
    <w:rsid w:val="74859BD1"/>
    <w:rsid w:val="748B3033"/>
    <w:rsid w:val="74A06034"/>
    <w:rsid w:val="74A35C71"/>
    <w:rsid w:val="74A3EEEA"/>
    <w:rsid w:val="74A97A5D"/>
    <w:rsid w:val="74B936A0"/>
    <w:rsid w:val="74BBE857"/>
    <w:rsid w:val="74C86BFC"/>
    <w:rsid w:val="74CC7CEB"/>
    <w:rsid w:val="74DF15BA"/>
    <w:rsid w:val="74EDA67A"/>
    <w:rsid w:val="74F0B15E"/>
    <w:rsid w:val="74F7BF0F"/>
    <w:rsid w:val="7514AFAF"/>
    <w:rsid w:val="7527FD93"/>
    <w:rsid w:val="75467ACD"/>
    <w:rsid w:val="75547BE5"/>
    <w:rsid w:val="756BE1CA"/>
    <w:rsid w:val="757F1C3C"/>
    <w:rsid w:val="758993F3"/>
    <w:rsid w:val="758A7D27"/>
    <w:rsid w:val="759A706C"/>
    <w:rsid w:val="759B6C50"/>
    <w:rsid w:val="75A28F04"/>
    <w:rsid w:val="75A29D9B"/>
    <w:rsid w:val="75B014E2"/>
    <w:rsid w:val="75B8AED2"/>
    <w:rsid w:val="75BC2A61"/>
    <w:rsid w:val="75BF635A"/>
    <w:rsid w:val="75C71E0F"/>
    <w:rsid w:val="75DD307E"/>
    <w:rsid w:val="75E60A70"/>
    <w:rsid w:val="75F7D789"/>
    <w:rsid w:val="76018236"/>
    <w:rsid w:val="76059049"/>
    <w:rsid w:val="76069793"/>
    <w:rsid w:val="760C14FE"/>
    <w:rsid w:val="76198A71"/>
    <w:rsid w:val="76204ECA"/>
    <w:rsid w:val="76367496"/>
    <w:rsid w:val="7637CEB7"/>
    <w:rsid w:val="7638DFAF"/>
    <w:rsid w:val="764AE757"/>
    <w:rsid w:val="765A23B8"/>
    <w:rsid w:val="765B7DC3"/>
    <w:rsid w:val="76660D61"/>
    <w:rsid w:val="76696651"/>
    <w:rsid w:val="7672E213"/>
    <w:rsid w:val="768A7383"/>
    <w:rsid w:val="768DDC0C"/>
    <w:rsid w:val="76920499"/>
    <w:rsid w:val="7699BAE6"/>
    <w:rsid w:val="76B5EE8D"/>
    <w:rsid w:val="76C7821A"/>
    <w:rsid w:val="76CEBA1A"/>
    <w:rsid w:val="76D799CE"/>
    <w:rsid w:val="76D9007F"/>
    <w:rsid w:val="771C2909"/>
    <w:rsid w:val="771C95C0"/>
    <w:rsid w:val="771E9181"/>
    <w:rsid w:val="771FC1C3"/>
    <w:rsid w:val="77261965"/>
    <w:rsid w:val="772AAA64"/>
    <w:rsid w:val="772C27FD"/>
    <w:rsid w:val="772E15A3"/>
    <w:rsid w:val="7737EBB4"/>
    <w:rsid w:val="774D229A"/>
    <w:rsid w:val="77725F2F"/>
    <w:rsid w:val="77730C92"/>
    <w:rsid w:val="777532E9"/>
    <w:rsid w:val="777DB61C"/>
    <w:rsid w:val="778309C1"/>
    <w:rsid w:val="7786F0F7"/>
    <w:rsid w:val="779F0D29"/>
    <w:rsid w:val="77AE7124"/>
    <w:rsid w:val="77B4F23B"/>
    <w:rsid w:val="77B4F4D9"/>
    <w:rsid w:val="77B872C0"/>
    <w:rsid w:val="77BFAE59"/>
    <w:rsid w:val="77CD52ED"/>
    <w:rsid w:val="77D88F57"/>
    <w:rsid w:val="77DFBD91"/>
    <w:rsid w:val="77EF69D0"/>
    <w:rsid w:val="77F34D4C"/>
    <w:rsid w:val="7801DDC2"/>
    <w:rsid w:val="78038635"/>
    <w:rsid w:val="7815CFA6"/>
    <w:rsid w:val="783EDDFB"/>
    <w:rsid w:val="784ABB8D"/>
    <w:rsid w:val="784B5CA5"/>
    <w:rsid w:val="784F081D"/>
    <w:rsid w:val="785059FC"/>
    <w:rsid w:val="786C02D6"/>
    <w:rsid w:val="786CE468"/>
    <w:rsid w:val="7884C74E"/>
    <w:rsid w:val="789B1FF3"/>
    <w:rsid w:val="789DDB58"/>
    <w:rsid w:val="78B0D26C"/>
    <w:rsid w:val="78BE456B"/>
    <w:rsid w:val="78C9BE3D"/>
    <w:rsid w:val="78DE437C"/>
    <w:rsid w:val="78E120BB"/>
    <w:rsid w:val="78E62DEC"/>
    <w:rsid w:val="78E73C46"/>
    <w:rsid w:val="78E754CC"/>
    <w:rsid w:val="78F66CA4"/>
    <w:rsid w:val="78FB29C7"/>
    <w:rsid w:val="7900566D"/>
    <w:rsid w:val="7901A513"/>
    <w:rsid w:val="790266F6"/>
    <w:rsid w:val="7907782D"/>
    <w:rsid w:val="7919867D"/>
    <w:rsid w:val="7926A8B8"/>
    <w:rsid w:val="793E6B7A"/>
    <w:rsid w:val="795027B7"/>
    <w:rsid w:val="7967B49A"/>
    <w:rsid w:val="79691E92"/>
    <w:rsid w:val="797498CA"/>
    <w:rsid w:val="79822DFE"/>
    <w:rsid w:val="79873DB5"/>
    <w:rsid w:val="798ED530"/>
    <w:rsid w:val="798F9D1B"/>
    <w:rsid w:val="7999526C"/>
    <w:rsid w:val="799BB076"/>
    <w:rsid w:val="799C151D"/>
    <w:rsid w:val="79AE4BA6"/>
    <w:rsid w:val="79CA16CE"/>
    <w:rsid w:val="79CC7D18"/>
    <w:rsid w:val="79DE99F4"/>
    <w:rsid w:val="79E149E5"/>
    <w:rsid w:val="79E50872"/>
    <w:rsid w:val="7A201946"/>
    <w:rsid w:val="7A3E46F0"/>
    <w:rsid w:val="7A3ECA43"/>
    <w:rsid w:val="7A46A4C5"/>
    <w:rsid w:val="7A57C5B0"/>
    <w:rsid w:val="7A5DEE4A"/>
    <w:rsid w:val="7A5E905A"/>
    <w:rsid w:val="7A653BED"/>
    <w:rsid w:val="7A6B8DC9"/>
    <w:rsid w:val="7A6D1C9E"/>
    <w:rsid w:val="7A720EB0"/>
    <w:rsid w:val="7A73425C"/>
    <w:rsid w:val="7A7DF74A"/>
    <w:rsid w:val="7A834742"/>
    <w:rsid w:val="7A9533C0"/>
    <w:rsid w:val="7A9C0EB4"/>
    <w:rsid w:val="7A9C9466"/>
    <w:rsid w:val="7AA7D892"/>
    <w:rsid w:val="7AAE3281"/>
    <w:rsid w:val="7ABAE859"/>
    <w:rsid w:val="7AC004D0"/>
    <w:rsid w:val="7AC0170B"/>
    <w:rsid w:val="7ACCE179"/>
    <w:rsid w:val="7AEBF818"/>
    <w:rsid w:val="7B029C0E"/>
    <w:rsid w:val="7B0C35B4"/>
    <w:rsid w:val="7B12017E"/>
    <w:rsid w:val="7B19CD03"/>
    <w:rsid w:val="7B1A5C6B"/>
    <w:rsid w:val="7B1D11BC"/>
    <w:rsid w:val="7B254B13"/>
    <w:rsid w:val="7B45F46B"/>
    <w:rsid w:val="7B52A0BD"/>
    <w:rsid w:val="7B530A79"/>
    <w:rsid w:val="7B5EF6C3"/>
    <w:rsid w:val="7B670021"/>
    <w:rsid w:val="7B6BE6CC"/>
    <w:rsid w:val="7B6C1CBF"/>
    <w:rsid w:val="7B6DFABA"/>
    <w:rsid w:val="7B6EF7FC"/>
    <w:rsid w:val="7B86A8DF"/>
    <w:rsid w:val="7B8B7DD3"/>
    <w:rsid w:val="7BA16AC6"/>
    <w:rsid w:val="7BAB42C5"/>
    <w:rsid w:val="7BB2C34C"/>
    <w:rsid w:val="7BB86450"/>
    <w:rsid w:val="7BBA6FD2"/>
    <w:rsid w:val="7BBC53BD"/>
    <w:rsid w:val="7BBC723A"/>
    <w:rsid w:val="7BC33C32"/>
    <w:rsid w:val="7BD7CD85"/>
    <w:rsid w:val="7BDC98ED"/>
    <w:rsid w:val="7BE80555"/>
    <w:rsid w:val="7BEB2C83"/>
    <w:rsid w:val="7C04FA28"/>
    <w:rsid w:val="7C1E5E16"/>
    <w:rsid w:val="7C406BFD"/>
    <w:rsid w:val="7C467DB5"/>
    <w:rsid w:val="7C495E9E"/>
    <w:rsid w:val="7C59169D"/>
    <w:rsid w:val="7C59D3E8"/>
    <w:rsid w:val="7C59F9C6"/>
    <w:rsid w:val="7C61580B"/>
    <w:rsid w:val="7C833F5D"/>
    <w:rsid w:val="7C987C7B"/>
    <w:rsid w:val="7CA3BDF5"/>
    <w:rsid w:val="7CAEB984"/>
    <w:rsid w:val="7CB4AA37"/>
    <w:rsid w:val="7CBB1A62"/>
    <w:rsid w:val="7CBB530F"/>
    <w:rsid w:val="7CBE3F35"/>
    <w:rsid w:val="7CC15187"/>
    <w:rsid w:val="7CD0186C"/>
    <w:rsid w:val="7CE5EC68"/>
    <w:rsid w:val="7CF3C031"/>
    <w:rsid w:val="7CF7AE68"/>
    <w:rsid w:val="7CFD1BF9"/>
    <w:rsid w:val="7D04E11C"/>
    <w:rsid w:val="7D04F0F9"/>
    <w:rsid w:val="7D07ED20"/>
    <w:rsid w:val="7D1FCB4F"/>
    <w:rsid w:val="7D25F604"/>
    <w:rsid w:val="7D3033A6"/>
    <w:rsid w:val="7D41D013"/>
    <w:rsid w:val="7D4C3B75"/>
    <w:rsid w:val="7D5B3861"/>
    <w:rsid w:val="7D623649"/>
    <w:rsid w:val="7D6A1558"/>
    <w:rsid w:val="7D6CFFA6"/>
    <w:rsid w:val="7D6DE275"/>
    <w:rsid w:val="7D78F780"/>
    <w:rsid w:val="7D8451BE"/>
    <w:rsid w:val="7D8ECEFA"/>
    <w:rsid w:val="7D91474F"/>
    <w:rsid w:val="7DA02F50"/>
    <w:rsid w:val="7DAD9B08"/>
    <w:rsid w:val="7DB22966"/>
    <w:rsid w:val="7DE5CC85"/>
    <w:rsid w:val="7DE9543F"/>
    <w:rsid w:val="7DF02EEE"/>
    <w:rsid w:val="7DFFB6BA"/>
    <w:rsid w:val="7E0B1DB3"/>
    <w:rsid w:val="7E185223"/>
    <w:rsid w:val="7E1FE03F"/>
    <w:rsid w:val="7E23070D"/>
    <w:rsid w:val="7E240B9C"/>
    <w:rsid w:val="7E2761EB"/>
    <w:rsid w:val="7E3806C6"/>
    <w:rsid w:val="7E4FD455"/>
    <w:rsid w:val="7E507A98"/>
    <w:rsid w:val="7E56A8AD"/>
    <w:rsid w:val="7E699774"/>
    <w:rsid w:val="7E75249E"/>
    <w:rsid w:val="7E7A3FC0"/>
    <w:rsid w:val="7E87E454"/>
    <w:rsid w:val="7E93CCC4"/>
    <w:rsid w:val="7E950BE5"/>
    <w:rsid w:val="7E96B458"/>
    <w:rsid w:val="7EB818B5"/>
    <w:rsid w:val="7EC2DBB2"/>
    <w:rsid w:val="7EC67D93"/>
    <w:rsid w:val="7EC8DA0B"/>
    <w:rsid w:val="7ECD979E"/>
    <w:rsid w:val="7ED9E4DF"/>
    <w:rsid w:val="7EDBBDA9"/>
    <w:rsid w:val="7EDF4E7D"/>
    <w:rsid w:val="7EEE5C19"/>
    <w:rsid w:val="7EF8DA08"/>
    <w:rsid w:val="7EFEF54D"/>
    <w:rsid w:val="7F01DF9B"/>
    <w:rsid w:val="7F0EB073"/>
    <w:rsid w:val="7F45F348"/>
    <w:rsid w:val="7F5469D9"/>
    <w:rsid w:val="7F6B63D3"/>
    <w:rsid w:val="7F711D42"/>
    <w:rsid w:val="7F72F073"/>
    <w:rsid w:val="7F77B722"/>
    <w:rsid w:val="7F80D14B"/>
    <w:rsid w:val="7F82BA32"/>
    <w:rsid w:val="7F8F3C1F"/>
    <w:rsid w:val="7F9EF0C9"/>
    <w:rsid w:val="7FB08461"/>
    <w:rsid w:val="7FB1BB88"/>
    <w:rsid w:val="7FD36CA4"/>
    <w:rsid w:val="7FD96551"/>
    <w:rsid w:val="7FEF833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DF5728"/>
  <w15:docId w15:val="{176625E6-7F88-43BE-A045-71CBB411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sz w:val="24"/>
      <w:szCs w:val="24"/>
      <w:lang w:val="es-ES" w:eastAsia="es-ES"/>
    </w:rPr>
  </w:style>
  <w:style w:type="paragraph" w:styleId="Ttulo1">
    <w:name w:val="heading 1"/>
    <w:basedOn w:val="Normal"/>
    <w:next w:val="Normal"/>
    <w:qFormat/>
    <w:rsid w:val="009A7318"/>
    <w:pPr>
      <w:keepNext/>
      <w:jc w:val="center"/>
      <w:outlineLvl w:val="0"/>
    </w:pPr>
    <w:rPr>
      <w:rFonts w:ascii="Bookman Old Style" w:hAnsi="Bookman Old Style"/>
      <w:b/>
      <w:szCs w:val="20"/>
      <w:lang w:val="es-CO"/>
    </w:rPr>
  </w:style>
  <w:style w:type="paragraph" w:styleId="Ttulo2">
    <w:name w:val="heading 2"/>
    <w:basedOn w:val="Normal"/>
    <w:next w:val="Normal"/>
    <w:link w:val="Ttulo2Car"/>
    <w:uiPriority w:val="9"/>
    <w:unhideWhenUsed/>
    <w:qFormat/>
    <w:rsid w:val="00C02F3E"/>
    <w:pPr>
      <w:keepNext/>
      <w:keepLines/>
      <w:spacing w:before="40"/>
      <w:outlineLvl w:val="1"/>
    </w:pPr>
    <w:rPr>
      <w:rFonts w:ascii="Bookman Old Style" w:eastAsiaTheme="majorEastAsia" w:hAnsi="Bookman Old Style" w:cstheme="majorBidi"/>
      <w:b/>
      <w:caps/>
      <w:szCs w:val="26"/>
    </w:rPr>
  </w:style>
  <w:style w:type="paragraph" w:styleId="Ttulo3">
    <w:name w:val="heading 3"/>
    <w:basedOn w:val="Normal"/>
    <w:next w:val="Normal"/>
    <w:link w:val="Ttulo3Car"/>
    <w:qFormat/>
    <w:rsid w:val="00197ED6"/>
    <w:pPr>
      <w:keepNext/>
      <w:jc w:val="center"/>
      <w:outlineLvl w:val="2"/>
    </w:pPr>
    <w:rPr>
      <w:rFonts w:ascii="Bookman Old Style" w:hAnsi="Bookman Old Style"/>
      <w:b/>
      <w:caps/>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Bookman Old Style" w:hAnsi="Bookman Old Style"/>
      <w:b/>
      <w:caps/>
      <w:snapToGrid w:val="0"/>
      <w:color w:val="000000"/>
      <w:sz w:val="24"/>
      <w:lang w:val="es-ES_tradnl" w:eastAsia="x-none"/>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 w:type="paragraph" w:styleId="HTMLconformatoprevio">
    <w:name w:val="HTML Preformatted"/>
    <w:basedOn w:val="Normal"/>
    <w:link w:val="HTMLconformatoprevioCar"/>
    <w:uiPriority w:val="99"/>
    <w:semiHidden/>
    <w:unhideWhenUsed/>
    <w:rsid w:val="00B87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ES_tradnl"/>
    </w:rPr>
  </w:style>
  <w:style w:type="character" w:customStyle="1" w:styleId="HTMLconformatoprevioCar">
    <w:name w:val="HTML con formato previo Car"/>
    <w:basedOn w:val="Fuentedeprrafopredeter"/>
    <w:link w:val="HTMLconformatoprevio"/>
    <w:uiPriority w:val="99"/>
    <w:semiHidden/>
    <w:rsid w:val="00B874CA"/>
    <w:rPr>
      <w:rFonts w:ascii="Courier New" w:hAnsi="Courier New" w:cs="Courier New"/>
      <w:lang w:eastAsia="es-ES_tradnl"/>
    </w:rPr>
  </w:style>
  <w:style w:type="character" w:styleId="Hipervnculo">
    <w:name w:val="Hyperlink"/>
    <w:basedOn w:val="Fuentedeprrafopredeter"/>
    <w:uiPriority w:val="99"/>
    <w:unhideWhenUsed/>
    <w:rsid w:val="008137CF"/>
    <w:rPr>
      <w:color w:val="0000FF"/>
      <w:u w:val="single"/>
    </w:rPr>
  </w:style>
  <w:style w:type="character" w:customStyle="1" w:styleId="Ttulo2Car">
    <w:name w:val="Título 2 Car"/>
    <w:basedOn w:val="Fuentedeprrafopredeter"/>
    <w:link w:val="Ttulo2"/>
    <w:uiPriority w:val="9"/>
    <w:rsid w:val="00C02F3E"/>
    <w:rPr>
      <w:rFonts w:ascii="Bookman Old Style" w:eastAsiaTheme="majorEastAsia" w:hAnsi="Bookman Old Style" w:cstheme="majorBidi"/>
      <w:b/>
      <w:caps/>
      <w:sz w:val="24"/>
      <w:szCs w:val="26"/>
      <w:lang w:val="es-ES" w:eastAsia="es-ES"/>
    </w:rPr>
  </w:style>
  <w:style w:type="character" w:styleId="Mencinsinresolver">
    <w:name w:val="Unresolved Mention"/>
    <w:basedOn w:val="Fuentedeprrafopredeter"/>
    <w:uiPriority w:val="99"/>
    <w:semiHidden/>
    <w:unhideWhenUsed/>
    <w:rsid w:val="00BB49B9"/>
    <w:rPr>
      <w:color w:val="605E5C"/>
      <w:shd w:val="clear" w:color="auto" w:fill="E1DFDD"/>
    </w:rPr>
  </w:style>
  <w:style w:type="character" w:customStyle="1" w:styleId="UnresolvedMention1">
    <w:name w:val="Unresolved Mention1"/>
    <w:basedOn w:val="Fuentedeprrafopredeter"/>
    <w:uiPriority w:val="99"/>
    <w:semiHidden/>
    <w:unhideWhenUsed/>
    <w:rsid w:val="0007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441">
      <w:bodyDiv w:val="1"/>
      <w:marLeft w:val="0"/>
      <w:marRight w:val="0"/>
      <w:marTop w:val="0"/>
      <w:marBottom w:val="0"/>
      <w:divBdr>
        <w:top w:val="none" w:sz="0" w:space="0" w:color="auto"/>
        <w:left w:val="none" w:sz="0" w:space="0" w:color="auto"/>
        <w:bottom w:val="none" w:sz="0" w:space="0" w:color="auto"/>
        <w:right w:val="none" w:sz="0" w:space="0" w:color="auto"/>
      </w:divBdr>
    </w:div>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163320639">
      <w:bodyDiv w:val="1"/>
      <w:marLeft w:val="0"/>
      <w:marRight w:val="0"/>
      <w:marTop w:val="0"/>
      <w:marBottom w:val="0"/>
      <w:divBdr>
        <w:top w:val="none" w:sz="0" w:space="0" w:color="auto"/>
        <w:left w:val="none" w:sz="0" w:space="0" w:color="auto"/>
        <w:bottom w:val="none" w:sz="0" w:space="0" w:color="auto"/>
        <w:right w:val="none" w:sz="0" w:space="0" w:color="auto"/>
      </w:divBdr>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257756027">
      <w:bodyDiv w:val="1"/>
      <w:marLeft w:val="0"/>
      <w:marRight w:val="0"/>
      <w:marTop w:val="0"/>
      <w:marBottom w:val="0"/>
      <w:divBdr>
        <w:top w:val="none" w:sz="0" w:space="0" w:color="auto"/>
        <w:left w:val="none" w:sz="0" w:space="0" w:color="auto"/>
        <w:bottom w:val="none" w:sz="0" w:space="0" w:color="auto"/>
        <w:right w:val="none" w:sz="0" w:space="0" w:color="auto"/>
      </w:divBdr>
    </w:div>
    <w:div w:id="293605353">
      <w:bodyDiv w:val="1"/>
      <w:marLeft w:val="0"/>
      <w:marRight w:val="0"/>
      <w:marTop w:val="0"/>
      <w:marBottom w:val="0"/>
      <w:divBdr>
        <w:top w:val="none" w:sz="0" w:space="0" w:color="auto"/>
        <w:left w:val="none" w:sz="0" w:space="0" w:color="auto"/>
        <w:bottom w:val="none" w:sz="0" w:space="0" w:color="auto"/>
        <w:right w:val="none" w:sz="0" w:space="0" w:color="auto"/>
      </w:divBdr>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522592543">
      <w:bodyDiv w:val="1"/>
      <w:marLeft w:val="0"/>
      <w:marRight w:val="0"/>
      <w:marTop w:val="0"/>
      <w:marBottom w:val="0"/>
      <w:divBdr>
        <w:top w:val="none" w:sz="0" w:space="0" w:color="auto"/>
        <w:left w:val="none" w:sz="0" w:space="0" w:color="auto"/>
        <w:bottom w:val="none" w:sz="0" w:space="0" w:color="auto"/>
        <w:right w:val="none" w:sz="0" w:space="0" w:color="auto"/>
      </w:divBdr>
    </w:div>
    <w:div w:id="730537248">
      <w:bodyDiv w:val="1"/>
      <w:marLeft w:val="0"/>
      <w:marRight w:val="0"/>
      <w:marTop w:val="0"/>
      <w:marBottom w:val="0"/>
      <w:divBdr>
        <w:top w:val="none" w:sz="0" w:space="0" w:color="auto"/>
        <w:left w:val="none" w:sz="0" w:space="0" w:color="auto"/>
        <w:bottom w:val="none" w:sz="0" w:space="0" w:color="auto"/>
        <w:right w:val="none" w:sz="0" w:space="0" w:color="auto"/>
      </w:divBdr>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051924263">
      <w:bodyDiv w:val="1"/>
      <w:marLeft w:val="0"/>
      <w:marRight w:val="0"/>
      <w:marTop w:val="0"/>
      <w:marBottom w:val="0"/>
      <w:divBdr>
        <w:top w:val="none" w:sz="0" w:space="0" w:color="auto"/>
        <w:left w:val="none" w:sz="0" w:space="0" w:color="auto"/>
        <w:bottom w:val="none" w:sz="0" w:space="0" w:color="auto"/>
        <w:right w:val="none" w:sz="0" w:space="0" w:color="auto"/>
      </w:divBdr>
      <w:divsChild>
        <w:div w:id="301546068">
          <w:marLeft w:val="360"/>
          <w:marRight w:val="0"/>
          <w:marTop w:val="200"/>
          <w:marBottom w:val="0"/>
          <w:divBdr>
            <w:top w:val="none" w:sz="0" w:space="0" w:color="auto"/>
            <w:left w:val="none" w:sz="0" w:space="0" w:color="auto"/>
            <w:bottom w:val="none" w:sz="0" w:space="0" w:color="auto"/>
            <w:right w:val="none" w:sz="0" w:space="0" w:color="auto"/>
          </w:divBdr>
        </w:div>
        <w:div w:id="459687687">
          <w:marLeft w:val="1080"/>
          <w:marRight w:val="0"/>
          <w:marTop w:val="100"/>
          <w:marBottom w:val="0"/>
          <w:divBdr>
            <w:top w:val="none" w:sz="0" w:space="0" w:color="auto"/>
            <w:left w:val="none" w:sz="0" w:space="0" w:color="auto"/>
            <w:bottom w:val="none" w:sz="0" w:space="0" w:color="auto"/>
            <w:right w:val="none" w:sz="0" w:space="0" w:color="auto"/>
          </w:divBdr>
        </w:div>
        <w:div w:id="522135288">
          <w:marLeft w:val="1080"/>
          <w:marRight w:val="0"/>
          <w:marTop w:val="100"/>
          <w:marBottom w:val="0"/>
          <w:divBdr>
            <w:top w:val="none" w:sz="0" w:space="0" w:color="auto"/>
            <w:left w:val="none" w:sz="0" w:space="0" w:color="auto"/>
            <w:bottom w:val="none" w:sz="0" w:space="0" w:color="auto"/>
            <w:right w:val="none" w:sz="0" w:space="0" w:color="auto"/>
          </w:divBdr>
        </w:div>
        <w:div w:id="961493886">
          <w:marLeft w:val="360"/>
          <w:marRight w:val="0"/>
          <w:marTop w:val="200"/>
          <w:marBottom w:val="0"/>
          <w:divBdr>
            <w:top w:val="none" w:sz="0" w:space="0" w:color="auto"/>
            <w:left w:val="none" w:sz="0" w:space="0" w:color="auto"/>
            <w:bottom w:val="none" w:sz="0" w:space="0" w:color="auto"/>
            <w:right w:val="none" w:sz="0" w:space="0" w:color="auto"/>
          </w:divBdr>
        </w:div>
      </w:divsChild>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392653160">
      <w:bodyDiv w:val="1"/>
      <w:marLeft w:val="0"/>
      <w:marRight w:val="0"/>
      <w:marTop w:val="0"/>
      <w:marBottom w:val="0"/>
      <w:divBdr>
        <w:top w:val="none" w:sz="0" w:space="0" w:color="auto"/>
        <w:left w:val="none" w:sz="0" w:space="0" w:color="auto"/>
        <w:bottom w:val="none" w:sz="0" w:space="0" w:color="auto"/>
        <w:right w:val="none" w:sz="0" w:space="0" w:color="auto"/>
      </w:divBdr>
      <w:divsChild>
        <w:div w:id="1257522196">
          <w:marLeft w:val="360"/>
          <w:marRight w:val="0"/>
          <w:marTop w:val="120"/>
          <w:marBottom w:val="0"/>
          <w:divBdr>
            <w:top w:val="none" w:sz="0" w:space="0" w:color="auto"/>
            <w:left w:val="none" w:sz="0" w:space="0" w:color="auto"/>
            <w:bottom w:val="none" w:sz="0" w:space="0" w:color="auto"/>
            <w:right w:val="none" w:sz="0" w:space="0" w:color="auto"/>
          </w:divBdr>
        </w:div>
        <w:div w:id="1500585378">
          <w:marLeft w:val="360"/>
          <w:marRight w:val="0"/>
          <w:marTop w:val="120"/>
          <w:marBottom w:val="0"/>
          <w:divBdr>
            <w:top w:val="none" w:sz="0" w:space="0" w:color="auto"/>
            <w:left w:val="none" w:sz="0" w:space="0" w:color="auto"/>
            <w:bottom w:val="none" w:sz="0" w:space="0" w:color="auto"/>
            <w:right w:val="none" w:sz="0" w:space="0" w:color="auto"/>
          </w:divBdr>
        </w:div>
        <w:div w:id="1645230710">
          <w:marLeft w:val="360"/>
          <w:marRight w:val="0"/>
          <w:marTop w:val="120"/>
          <w:marBottom w:val="0"/>
          <w:divBdr>
            <w:top w:val="none" w:sz="0" w:space="0" w:color="auto"/>
            <w:left w:val="none" w:sz="0" w:space="0" w:color="auto"/>
            <w:bottom w:val="none" w:sz="0" w:space="0" w:color="auto"/>
            <w:right w:val="none" w:sz="0" w:space="0" w:color="auto"/>
          </w:divBdr>
        </w:div>
      </w:divsChild>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6459518">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3" ma:contentTypeDescription="Crear nuevo documento." ma:contentTypeScope="" ma:versionID="4c2dc340b6bddbdaeae1fec7121686ec">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f2372206f734646d46ef4a5002363d07"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24b74cc7-9912-495a-b67c-bc091901980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09f6219-a73f-4366-a00d-6bacb1e9f8e0">
      <UserInfo>
        <DisplayName>Monica Johanna Plaza Manrique</DisplayName>
        <AccountId>18</AccountId>
        <AccountType/>
      </UserInfo>
      <UserInfo>
        <DisplayName>Maria Carolina Duran Chacon</DisplayName>
        <AccountId>36</AccountId>
        <AccountType/>
      </UserInfo>
    </SharedWithUsers>
    <lcf76f155ced4ddcb4097134ff3c332f xmlns="0f90cc45-9d06-4234-8034-eeec6c0c7cc1">
      <Terms xmlns="http://schemas.microsoft.com/office/infopath/2007/PartnerControls"/>
    </lcf76f155ced4ddcb4097134ff3c332f>
    <TaxCatchAll xmlns="309f6219-a73f-4366-a00d-6bacb1e9f8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05387-FBFB-4D16-B3C5-FEDE814E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E2197-47FA-4565-9BAD-19733390382E}">
  <ds:schemaRefs>
    <ds:schemaRef ds:uri="http://schemas.microsoft.com/office/2006/metadata/properties"/>
    <ds:schemaRef ds:uri="http://schemas.microsoft.com/office/infopath/2007/PartnerControls"/>
    <ds:schemaRef ds:uri="309f6219-a73f-4366-a00d-6bacb1e9f8e0"/>
    <ds:schemaRef ds:uri="0f90cc45-9d06-4234-8034-eeec6c0c7cc1"/>
  </ds:schemaRefs>
</ds:datastoreItem>
</file>

<file path=customXml/itemProps3.xml><?xml version="1.0" encoding="utf-8"?>
<ds:datastoreItem xmlns:ds="http://schemas.openxmlformats.org/officeDocument/2006/customXml" ds:itemID="{B3D2B96D-028E-504D-88D3-2034CE5B94A5}">
  <ds:schemaRefs>
    <ds:schemaRef ds:uri="http://schemas.openxmlformats.org/officeDocument/2006/bibliography"/>
  </ds:schemaRefs>
</ds:datastoreItem>
</file>

<file path=customXml/itemProps4.xml><?xml version="1.0" encoding="utf-8"?>
<ds:datastoreItem xmlns:ds="http://schemas.openxmlformats.org/officeDocument/2006/customXml" ds:itemID="{B8328D52-C6AD-4CC0-A6BB-B54527BD7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resoluciones</Template>
  <TotalTime>1</TotalTime>
  <Pages>5</Pages>
  <Words>32538</Words>
  <Characters>178962</Characters>
  <Application>Microsoft Office Word</Application>
  <DocSecurity>0</DocSecurity>
  <Lines>1491</Lines>
  <Paragraphs>422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Ramos;Carlos Castellanos;Andres Hernando Dominguez</dc:creator>
  <cp:keywords/>
  <cp:lastModifiedBy>Luz Stella Rojas Macias</cp:lastModifiedBy>
  <cp:revision>2</cp:revision>
  <cp:lastPrinted>2022-05-12T14:47:00Z</cp:lastPrinted>
  <dcterms:created xsi:type="dcterms:W3CDTF">2022-05-18T20:46:00Z</dcterms:created>
  <dcterms:modified xsi:type="dcterms:W3CDTF">2022-05-18T20:46:00Z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